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47857"/>
          <w:sz w:val="60"/>
        </w:rPr>
        <w:t>Kepang AI</w:t>
      </w:r>
    </w:p>
    <w:p>
      <w:pPr>
        <w:jc w:val="center"/>
      </w:pPr>
      <w:r>
        <w:rPr>
          <w:rFonts w:ascii="Calibri" w:hAnsi="Calibri"/>
          <w:color w:val="1F2937"/>
          <w:sz w:val="36"/>
        </w:rPr>
        <w:t>Decision Intelligence untuk Resiliensi Ketahanan Pangan Daerah</w:t>
      </w:r>
    </w:p>
    <w:p>
      <w:pPr>
        <w:jc w:val="center"/>
      </w:pPr>
      <w:r>
        <w:rPr>
          <w:rFonts w:ascii="Calibri" w:hAnsi="Calibri"/>
          <w:color w:val="6B7280"/>
          <w:sz w:val="24"/>
        </w:rPr>
        <w:t>Combined Submission Attachment - Tahap 2</w:t>
      </w:r>
    </w:p>
    <w:tbl>
      <w:tblPr>
        <w:tblStyle w:val="TableGrid"/>
        <w:tblW w:type="dxa" w:w="9144"/>
        <w:jc w:val="left"/>
        <w:tblLayout w:type="fixed"/>
        <w:tblLook w:firstColumn="1" w:firstRow="1" w:lastColumn="0" w:lastRow="0" w:noHBand="0" w:noVBand="1" w:val="04A0"/>
      </w:tblPr>
      <w:tblGrid>
        <w:gridCol w:w="9144"/>
      </w:tblGrid>
      <w:tr>
        <w:tc>
          <w:tcPr>
            <w:tcW w:type="dxa" w:w="9144"/>
            <w:shd w:fill="ECFDF5"/>
          </w:tcPr>
          <w:p>
            <w:r>
              <w:rPr>
                <w:rFonts w:ascii="Calibri" w:hAnsi="Calibri"/>
                <w:b/>
                <w:color w:val="047857"/>
                <w:sz w:val="20"/>
              </w:rPr>
              <w:t>Purpose</w:t>
            </w:r>
            <w:r>
              <w:rPr>
                <w:rFonts w:ascii="Calibri" w:hAnsi="Calibri"/>
              </w:rPr>
              <w:br/>
              <w:t>One PDF package for judges: problem evidence, solution fit, architecture, data policy, impact KPI, business model, MVP readiness, and validation gaps.</w:t>
            </w:r>
          </w:p>
        </w:tc>
      </w:tr>
    </w:tbl>
    <w:p/>
    <w:tbl>
      <w:tblPr>
        <w:tblStyle w:val="TableGrid"/>
        <w:tblW w:type="dxa" w:w="9144"/>
        <w:jc w:val="left"/>
        <w:tblLayout w:type="fixed"/>
        <w:tblLook w:firstColumn="1" w:firstRow="1" w:lastColumn="0" w:lastRow="0" w:noHBand="0" w:noVBand="1" w:val="04A0"/>
      </w:tblPr>
      <w:tblGrid>
        <w:gridCol w:w="2088"/>
        <w:gridCol w:w="7056"/>
      </w:tblGrid>
      <w:tr>
        <w:tc>
          <w:tcPr>
            <w:tcW w:type="dxa" w:w="2088"/>
            <w:vAlign w:val="center"/>
            <w:shd w:fill="E8EEF5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11827"/>
                <w:sz w:val="16"/>
              </w:rPr>
              <w:t>Field</w:t>
            </w:r>
          </w:p>
        </w:tc>
        <w:tc>
          <w:tcPr>
            <w:tcW w:type="dxa" w:w="7056"/>
            <w:vAlign w:val="center"/>
            <w:shd w:fill="E8EEF5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11827"/>
                <w:sz w:val="16"/>
              </w:rPr>
              <w:t>Content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Team ID</w:t>
            </w:r>
          </w:p>
        </w:tc>
        <w:tc>
          <w:tcPr>
            <w:tcW w:type="dxa" w:w="705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P0684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Team Name</w:t>
            </w:r>
          </w:p>
        </w:tc>
        <w:tc>
          <w:tcPr>
            <w:tcW w:type="dxa" w:w="705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J4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Proposal Title</w:t>
            </w:r>
          </w:p>
        </w:tc>
        <w:tc>
          <w:tcPr>
            <w:tcW w:type="dxa" w:w="705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Kepang AI: Decision Intelligence untuk Resiliensi Ketahanan Pangan Daerah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Prototype Status</w:t>
            </w:r>
          </w:p>
        </w:tc>
        <w:tc>
          <w:tcPr>
            <w:tcW w:type="dxa" w:w="705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Local web prototype with backend API, Supabase database, source-aware forecasting, logistics recommendation, and Evidence Room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File Naming Rule</w:t>
            </w:r>
          </w:p>
        </w:tc>
        <w:tc>
          <w:tcPr>
            <w:tcW w:type="dxa" w:w="705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P0684 - Kepang AI Decision Intelligence untuk Resiliensi Ketahanan Pangan Daerah.pdf</w:t>
            </w:r>
          </w:p>
        </w:tc>
      </w:tr>
    </w:tbl>
    <w:p/>
    <w:p>
      <w:r>
        <w:br w:type="page"/>
      </w:r>
    </w:p>
    <w:p>
      <w:pPr>
        <w:pStyle w:val="Heading1"/>
      </w:pPr>
      <w:r>
        <w:t>1. Executive Evidence Summary</w:t>
      </w:r>
    </w:p>
    <w:p>
      <w:pPr/>
      <w:r>
        <w:t>Kepang AI is a decision intelligence prototype for food resilience. The core problem is policy lag: price, weather, stock, logistics, and macro pressure are often analyzed separately, so intervention can arrive after food prices have already moved.</w:t>
      </w:r>
    </w:p>
    <w:p>
      <w:pPr/>
      <w:r>
        <w:t>The solution connects official data, real-time-capable feeds, model-derived forecasts, and explicit data gaps into one decision cockpit. The app turns signals into Resilience Score, scenario shock, route recommendation, action cards, KPI targets, and data lineage.</w:t>
      </w:r>
    </w:p>
    <w:tbl>
      <w:tblPr>
        <w:tblStyle w:val="TableGrid"/>
        <w:tblW w:type="dxa" w:w="9144"/>
        <w:jc w:val="left"/>
        <w:tblLayout w:type="fixed"/>
        <w:tblLook w:firstColumn="1" w:firstRow="1" w:lastColumn="0" w:lastRow="0" w:noHBand="0" w:noVBand="1" w:val="04A0"/>
      </w:tblPr>
      <w:tblGrid>
        <w:gridCol w:w="2304"/>
        <w:gridCol w:w="3240"/>
        <w:gridCol w:w="3600"/>
      </w:tblGrid>
      <w:tr>
        <w:tc>
          <w:tcPr>
            <w:tcW w:type="dxa" w:w="2304"/>
            <w:vAlign w:val="center"/>
            <w:shd w:fill="E8EEF5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11827"/>
                <w:sz w:val="16"/>
              </w:rPr>
              <w:t>Evidence Signal</w:t>
            </w:r>
          </w:p>
        </w:tc>
        <w:tc>
          <w:tcPr>
            <w:tcW w:type="dxa" w:w="3240"/>
            <w:vAlign w:val="center"/>
            <w:shd w:fill="E8EEF5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11827"/>
                <w:sz w:val="16"/>
              </w:rPr>
              <w:t>Why It Matters</w:t>
            </w:r>
          </w:p>
        </w:tc>
        <w:tc>
          <w:tcPr>
            <w:tcW w:type="dxa" w:w="3600"/>
            <w:vAlign w:val="center"/>
            <w:shd w:fill="E8EEF5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11827"/>
                <w:sz w:val="16"/>
              </w:rPr>
              <w:t>Kepang AI Response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Volatile food 6.24% yoy</w:t>
            </w:r>
          </w:p>
        </w:tc>
        <w:tc>
          <w:tcPr>
            <w:tcW w:type="dxa" w:w="32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Food commodities remain a current inflation pressure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Food Inflation Monitor and commodity risk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USD/IDR Rp17,700</w:t>
            </w:r>
          </w:p>
        </w:tc>
        <w:tc>
          <w:tcPr>
            <w:tcW w:type="dxa" w:w="32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Weaker rupiah raises imported inflation and logistics exposure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Rupiah scenario planning and import exposure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Weather risk</w:t>
            </w:r>
          </w:p>
        </w:tc>
        <w:tc>
          <w:tcPr>
            <w:tcW w:type="dxa" w:w="32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Flood, drought, and climate shocks affect production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BMKG-based Weather Risk Engine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Regional imbalance</w:t>
            </w:r>
          </w:p>
        </w:tc>
        <w:tc>
          <w:tcPr>
            <w:tcW w:type="dxa" w:w="32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Surplus and deficit regions need coordinated distribution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Supply-demand map and route recommendation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Data trust gap</w:t>
            </w:r>
          </w:p>
        </w:tc>
        <w:tc>
          <w:tcPr>
            <w:tcW w:type="dxa" w:w="32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Forecast, seed, and official data must not be mixed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Data lineage labels and expected data fields</w:t>
            </w:r>
          </w:p>
        </w:tc>
      </w:tr>
    </w:tbl>
    <w:p/>
    <w:p>
      <w:pPr>
        <w:pStyle w:val="Heading1"/>
      </w:pPr>
      <w:r>
        <w:t>2. Evidence of Demand</w:t>
      </w:r>
    </w:p>
    <w:p>
      <w:pPr/>
      <w:r>
        <w:t>Demand is demonstrated by public problem evidence and institutional need. Stakeholders do not only need another dashboard; they need a shared decision layer that explains what happened, why it matters, what action should be prioritized, and which data can be trusted.</w:t>
      </w:r>
    </w:p>
    <w:tbl>
      <w:tblPr>
        <w:tblStyle w:val="TableGrid"/>
        <w:tblW w:type="dxa" w:w="9144"/>
        <w:jc w:val="left"/>
        <w:tblLayout w:type="fixed"/>
        <w:tblLook w:firstColumn="1" w:firstRow="1" w:lastColumn="0" w:lastRow="0" w:noHBand="0" w:noVBand="1" w:val="04A0"/>
      </w:tblPr>
      <w:tblGrid>
        <w:gridCol w:w="3528"/>
        <w:gridCol w:w="2088"/>
        <w:gridCol w:w="3528"/>
      </w:tblGrid>
      <w:tr>
        <w:tc>
          <w:tcPr>
            <w:tcW w:type="dxa" w:w="3528"/>
            <w:vAlign w:val="center"/>
            <w:shd w:fill="E8EEF5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11827"/>
                <w:sz w:val="16"/>
              </w:rPr>
              <w:t>Real Problem Evidence</w:t>
            </w:r>
          </w:p>
        </w:tc>
        <w:tc>
          <w:tcPr>
            <w:tcW w:type="dxa" w:w="2088"/>
            <w:vAlign w:val="center"/>
            <w:shd w:fill="E8EEF5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11827"/>
                <w:sz w:val="16"/>
              </w:rPr>
              <w:t>Source</w:t>
            </w:r>
          </w:p>
        </w:tc>
        <w:tc>
          <w:tcPr>
            <w:tcW w:type="dxa" w:w="3528"/>
            <w:vAlign w:val="center"/>
            <w:shd w:fill="E8EEF5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11827"/>
                <w:sz w:val="16"/>
              </w:rPr>
              <w:t>Demand Signal</w:t>
            </w:r>
          </w:p>
        </w:tc>
      </w:tr>
      <w:tr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Inflasi Mei 2026 mencapai 3.08% yoy dan 0.28% mtm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BPS, 2 June 2026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Price stability is an active public issue</w:t>
            </w:r>
          </w:p>
        </w:tc>
      </w:tr>
      <w:tr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Volatile food mencapai 6.24% yoy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Antara citing BPS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Strategic food commodities still drive inflation pressure</w:t>
            </w:r>
          </w:p>
        </w:tc>
      </w:tr>
      <w:tr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Rupiah Rp17,700/USD and BI-Rate 5.25%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Bank Indonesia RDG May 2026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Macro shock requires resilient scenario planning</w:t>
            </w:r>
          </w:p>
        </w:tc>
      </w:tr>
      <w:tr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Imports Jan-Feb 2026 reached US$42.09B, +14.44% yoy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BPS export-import release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Imported inputs, energy, and logistics can become more expensive</w:t>
            </w:r>
          </w:p>
        </w:tc>
      </w:tr>
      <w:tr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Bapanas mission includes reserve, logistics, distribution, stabilization, and vulnerable regions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Bapanas Renstra 2025-2029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The solution aligns with institutional mandate</w:t>
            </w:r>
          </w:p>
        </w:tc>
      </w:tr>
      <w:tr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BMKG provides 3-day village-level weather forecast, updated twice daily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BMKG Open Data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Weather data can feed early warning for food risk</w:t>
            </w:r>
          </w:p>
        </w:tc>
      </w:tr>
    </w:tbl>
    <w:p/>
    <w:p>
      <w:pPr>
        <w:pStyle w:val="Heading1"/>
      </w:pPr>
      <w:r>
        <w:t>3. Problem-Solution Mapping</w:t>
      </w:r>
    </w:p>
    <w:tbl>
      <w:tblPr>
        <w:tblStyle w:val="TableGrid"/>
        <w:tblW w:type="dxa" w:w="9144"/>
        <w:jc w:val="left"/>
        <w:tblLayout w:type="fixed"/>
        <w:tblLook w:firstColumn="1" w:firstRow="1" w:lastColumn="0" w:lastRow="0" w:noHBand="0" w:noVBand="1" w:val="04A0"/>
      </w:tblPr>
      <w:tblGrid>
        <w:gridCol w:w="2664"/>
        <w:gridCol w:w="3384"/>
        <w:gridCol w:w="3096"/>
      </w:tblGrid>
      <w:tr>
        <w:tc>
          <w:tcPr>
            <w:tcW w:type="dxa" w:w="2664"/>
            <w:vAlign w:val="center"/>
            <w:shd w:fill="E8EEF5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11827"/>
                <w:sz w:val="16"/>
              </w:rPr>
              <w:t>Problem</w:t>
            </w:r>
          </w:p>
        </w:tc>
        <w:tc>
          <w:tcPr>
            <w:tcW w:type="dxa" w:w="3384"/>
            <w:vAlign w:val="center"/>
            <w:shd w:fill="E8EEF5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11827"/>
                <w:sz w:val="16"/>
              </w:rPr>
              <w:t>Mechanism</w:t>
            </w:r>
          </w:p>
        </w:tc>
        <w:tc>
          <w:tcPr>
            <w:tcW w:type="dxa" w:w="3096"/>
            <w:vAlign w:val="center"/>
            <w:shd w:fill="E8EEF5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11827"/>
                <w:sz w:val="16"/>
              </w:rPr>
              <w:t>Outcome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Fragmented food data</w:t>
            </w:r>
          </w:p>
        </w:tc>
        <w:tc>
          <w:tcPr>
            <w:tcW w:type="dxa" w:w="33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Integrate price, supply-demand, weather, macro, and logistics in one cockpit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Decision makers see root causes, not only price symptoms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Policy lag</w:t>
            </w:r>
          </w:p>
        </w:tc>
        <w:tc>
          <w:tcPr>
            <w:tcW w:type="dxa" w:w="33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Early warning, Resilience Score, action cards, redistribution recommendation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Stock intervention, market operation, and harvest mitigation can start earlier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Weaker rupiah and imported inflation</w:t>
            </w:r>
          </w:p>
        </w:tc>
        <w:tc>
          <w:tcPr>
            <w:tcW w:type="dxa" w:w="33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Currency scenario planning, import exposure, logistics-cost simulation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Food decisions become more resilient against external shocks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Unclear data quality</w:t>
            </w:r>
          </w:p>
        </w:tc>
        <w:tc>
          <w:tcPr>
            <w:tcW w:type="dxa" w:w="33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Data lineage: real-time, official-release, forecast, unavailable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Every recommendation is more auditable and honest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Suboptimal logistics route</w:t>
            </w:r>
          </w:p>
        </w:tc>
        <w:tc>
          <w:tcPr>
            <w:tcW w:type="dxa" w:w="33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Route ranking, volume estimate, optional Google ETA/distance, expected partner data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Distribution from surplus to deficit regions becomes more targeted</w:t>
            </w:r>
          </w:p>
        </w:tc>
      </w:tr>
    </w:tbl>
    <w:p/>
    <w:p>
      <w:r>
        <w:br w:type="page"/>
      </w:r>
    </w:p>
    <w:p>
      <w:pPr>
        <w:pStyle w:val="Heading1"/>
      </w:pPr>
      <w:r>
        <w:t>4. System Architecture</w:t>
      </w:r>
    </w:p>
    <w:p>
      <w:pPr/>
      <w:r>
        <w:t>The architecture separates user interface, API orchestration, data storage, external data connectors, model outputs, and data lineage. This supports a transparent MVP today and a production path with institutional data partners later.</w:t>
      </w:r>
    </w:p>
    <w:p>
      <w:r>
        <w:drawing>
          <wp:inline xmlns:a="http://schemas.openxmlformats.org/drawingml/2006/main" xmlns:pic="http://schemas.openxmlformats.org/drawingml/2006/picture">
            <wp:extent cx="5806440" cy="38064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064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Data Source and Feasibility Matrix</w:t>
      </w:r>
    </w:p>
    <w:tbl>
      <w:tblPr>
        <w:tblStyle w:val="TableGrid"/>
        <w:tblW w:type="dxa" w:w="9144"/>
        <w:jc w:val="left"/>
        <w:tblLayout w:type="fixed"/>
        <w:tblLook w:firstColumn="1" w:firstRow="1" w:lastColumn="0" w:lastRow="0" w:noHBand="0" w:noVBand="1" w:val="04A0"/>
      </w:tblPr>
      <w:tblGrid>
        <w:gridCol w:w="1944"/>
        <w:gridCol w:w="1872"/>
        <w:gridCol w:w="2880"/>
        <w:gridCol w:w="2448"/>
      </w:tblGrid>
      <w:tr>
        <w:tc>
          <w:tcPr>
            <w:tcW w:type="dxa" w:w="1944"/>
            <w:vAlign w:val="center"/>
            <w:shd w:fill="E8EEF5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11827"/>
                <w:sz w:val="16"/>
              </w:rPr>
              <w:t>Dataset</w:t>
            </w:r>
          </w:p>
        </w:tc>
        <w:tc>
          <w:tcPr>
            <w:tcW w:type="dxa" w:w="1872"/>
            <w:vAlign w:val="center"/>
            <w:shd w:fill="E8EEF5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11827"/>
                <w:sz w:val="16"/>
              </w:rPr>
              <w:t>Current Status</w:t>
            </w:r>
          </w:p>
        </w:tc>
        <w:tc>
          <w:tcPr>
            <w:tcW w:type="dxa" w:w="2880"/>
            <w:vAlign w:val="center"/>
            <w:shd w:fill="E8EEF5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11827"/>
                <w:sz w:val="16"/>
              </w:rPr>
              <w:t>Source / Method</w:t>
            </w:r>
          </w:p>
        </w:tc>
        <w:tc>
          <w:tcPr>
            <w:tcW w:type="dxa" w:w="2448"/>
            <w:vAlign w:val="center"/>
            <w:shd w:fill="E8EEF5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11827"/>
                <w:sz w:val="16"/>
              </w:rPr>
              <w:t>Production Requirement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4"/>
              </w:rPr>
              <w:t>Inflation and macro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4"/>
              </w:rPr>
              <w:t>official-release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4"/>
              </w:rPr>
              <w:t>BPS and BI releases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4"/>
              </w:rPr>
              <w:t>Periodic official update ingestion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4"/>
              </w:rPr>
              <w:t>Weather forecast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4"/>
              </w:rPr>
              <w:t>real-time capable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4"/>
              </w:rPr>
              <w:t>BMKG Open Data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4"/>
              </w:rPr>
              <w:t>adm4 mapping for all target regions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4"/>
              </w:rPr>
              <w:t>Food prices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4"/>
              </w:rPr>
              <w:t>real-time capable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4"/>
              </w:rPr>
              <w:t>BI Harga Pangan scraper/API; Bapanas when stable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4"/>
              </w:rPr>
              <w:t>Stable endpoint access and source logging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4"/>
              </w:rPr>
              <w:t>Supply-demand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4"/>
              </w:rPr>
              <w:t>forecast / seed MVP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4"/>
              </w:rPr>
              <w:t>Prototype seed; expected Bapanas/Bulog/Dinas data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4"/>
              </w:rPr>
              <w:t>production_ton, stock_ton, demand_ton, warehouse_id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4"/>
              </w:rPr>
              <w:t>Logistics ETA/distance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4"/>
              </w:rPr>
              <w:t>real-time capable when key exists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4"/>
              </w:rPr>
              <w:t>Google Routes API for eligible road routes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4"/>
              </w:rPr>
              <w:t>Google key and road-routable origin/destination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4"/>
              </w:rPr>
              <w:t>Logistics cost/capacity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4"/>
              </w:rPr>
              <w:t>forecast / unavailable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4"/>
              </w:rPr>
              <w:t>Prototype route table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4"/>
              </w:rPr>
              <w:t>carrier, capacity_ton, cost_per_ton, lead_time_days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4"/>
              </w:rPr>
              <w:t>Resilience score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4"/>
              </w:rPr>
              <w:t>forecast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4"/>
              </w:rPr>
              <w:t>Kepang AI model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4"/>
              </w:rPr>
              <w:t>Validation against historical interventions</w:t>
            </w:r>
          </w:p>
        </w:tc>
      </w:tr>
    </w:tbl>
    <w:p/>
    <w:tbl>
      <w:tblPr>
        <w:tblStyle w:val="TableGrid"/>
        <w:tblW w:type="dxa" w:w="9144"/>
        <w:jc w:val="left"/>
        <w:tblLayout w:type="fixed"/>
        <w:tblLook w:firstColumn="1" w:firstRow="1" w:lastColumn="0" w:lastRow="0" w:noHBand="0" w:noVBand="1" w:val="04A0"/>
      </w:tblPr>
      <w:tblGrid>
        <w:gridCol w:w="9144"/>
      </w:tblGrid>
      <w:tr>
        <w:tc>
          <w:tcPr>
            <w:tcW w:type="dxa" w:w="9144"/>
            <w:shd w:fill="FFFBEB"/>
          </w:tcPr>
          <w:p>
            <w:r>
              <w:rPr>
                <w:rFonts w:ascii="Calibri" w:hAnsi="Calibri"/>
                <w:b/>
                <w:color w:val="92400E"/>
                <w:sz w:val="20"/>
              </w:rPr>
              <w:t>Data honesty rule</w:t>
            </w:r>
            <w:r>
              <w:rPr>
                <w:rFonts w:ascii="Calibri" w:hAnsi="Calibri"/>
              </w:rPr>
              <w:br/>
              <w:t>Kepang AI must not present seed, proxy, or model output as audited real-time data. Every displayed dataset is labelled as real-time, official-release, forecast, or unavailable.</w:t>
            </w:r>
          </w:p>
        </w:tc>
      </w:tr>
    </w:tbl>
    <w:p/>
    <w:p>
      <w:r>
        <w:br w:type="page"/>
      </w:r>
    </w:p>
    <w:p>
      <w:pPr>
        <w:pStyle w:val="Heading1"/>
      </w:pPr>
      <w:r>
        <w:t>6. Impact Measurement</w:t>
      </w:r>
    </w:p>
    <w:tbl>
      <w:tblPr>
        <w:tblStyle w:val="TableGrid"/>
        <w:tblW w:type="dxa" w:w="9142"/>
        <w:jc w:val="left"/>
        <w:tblLayout w:type="fixed"/>
        <w:tblLook w:firstColumn="1" w:firstRow="1" w:lastColumn="0" w:lastRow="0" w:noHBand="0" w:noVBand="1" w:val="04A0"/>
      </w:tblPr>
      <w:tblGrid>
        <w:gridCol w:w="2951"/>
        <w:gridCol w:w="2160"/>
        <w:gridCol w:w="4031"/>
      </w:tblGrid>
      <w:tr>
        <w:tc>
          <w:tcPr>
            <w:tcW w:type="dxa" w:w="2951"/>
            <w:vAlign w:val="center"/>
            <w:shd w:fill="E8EEF5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11827"/>
                <w:sz w:val="16"/>
              </w:rPr>
              <w:t>KPI</w:t>
            </w:r>
          </w:p>
        </w:tc>
        <w:tc>
          <w:tcPr>
            <w:tcW w:type="dxa" w:w="2160"/>
            <w:vAlign w:val="center"/>
            <w:shd w:fill="E8EEF5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11827"/>
                <w:sz w:val="16"/>
              </w:rPr>
              <w:t>MVP Target</w:t>
            </w:r>
          </w:p>
        </w:tc>
        <w:tc>
          <w:tcPr>
            <w:tcW w:type="dxa" w:w="4031"/>
            <w:vAlign w:val="center"/>
            <w:shd w:fill="E8EEF5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11827"/>
                <w:sz w:val="16"/>
              </w:rPr>
              <w:t>Measurement Method</w:t>
            </w:r>
          </w:p>
        </w:tc>
      </w:tr>
      <w:tr>
        <w:tc>
          <w:tcPr>
            <w:tcW w:type="dxa" w:w="2951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Time to identify priority region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Under 3 minutes</w:t>
            </w:r>
          </w:p>
        </w:tc>
        <w:tc>
          <w:tcPr>
            <w:tcW w:type="dxa" w:w="4031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User task test with TPID/dinas pangan persona</w:t>
            </w:r>
          </w:p>
        </w:tc>
      </w:tr>
      <w:tr>
        <w:tc>
          <w:tcPr>
            <w:tcW w:type="dxa" w:w="2951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Time-to-insight reduction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50% vs manual baseline</w:t>
            </w:r>
          </w:p>
        </w:tc>
        <w:tc>
          <w:tcPr>
            <w:tcW w:type="dxa" w:w="4031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Compare dashboard task vs spreadsheet/manual workflow</w:t>
            </w:r>
          </w:p>
        </w:tc>
      </w:tr>
      <w:tr>
        <w:tc>
          <w:tcPr>
            <w:tcW w:type="dxa" w:w="2951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Simulated supply gap reduction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At least 30%</w:t>
            </w:r>
          </w:p>
        </w:tc>
        <w:tc>
          <w:tcPr>
            <w:tcW w:type="dxa" w:w="4031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Before-after redistribution scenario</w:t>
            </w:r>
          </w:p>
        </w:tc>
      </w:tr>
      <w:tr>
        <w:tc>
          <w:tcPr>
            <w:tcW w:type="dxa" w:w="2951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Logistics cost potential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5-10%</w:t>
            </w:r>
          </w:p>
        </w:tc>
        <w:tc>
          <w:tcPr>
            <w:tcW w:type="dxa" w:w="4031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Cost per ton before-after route optimization</w:t>
            </w:r>
          </w:p>
        </w:tc>
      </w:tr>
      <w:tr>
        <w:tc>
          <w:tcPr>
            <w:tcW w:type="dxa" w:w="2951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Data lineage completeness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100%</w:t>
            </w:r>
          </w:p>
        </w:tc>
        <w:tc>
          <w:tcPr>
            <w:tcW w:type="dxa" w:w="4031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Audit UI and API response</w:t>
            </w:r>
          </w:p>
        </w:tc>
      </w:tr>
      <w:tr>
        <w:tc>
          <w:tcPr>
            <w:tcW w:type="dxa" w:w="2951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Recommendation validation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5-10 interviews</w:t>
            </w:r>
          </w:p>
        </w:tc>
        <w:tc>
          <w:tcPr>
            <w:tcW w:type="dxa" w:w="4031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Structured interview scorecard</w:t>
            </w:r>
          </w:p>
        </w:tc>
      </w:tr>
    </w:tbl>
    <w:p/>
    <w:p>
      <w:pPr>
        <w:pStyle w:val="Heading1"/>
      </w:pPr>
      <w:r>
        <w:t>7. Business Model and Sustainability</w:t>
      </w:r>
    </w:p>
    <w:tbl>
      <w:tblPr>
        <w:tblStyle w:val="TableGrid"/>
        <w:tblW w:type="dxa" w:w="9144"/>
        <w:jc w:val="left"/>
        <w:tblLayout w:type="fixed"/>
        <w:tblLook w:firstColumn="1" w:firstRow="1" w:lastColumn="0" w:lastRow="0" w:noHBand="0" w:noVBand="1" w:val="04A0"/>
      </w:tblPr>
      <w:tblGrid>
        <w:gridCol w:w="2520"/>
        <w:gridCol w:w="3024"/>
        <w:gridCol w:w="3600"/>
      </w:tblGrid>
      <w:tr>
        <w:tc>
          <w:tcPr>
            <w:tcW w:type="dxa" w:w="2520"/>
            <w:vAlign w:val="center"/>
            <w:shd w:fill="E8EEF5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11827"/>
                <w:sz w:val="16"/>
              </w:rPr>
              <w:t>Revenue Stream</w:t>
            </w:r>
          </w:p>
        </w:tc>
        <w:tc>
          <w:tcPr>
            <w:tcW w:type="dxa" w:w="3024"/>
            <w:vAlign w:val="center"/>
            <w:shd w:fill="E8EEF5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11827"/>
                <w:sz w:val="16"/>
              </w:rPr>
              <w:t>Buyer</w:t>
            </w:r>
          </w:p>
        </w:tc>
        <w:tc>
          <w:tcPr>
            <w:tcW w:type="dxa" w:w="3600"/>
            <w:vAlign w:val="center"/>
            <w:shd w:fill="E8EEF5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11827"/>
                <w:sz w:val="16"/>
              </w:rPr>
              <w:t>Value Sold</w:t>
            </w:r>
          </w:p>
        </w:tc>
      </w:tr>
      <w:tr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Annual institutional license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Pemda, TPID, Bapanas, Bulog, BI regional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Dashboard, user seats, modules, regional coverage</w:t>
            </w:r>
          </w:p>
        </w:tc>
      </w:tr>
      <w:tr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Implementation fee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Pilot institution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Setup, data integration, training, custom workflow</w:t>
            </w:r>
          </w:p>
        </w:tc>
      </w:tr>
      <w:tr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Managed analytics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Government or enterprise partner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Monthly risk report and scenario briefing</w:t>
            </w:r>
          </w:p>
        </w:tc>
      </w:tr>
      <w:tr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API subscription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Institutions, logistics, finance, insurance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Risk score, anomaly signal, route intelligence</w:t>
            </w:r>
          </w:p>
        </w:tc>
      </w:tr>
      <w:tr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Logistics add-on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Carrier, warehouse, commodity aggregator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Route optimization, backhaul, capacity matching</w:t>
            </w:r>
          </w:p>
        </w:tc>
      </w:tr>
      <w:tr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Grant / innovation funding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Public program, CSR, donor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Early pilot, validation, and social impact deployment</w:t>
            </w:r>
          </w:p>
        </w:tc>
      </w:tr>
    </w:tbl>
    <w:p/>
    <w:p>
      <w:pPr/>
      <w:r>
        <w:t>The product monetizes the intelligence layer, not raw public data. Profitability can come from recurring institutional subscriptions, implementation services, managed analytics, and API/logistics add-ons once pilots prove measurable value.</w:t>
      </w:r>
    </w:p>
    <w:p>
      <w:r>
        <w:br w:type="page"/>
      </w:r>
    </w:p>
    <w:p>
      <w:pPr>
        <w:pStyle w:val="Heading1"/>
      </w:pPr>
      <w:r>
        <w:t>8. Guidebook Alignment</w:t>
      </w:r>
    </w:p>
    <w:tbl>
      <w:tblPr>
        <w:tblStyle w:val="TableGrid"/>
        <w:tblW w:type="dxa" w:w="9144"/>
        <w:jc w:val="left"/>
        <w:tblLayout w:type="fixed"/>
        <w:tblLook w:firstColumn="1" w:firstRow="1" w:lastColumn="0" w:lastRow="0" w:noHBand="0" w:noVBand="1" w:val="04A0"/>
      </w:tblPr>
      <w:tblGrid>
        <w:gridCol w:w="2592"/>
        <w:gridCol w:w="5112"/>
        <w:gridCol w:w="1440"/>
      </w:tblGrid>
      <w:tr>
        <w:tc>
          <w:tcPr>
            <w:tcW w:type="dxa" w:w="2592"/>
            <w:vAlign w:val="center"/>
            <w:shd w:fill="E8EEF5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11827"/>
                <w:sz w:val="16"/>
              </w:rPr>
              <w:t>Guidebook Criterion</w:t>
            </w:r>
          </w:p>
        </w:tc>
        <w:tc>
          <w:tcPr>
            <w:tcW w:type="dxa" w:w="5112"/>
            <w:vAlign w:val="center"/>
            <w:shd w:fill="E8EEF5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11827"/>
                <w:sz w:val="16"/>
              </w:rPr>
              <w:t>Evidence in Kepang AI</w:t>
            </w:r>
          </w:p>
        </w:tc>
        <w:tc>
          <w:tcPr>
            <w:tcW w:type="dxa" w:w="1440"/>
            <w:vAlign w:val="center"/>
            <w:shd w:fill="E8EEF5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11827"/>
                <w:sz w:val="16"/>
              </w:rPr>
              <w:t>Status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Alignment with Problem Statement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Digitalisasi Ketahanan Pangan, policy lag, supply-demand, price, weather, logistics, and rupiah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Ready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Effectiveness &amp; Impact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Resilience Score, action cards, KPI targets, supply gap, route efficiency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Ready for MVP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Uniqueness / Creativity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Decision cockpit, rupiah shock scenario, data lineage, source-aware logistics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Ready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Technical Quality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React/Vite, Express, PostgreSQL/Supabase, BI scraper, BMKG service, Google optional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Prototype ready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Business Model Feasibility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B2G SaaS, implementation fee, managed analytics, API subscription, logistics add-on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Ready</w:t>
            </w:r>
          </w:p>
        </w:tc>
      </w:tr>
    </w:tbl>
    <w:p/>
    <w:p>
      <w:pPr>
        <w:pStyle w:val="Heading1"/>
      </w:pPr>
      <w:r>
        <w:t>9. MVP Readiness and Test Evidence</w:t>
      </w:r>
    </w:p>
    <w:tbl>
      <w:tblPr>
        <w:tblStyle w:val="TableGrid"/>
        <w:tblW w:type="dxa" w:w="9144"/>
        <w:jc w:val="left"/>
        <w:tblLayout w:type="fixed"/>
        <w:tblLook w:firstColumn="1" w:firstRow="1" w:lastColumn="0" w:lastRow="0" w:noHBand="0" w:noVBand="1" w:val="04A0"/>
      </w:tblPr>
      <w:tblGrid>
        <w:gridCol w:w="2376"/>
        <w:gridCol w:w="1296"/>
        <w:gridCol w:w="5472"/>
      </w:tblGrid>
      <w:tr>
        <w:tc>
          <w:tcPr>
            <w:tcW w:type="dxa" w:w="2376"/>
            <w:vAlign w:val="center"/>
            <w:shd w:fill="E8EEF5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11827"/>
                <w:sz w:val="16"/>
              </w:rPr>
              <w:t>Check</w:t>
            </w:r>
          </w:p>
        </w:tc>
        <w:tc>
          <w:tcPr>
            <w:tcW w:type="dxa" w:w="1296"/>
            <w:vAlign w:val="center"/>
            <w:shd w:fill="E8EEF5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11827"/>
                <w:sz w:val="16"/>
              </w:rPr>
              <w:t>Result</w:t>
            </w:r>
          </w:p>
        </w:tc>
        <w:tc>
          <w:tcPr>
            <w:tcW w:type="dxa" w:w="5472"/>
            <w:vAlign w:val="center"/>
            <w:shd w:fill="E8EEF5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11827"/>
                <w:sz w:val="16"/>
              </w:rPr>
              <w:t>Observation</w:t>
            </w:r>
          </w:p>
        </w:tc>
      </w:tr>
      <w:tr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Frontend build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Pass</w:t>
            </w:r>
          </w:p>
        </w:tc>
        <w:tc>
          <w:tcPr>
            <w:tcW w:type="dxa" w:w="547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Vite production build completed; chunk-size warning non-blocking</w:t>
            </w:r>
          </w:p>
        </w:tc>
      </w:tr>
      <w:tr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Backend syntax checks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Pass</w:t>
            </w:r>
          </w:p>
        </w:tc>
        <w:tc>
          <w:tcPr>
            <w:tcW w:type="dxa" w:w="547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forecast route, logistics route, googleRoutesService valid</w:t>
            </w:r>
          </w:p>
        </w:tc>
      </w:tr>
      <w:tr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GET /api/health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Pass</w:t>
            </w:r>
          </w:p>
        </w:tc>
        <w:tc>
          <w:tcPr>
            <w:tcW w:type="dxa" w:w="547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status=ok, database=ok, redis=disabled locally</w:t>
            </w:r>
          </w:p>
        </w:tc>
      </w:tr>
      <w:tr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GET /api/forecast/resilience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Pass</w:t>
            </w:r>
          </w:p>
        </w:tc>
        <w:tc>
          <w:tcPr>
            <w:tcW w:type="dxa" w:w="547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Macro context, resilience score, data policy, data provenance returned</w:t>
            </w:r>
          </w:p>
        </w:tc>
      </w:tr>
      <w:tr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GET /api/logistics/recommendations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Pass</w:t>
            </w:r>
          </w:p>
        </w:tc>
        <w:tc>
          <w:tcPr>
            <w:tcW w:type="dxa" w:w="547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Ranked routes, source policy, expected production data returned</w:t>
            </w:r>
          </w:p>
        </w:tc>
      </w:tr>
      <w:tr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Browser checks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Pass</w:t>
            </w:r>
          </w:p>
        </w:tc>
        <w:tc>
          <w:tcPr>
            <w:tcW w:type="dxa" w:w="547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Evidence Room and Dashboard render with no mojibake</w:t>
            </w:r>
          </w:p>
        </w:tc>
      </w:tr>
    </w:tbl>
    <w:p/>
    <w:p>
      <w:pPr>
        <w:pStyle w:val="Heading1"/>
      </w:pPr>
      <w:r>
        <w:t>10. Open Gaps and Next Validation</w:t>
      </w:r>
    </w:p>
    <w:p>
      <w:pPr>
        <w:pStyle w:val="ListBullet"/>
      </w:pPr>
      <w:r>
        <w:t>Fill final Team ID and confirm official team composition before submission.</w:t>
      </w:r>
    </w:p>
    <w:p>
      <w:pPr>
        <w:pStyle w:val="ListBullet"/>
      </w:pPr>
      <w:r>
        <w:t>Run 5-10 structured interviews with TPID, dinas pangan, Bulog/logistics, BI regional, commodity traders, and warehouse/carrier operators.</w:t>
      </w:r>
    </w:p>
    <w:p>
      <w:pPr>
        <w:pStyle w:val="ListBullet"/>
      </w:pPr>
      <w:r>
        <w:t>Integrate production stock, warehouse, carrier capacity, port congestion, and actual cost-per-ton feeds when partner access is available.</w:t>
      </w:r>
    </w:p>
    <w:p>
      <w:pPr>
        <w:pStyle w:val="ListBullet"/>
      </w:pPr>
      <w:r>
        <w:t>Configure Google Maps keys only for road ETA/distance; do not claim sea/cargo cost or capacity as Google real-time data.</w:t>
      </w:r>
    </w:p>
    <w:p>
      <w:pPr>
        <w:pStyle w:val="ListBullet"/>
      </w:pPr>
      <w:r>
        <w:t>Prepare a 2-3 minute demo video as backup if public hosting is deferred.</w:t>
      </w:r>
    </w:p>
    <w:p>
      <w:pPr>
        <w:pStyle w:val="Heading1"/>
      </w:pPr>
      <w:r>
        <w:t>11. Source Links</w:t>
      </w:r>
    </w:p>
    <w:tbl>
      <w:tblPr>
        <w:tblStyle w:val="TableGrid"/>
        <w:tblW w:type="dxa" w:w="9144"/>
        <w:jc w:val="left"/>
        <w:tblLayout w:type="fixed"/>
        <w:tblLook w:firstColumn="1" w:firstRow="1" w:lastColumn="0" w:lastRow="0" w:noHBand="0" w:noVBand="1" w:val="04A0"/>
      </w:tblPr>
      <w:tblGrid>
        <w:gridCol w:w="2664"/>
        <w:gridCol w:w="6480"/>
      </w:tblGrid>
      <w:tr>
        <w:tc>
          <w:tcPr>
            <w:tcW w:type="dxa" w:w="2664"/>
            <w:vAlign w:val="center"/>
            <w:shd w:fill="E8EEF5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11827"/>
                <w:sz w:val="16"/>
              </w:rPr>
              <w:t>Source</w:t>
            </w:r>
          </w:p>
        </w:tc>
        <w:tc>
          <w:tcPr>
            <w:tcW w:type="dxa" w:w="6480"/>
            <w:vAlign w:val="center"/>
            <w:shd w:fill="E8EEF5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11827"/>
                <w:sz w:val="16"/>
              </w:rPr>
              <w:t>URL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3"/>
              </w:rPr>
              <w:t>BPS Inflasi Mei 2026</w:t>
            </w:r>
          </w:p>
        </w:tc>
        <w:tc>
          <w:tcPr>
            <w:tcW w:type="dxa" w:w="64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3"/>
              </w:rPr>
              <w:t>https://www.bps.go.id/id/pressrelease/2026/06/02/2579/inflasi-year-on-year--y-on-y--pada-mei-2026-sebesar-3-08-persen-.html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3"/>
              </w:rPr>
              <w:t>Antara/BPS volatile food</w:t>
            </w:r>
          </w:p>
        </w:tc>
        <w:tc>
          <w:tcPr>
            <w:tcW w:type="dxa" w:w="64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3"/>
              </w:rPr>
              <w:t>https://www.antaranews.com/berita/5590715/bps-kenaikan-bbm-nonsubsidi-dorong-inflasi-transportasi-061-persen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3"/>
              </w:rPr>
              <w:t>BI RDG Mei 2026</w:t>
            </w:r>
          </w:p>
        </w:tc>
        <w:tc>
          <w:tcPr>
            <w:tcW w:type="dxa" w:w="64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3"/>
              </w:rPr>
              <w:t>https://www.bi.go.id/id/publikasi/ruang-media/news-release/Pages/sp_2810726.aspx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3"/>
              </w:rPr>
              <w:t>BPS Ekspor-Impor Februari 2026</w:t>
            </w:r>
          </w:p>
        </w:tc>
        <w:tc>
          <w:tcPr>
            <w:tcW w:type="dxa" w:w="64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3"/>
              </w:rPr>
              <w:t>https://www.bps.go.id/assets/pressrelease/2026/04/01/2557/ekspor-dan-impor-indonesia-februari-2026-masing-masing-tercatat-usd-22-17-miliar-dan-usd-20-89-miliar-.html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3"/>
              </w:rPr>
              <w:t>BPS NTP Mei 2026</w:t>
            </w:r>
          </w:p>
        </w:tc>
        <w:tc>
          <w:tcPr>
            <w:tcW w:type="dxa" w:w="64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3"/>
              </w:rPr>
              <w:t>https://www.bps.go.id/id/pressrelease/2026/06/02/2580/nilai-tukar-petani--ntp--mei-2026-sebesar-127-73-atau-naik-1-99-persen.html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3"/>
              </w:rPr>
              <w:t>BMKG Open Data</w:t>
            </w:r>
          </w:p>
        </w:tc>
        <w:tc>
          <w:tcPr>
            <w:tcW w:type="dxa" w:w="64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3"/>
              </w:rPr>
              <w:t>https://data.bmkg.go.id/prakiraan-cuaca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3"/>
              </w:rPr>
              <w:t>Bapanas Renstra 2025-2029</w:t>
            </w:r>
          </w:p>
        </w:tc>
        <w:tc>
          <w:tcPr>
            <w:tcW w:type="dxa" w:w="64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3"/>
              </w:rPr>
              <w:t>https://peraturan.go.id/filespengundangan/peraturan-bapanas-no-9-tahun-2025.pdf</w:t>
            </w:r>
          </w:p>
        </w:tc>
      </w:tr>
    </w:tbl>
    <w:p/>
    <w:sectPr w:rsidR="00FC693F" w:rsidRPr="0006063C" w:rsidSect="00034616">
      <w:footerReference w:type="default" r:id="rId10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B7280"/>
        <w:sz w:val="17"/>
      </w:rPr>
      <w:t>Kepang AI - Submission Attachment - Prepared 4 June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