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jc w:val="center"/>
      </w:pPr>
      <w:r>
        <w:rPr>
          <w:rFonts w:ascii="Arial" w:cs="Arial" w:eastAsia="Arial" w:hAnsi="Arial"/>
          <w:b/>
          <w:bCs/>
          <w:color w:val="1B2B4B"/>
          <w:sz w:val="80"/>
          <w:szCs w:val="80"/>
        </w:rPr>
        <w:t xml:space="preserve">AccuTrac</w:t>
      </w:r>
    </w:p>
    <w:p>
      <w:pPr>
        <w:spacing w:after="80"/>
        <w:jc w:val="center"/>
      </w:pPr>
      <w:r>
        <w:rPr>
          <w:rFonts w:ascii="Arial" w:cs="Arial" w:eastAsia="Arial" w:hAnsi="Arial"/>
          <w:b w:val="false"/>
          <w:bCs w:val="false"/>
          <w:color w:val="C9A84C"/>
          <w:sz w:val="52"/>
          <w:szCs w:val="52"/>
        </w:rPr>
        <w:t xml:space="preserve">User Manual</w:t>
      </w:r>
    </w:p>
    <w:p>
      <w:pPr>
        <w:pBdr>
          <w:bottom w:val="single" w:color="C9A84C" w:sz="6" w:space="1"/>
        </w:pBdr>
        <w:spacing w:after="160"/>
      </w:pPr>
      <w:r>
        <w:t xml:space="preserve"/>
      </w:r>
    </w:p>
    <w:p>
      <w:pPr>
        <w:spacing w:after="320"/>
        <w:jc w:val="center"/>
      </w:pPr>
      <w:r>
        <w:rPr>
          <w:rFonts w:ascii="Arial" w:cs="Arial" w:eastAsia="Arial" w:hAnsi="Arial"/>
          <w:color w:val="1B2B4B"/>
          <w:sz w:val="28"/>
          <w:szCs w:val="28"/>
        </w:rPr>
        <w:t xml:space="preserve">Tungsten Supply Chain Compliance Platform</w:t>
      </w:r>
    </w:p>
    <w:p>
      <w:pPr>
        <w:spacing w:after="160"/>
        <w:jc w:val="center"/>
      </w:pPr>
      <w:r>
        <w:rPr>
          <w:rFonts w:ascii="Arial" w:cs="Arial" w:eastAsia="Arial" w:hAnsi="Arial"/>
          <w:color w:val="555555"/>
          <w:sz w:val="24"/>
          <w:szCs w:val="24"/>
        </w:rPr>
        <w:t xml:space="preserve">Version 1.0  —  March 2026</w:t>
      </w:r>
    </w:p>
    <w:p>
      <w:pPr>
        <w:pageBreakBefore/>
      </w:pPr>
      <w:r>
        <w:b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1. Introduction</w:t>
      </w:r>
    </w:p>
    <w:p>
      <w:pPr>
        <w:pStyle w:val="Heading2"/>
        <w:spacing w:after="120" w:before="280"/>
      </w:pPr>
      <w:r>
        <w:rPr>
          <w:rFonts w:ascii="Arial" w:cs="Arial" w:eastAsia="Arial" w:hAnsi="Arial"/>
          <w:b/>
          <w:bCs/>
          <w:color w:val="1B2B4B"/>
          <w:sz w:val="28"/>
          <w:szCs w:val="28"/>
        </w:rPr>
        <w:t xml:space="preserve">What Is AccuTrac?</w:t>
      </w:r>
    </w:p>
    <w:p>
      <w:pPr>
        <w:spacing w:after="120"/>
      </w:pPr>
      <w:r>
        <w:rPr>
          <w:rFonts w:ascii="Arial" w:cs="Arial" w:eastAsia="Arial" w:hAnsi="Arial"/>
          <w:color w:val="222222"/>
          <w:sz w:val="22"/>
          <w:szCs w:val="22"/>
        </w:rPr>
        <w:t xml:space="preserve">AccuTrac is a supply chain compliance platform that tracks the custody of mineral materials from extraction through to final processing. It provides a verifiable, tamper-evident record of every step a batch of material takes through the supply chain, enabling buyers, suppliers, and auditors to confirm that sourcing and handling practices meet internationally recognized due diligence standards.</w:t>
      </w:r>
    </w:p>
    <w:p>
      <w:pPr>
        <w:spacing w:after="120"/>
      </w:pPr>
      <w:r>
        <w:rPr>
          <w:rFonts w:ascii="Arial" w:cs="Arial" w:eastAsia="Arial" w:hAnsi="Arial"/>
          <w:color w:val="222222"/>
          <w:sz w:val="22"/>
          <w:szCs w:val="22"/>
        </w:rPr>
        <w:t xml:space="preserve">AccuTrac validates compliance against two leading frameworks:</w:t>
      </w:r>
    </w:p>
    <w:p>
      <w:pPr>
        <w:pStyle w:val="ListParagraph"/>
        <w:numPr>
          <w:ilvl w:val="0"/>
          <w:numId w:val="2"/>
        </w:numPr>
        <w:spacing w:after="60"/>
      </w:pPr>
      <w:r>
        <w:rPr>
          <w:rFonts w:ascii="Arial" w:cs="Arial" w:eastAsia="Arial" w:hAnsi="Arial"/>
          <w:sz w:val="22"/>
          <w:szCs w:val="22"/>
        </w:rPr>
        <w:t xml:space="preserve">RMAP (Responsible Minerals Assurance Process) — verifies that smelters and refiners have been audited and certified under the Responsible Minerals Initiative.</w:t>
      </w:r>
    </w:p>
    <w:p>
      <w:pPr>
        <w:pStyle w:val="ListParagraph"/>
        <w:numPr>
          <w:ilvl w:val="0"/>
          <w:numId w:val="2"/>
        </w:numPr>
        <w:spacing w:after="60"/>
      </w:pPr>
      <w:r>
        <w:rPr>
          <w:rFonts w:ascii="Arial" w:cs="Arial" w:eastAsia="Arial" w:hAnsi="Arial"/>
          <w:sz w:val="22"/>
          <w:szCs w:val="22"/>
        </w:rPr>
        <w:t xml:space="preserve">OECD Due Diligence Guidance (DDG) — assesses origin-country risk, sanctions exposure, and document completeness in line with the OECD's five-step framework for responsible mineral supply chains.</w:t>
      </w:r>
    </w:p>
    <w:p>
      <w:pPr>
        <w:spacing w:after="200" w:before="80"/>
      </w:pPr>
      <w:r>
        <w:t xml:space="preserve"/>
      </w:r>
    </w:p>
    <w:p>
      <w:pPr>
        <w:pStyle w:val="Heading2"/>
        <w:spacing w:after="120" w:before="280"/>
      </w:pPr>
      <w:r>
        <w:rPr>
          <w:rFonts w:ascii="Arial" w:cs="Arial" w:eastAsia="Arial" w:hAnsi="Arial"/>
          <w:b/>
          <w:bCs/>
          <w:color w:val="1B2B4B"/>
          <w:sz w:val="28"/>
          <w:szCs w:val="28"/>
        </w:rPr>
        <w:t xml:space="preserve">Who Uses AccuTrac?</w:t>
      </w:r>
    </w:p>
    <w:p>
      <w:pPr>
        <w:spacing w:after="120"/>
      </w:pPr>
      <w:r>
        <w:rPr>
          <w:rFonts w:ascii="Arial" w:cs="Arial" w:eastAsia="Arial" w:hAnsi="Arial"/>
          <w:color w:val="222222"/>
          <w:sz w:val="22"/>
          <w:szCs w:val="22"/>
        </w:rPr>
        <w:t xml:space="preserve">AccuTrac has three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Role</w:t>
            </w:r>
          </w:p>
        </w:tc>
        <w:tc>
          <w:tcPr>
            <w:tcW w:type="dxa" w:w="69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Supplier</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Miners, traders, processors, and exporters who create batches and record custody events as material moves through the chain.</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Buyer</w:t>
            </w:r>
          </w:p>
        </w:tc>
        <w:tc>
          <w:tcPr>
            <w:tcW w:type="dxa" w:w="6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Companies that receive material and need to verify compliance, generate reports, and share documentation with customers or auditors.</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Platform Admin</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AccuTrac platform administrators who manage users, maintain reference data (such as the RMAP smelter list), and review flagged compliance cases.</w:t>
            </w:r>
          </w:p>
        </w:tc>
      </w:tr>
    </w:tbl>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2. Getting Started</w:t>
      </w:r>
    </w:p>
    <w:p>
      <w:pPr>
        <w:pStyle w:val="Heading2"/>
        <w:spacing w:after="120" w:before="280"/>
      </w:pPr>
      <w:r>
        <w:rPr>
          <w:rFonts w:ascii="Arial" w:cs="Arial" w:eastAsia="Arial" w:hAnsi="Arial"/>
          <w:b/>
          <w:bCs/>
          <w:color w:val="1B2B4B"/>
          <w:sz w:val="28"/>
          <w:szCs w:val="28"/>
        </w:rPr>
        <w:t xml:space="preserve">Accessing AccuTrac</w:t>
      </w:r>
    </w:p>
    <w:p>
      <w:pPr>
        <w:spacing w:after="120"/>
      </w:pPr>
      <w:r>
        <w:rPr>
          <w:rFonts w:ascii="Arial" w:cs="Arial" w:eastAsia="Arial" w:hAnsi="Arial"/>
          <w:color w:val="222222"/>
          <w:sz w:val="22"/>
          <w:szCs w:val="22"/>
        </w:rPr>
        <w:t xml:space="preserve">AccuTrac is a web-based application. Open your preferred browser and navigate to the AccuTrac URL provided by your organization or platform administrator. No software installation is required.</w:t>
      </w:r>
    </w:p>
    <w:p>
      <w:pPr>
        <w:spacing w:after="120"/>
      </w:pPr>
      <w:r>
        <w:rPr>
          <w:rFonts w:ascii="Arial" w:cs="Arial" w:eastAsia="Arial" w:hAnsi="Arial"/>
          <w:color w:val="222222"/>
          <w:sz w:val="22"/>
          <w:szCs w:val="22"/>
        </w:rPr>
        <w:t xml:space="preserve">Supported browsers: Google Chrome (recommended), Mozilla Firefox, Microsoft Edge, Safari.</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Signing In</w:t>
      </w:r>
    </w:p>
    <w:p>
      <w:pPr>
        <w:spacing w:after="120"/>
      </w:pPr>
      <w:r>
        <w:rPr>
          <w:rFonts w:ascii="Arial" w:cs="Arial" w:eastAsia="Arial" w:hAnsi="Arial"/>
          <w:color w:val="222222"/>
          <w:sz w:val="22"/>
          <w:szCs w:val="22"/>
        </w:rPr>
        <w:t xml:space="preserve">AccuTrac uses secure single sign-on. You can sign in with:</w:t>
      </w:r>
    </w:p>
    <w:p>
      <w:pPr>
        <w:pStyle w:val="ListParagraph"/>
        <w:numPr>
          <w:ilvl w:val="0"/>
          <w:numId w:val="2"/>
        </w:numPr>
        <w:spacing w:after="60"/>
      </w:pPr>
      <w:r>
        <w:rPr>
          <w:rFonts w:ascii="Arial" w:cs="Arial" w:eastAsia="Arial" w:hAnsi="Arial"/>
          <w:sz w:val="22"/>
          <w:szCs w:val="22"/>
        </w:rPr>
        <w:t xml:space="preserve">Google account — click "Continue with Google" and sign in with your Google credentials.</w:t>
      </w:r>
    </w:p>
    <w:p>
      <w:pPr>
        <w:pStyle w:val="ListParagraph"/>
        <w:numPr>
          <w:ilvl w:val="0"/>
          <w:numId w:val="2"/>
        </w:numPr>
        <w:spacing w:after="60"/>
      </w:pPr>
      <w:r>
        <w:rPr>
          <w:rFonts w:ascii="Arial" w:cs="Arial" w:eastAsia="Arial" w:hAnsi="Arial"/>
          <w:sz w:val="22"/>
          <w:szCs w:val="22"/>
        </w:rPr>
        <w:t xml:space="preserve">Email and password — enter the email address associated with your AccuTrac account and your password.</w:t>
      </w:r>
    </w:p>
    <w:p>
      <w:pPr>
        <w:spacing w:after="80" w:before="80"/>
      </w:pPr>
      <w:r>
        <w:t xml:space="preserve"/>
      </w:r>
    </w:p>
    <w:p>
      <w:pPr>
        <w:spacing w:after="120"/>
      </w:pPr>
      <w:r>
        <w:rPr>
          <w:rFonts w:ascii="Arial" w:cs="Arial" w:eastAsia="Arial" w:hAnsi="Arial"/>
          <w:color w:val="222222"/>
          <w:sz w:val="22"/>
          <w:szCs w:val="22"/>
        </w:rPr>
        <w:t xml:space="preserve">First-time users: Your account must be created by a Platform Admin before you can sign in. You will receive an invitation email with a link to activate your account. The link expires after 7 days; contact your administrator if it has expired.</w:t>
      </w:r>
    </w:p>
    <w:p>
      <w:pPr>
        <w:spacing w:after="120"/>
      </w:pPr>
      <w:r>
        <w:rPr>
          <w:rFonts w:ascii="Arial" w:cs="Arial" w:eastAsia="Arial" w:hAnsi="Arial"/>
          <w:color w:val="222222"/>
          <w:sz w:val="22"/>
          <w:szCs w:val="22"/>
        </w:rPr>
        <w:t xml:space="preserve">Forgot your password? Click "Forgot password?" on the login screen. A reset link will be sent to your registered email address.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After Signing In</w:t>
      </w:r>
    </w:p>
    <w:p>
      <w:pPr>
        <w:spacing w:after="120"/>
      </w:pPr>
      <w:r>
        <w:rPr>
          <w:rFonts w:ascii="Arial" w:cs="Arial" w:eastAsia="Arial" w:hAnsi="Arial"/>
          <w:color w:val="222222"/>
          <w:sz w:val="22"/>
          <w:szCs w:val="22"/>
        </w:rPr>
        <w:t xml:space="preserve">Upon successful sign-in, AccuTrac detects your role and redirects you to the appropriate portal:</w:t>
      </w:r>
    </w:p>
    <w:p>
      <w:pPr>
        <w:pStyle w:val="ListParagraph"/>
        <w:numPr>
          <w:ilvl w:val="0"/>
          <w:numId w:val="2"/>
        </w:numPr>
        <w:spacing w:after="60"/>
      </w:pPr>
      <w:r>
        <w:rPr>
          <w:rFonts w:ascii="Arial" w:cs="Arial" w:eastAsia="Arial" w:hAnsi="Arial"/>
          <w:sz w:val="22"/>
          <w:szCs w:val="22"/>
        </w:rPr>
        <w:t xml:space="preserve">Suppliers are taken to the Supplier Dashboard.</w:t>
      </w:r>
    </w:p>
    <w:p>
      <w:pPr>
        <w:pStyle w:val="ListParagraph"/>
        <w:numPr>
          <w:ilvl w:val="0"/>
          <w:numId w:val="2"/>
        </w:numPr>
        <w:spacing w:after="60"/>
      </w:pPr>
      <w:r>
        <w:rPr>
          <w:rFonts w:ascii="Arial" w:cs="Arial" w:eastAsia="Arial" w:hAnsi="Arial"/>
          <w:sz w:val="22"/>
          <w:szCs w:val="22"/>
        </w:rPr>
        <w:t xml:space="preserve">Buyers are taken to the Buyer Dashboard.</w:t>
      </w:r>
    </w:p>
    <w:p>
      <w:pPr>
        <w:pStyle w:val="ListParagraph"/>
        <w:numPr>
          <w:ilvl w:val="0"/>
          <w:numId w:val="2"/>
        </w:numPr>
        <w:spacing w:after="60"/>
      </w:pPr>
      <w:r>
        <w:rPr>
          <w:rFonts w:ascii="Arial" w:cs="Arial" w:eastAsia="Arial" w:hAnsi="Arial"/>
          <w:sz w:val="22"/>
          <w:szCs w:val="22"/>
        </w:rPr>
        <w:t xml:space="preserve">Platform Admins are taken to the Admin Dashboard.</w:t>
      </w:r>
    </w:p>
    <w:p>
      <w:pPr>
        <w:spacing w:after="80" w:before="80"/>
      </w:pPr>
      <w:r>
        <w:t xml:space="preserve"/>
      </w:r>
    </w:p>
    <w:p>
      <w:pPr>
        <w:spacing w:after="120"/>
      </w:pPr>
      <w:r>
        <w:rPr>
          <w:rFonts w:ascii="Arial" w:cs="Arial" w:eastAsia="Arial" w:hAnsi="Arial"/>
          <w:color w:val="222222"/>
          <w:sz w:val="22"/>
          <w:szCs w:val="22"/>
        </w:rPr>
        <w:t xml:space="preserve">If you believe you have been assigned the wrong role, contact your Platform Admin.</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3. Supplier Portal</w:t>
      </w:r>
    </w:p>
    <w:p>
      <w:pPr>
        <w:spacing w:after="120"/>
      </w:pPr>
      <w:r>
        <w:rPr>
          <w:rFonts w:ascii="Arial" w:cs="Arial" w:eastAsia="Arial" w:hAnsi="Arial"/>
          <w:color w:val="222222"/>
          <w:sz w:val="22"/>
          <w:szCs w:val="22"/>
        </w:rPr>
        <w:t xml:space="preserve">The Supplier Portal is where organizations responsible for handling material — miners, processors, traders, and exporters — create batch records and log custody events as material moves through the supply chain.</w:t>
      </w:r>
    </w:p>
    <w:p>
      <w:pPr>
        <w:pStyle w:val="Heading2"/>
        <w:spacing w:after="120" w:before="280"/>
      </w:pPr>
      <w:r>
        <w:rPr>
          <w:rFonts w:ascii="Arial" w:cs="Arial" w:eastAsia="Arial" w:hAnsi="Arial"/>
          <w:b/>
          <w:bCs/>
          <w:color w:val="1B2B4B"/>
          <w:sz w:val="28"/>
          <w:szCs w:val="28"/>
        </w:rPr>
        <w:t xml:space="preserve">3.1 Dashboard Overview</w:t>
      </w:r>
    </w:p>
    <w:p>
      <w:pPr>
        <w:spacing w:after="120"/>
      </w:pPr>
      <w:r>
        <w:rPr>
          <w:rFonts w:ascii="Arial" w:cs="Arial" w:eastAsia="Arial" w:hAnsi="Arial"/>
          <w:color w:val="222222"/>
          <w:sz w:val="22"/>
          <w:szCs w:val="22"/>
        </w:rPr>
        <w:t xml:space="preserve">The Supplier Dashboard displays all batches associated with your organization. Each batch is shown as a card that includes:</w:t>
      </w:r>
    </w:p>
    <w:p>
      <w:pPr>
        <w:pStyle w:val="ListParagraph"/>
        <w:numPr>
          <w:ilvl w:val="0"/>
          <w:numId w:val="2"/>
        </w:numPr>
        <w:spacing w:after="60"/>
      </w:pPr>
      <w:r>
        <w:rPr>
          <w:rFonts w:ascii="Arial" w:cs="Arial" w:eastAsia="Arial" w:hAnsi="Arial"/>
          <w:sz w:val="22"/>
          <w:szCs w:val="22"/>
        </w:rPr>
        <w:t xml:space="preserve">Batch number — the unique identifier for the batch.</w:t>
      </w:r>
    </w:p>
    <w:p>
      <w:pPr>
        <w:pStyle w:val="ListParagraph"/>
        <w:numPr>
          <w:ilvl w:val="0"/>
          <w:numId w:val="2"/>
        </w:numPr>
        <w:spacing w:after="60"/>
      </w:pPr>
      <w:r>
        <w:rPr>
          <w:rFonts w:ascii="Arial" w:cs="Arial" w:eastAsia="Arial" w:hAnsi="Arial"/>
          <w:sz w:val="22"/>
          <w:szCs w:val="22"/>
        </w:rPr>
        <w:t xml:space="preserve">Mineral type — the material being tracked.</w:t>
      </w:r>
    </w:p>
    <w:p>
      <w:pPr>
        <w:pStyle w:val="ListParagraph"/>
        <w:numPr>
          <w:ilvl w:val="0"/>
          <w:numId w:val="2"/>
        </w:numPr>
        <w:spacing w:after="60"/>
      </w:pPr>
      <w:r>
        <w:rPr>
          <w:rFonts w:ascii="Arial" w:cs="Arial" w:eastAsia="Arial" w:hAnsi="Arial"/>
          <w:sz w:val="22"/>
          <w:szCs w:val="22"/>
        </w:rPr>
        <w:t xml:space="preserve">Origin — the country and mine where the material was extracted.</w:t>
      </w:r>
    </w:p>
    <w:p>
      <w:pPr>
        <w:pStyle w:val="ListParagraph"/>
        <w:numPr>
          <w:ilvl w:val="0"/>
          <w:numId w:val="2"/>
        </w:numPr>
        <w:spacing w:after="60"/>
      </w:pPr>
      <w:r>
        <w:rPr>
          <w:rFonts w:ascii="Arial" w:cs="Arial" w:eastAsia="Arial" w:hAnsi="Arial"/>
          <w:sz w:val="22"/>
          <w:szCs w:val="22"/>
        </w:rPr>
        <w:t xml:space="preserve">Current weight — the most recently recorded weight for the batch.</w:t>
      </w:r>
    </w:p>
    <w:p>
      <w:pPr>
        <w:pStyle w:val="ListParagraph"/>
        <w:numPr>
          <w:ilvl w:val="0"/>
          <w:numId w:val="2"/>
        </w:numPr>
        <w:spacing w:after="60"/>
      </w:pPr>
      <w:r>
        <w:rPr>
          <w:rFonts w:ascii="Arial" w:cs="Arial" w:eastAsia="Arial" w:hAnsi="Arial"/>
          <w:sz w:val="22"/>
          <w:szCs w:val="22"/>
        </w:rPr>
        <w:t xml:space="preserve">Compliance status — a color-coded indicator (see Section 3.6).</w:t>
      </w:r>
    </w:p>
    <w:p>
      <w:pPr>
        <w:pStyle w:val="ListParagraph"/>
        <w:numPr>
          <w:ilvl w:val="0"/>
          <w:numId w:val="2"/>
        </w:numPr>
        <w:spacing w:after="60"/>
      </w:pPr>
      <w:r>
        <w:rPr>
          <w:rFonts w:ascii="Arial" w:cs="Arial" w:eastAsia="Arial" w:hAnsi="Arial"/>
          <w:sz w:val="22"/>
          <w:szCs w:val="22"/>
        </w:rPr>
        <w:t xml:space="preserve">Last updated — the date and time of the most recent event.</w:t>
      </w:r>
    </w:p>
    <w:p>
      <w:pPr>
        <w:spacing w:after="80" w:before="80"/>
      </w:pPr>
      <w:r>
        <w:t xml:space="preserve"/>
      </w:r>
    </w:p>
    <w:p>
      <w:pPr>
        <w:spacing w:after="120"/>
      </w:pPr>
      <w:r>
        <w:rPr>
          <w:rFonts w:ascii="Arial" w:cs="Arial" w:eastAsia="Arial" w:hAnsi="Arial"/>
          <w:color w:val="222222"/>
          <w:sz w:val="22"/>
          <w:szCs w:val="22"/>
        </w:rPr>
        <w:t xml:space="preserve">Use the search bar at the top of the dashboard to find a specific batch by number. You can also filter batches by compliance status using the filter controls.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3.2 Creating a New Batch</w:t>
      </w:r>
    </w:p>
    <w:p>
      <w:pPr>
        <w:spacing w:after="120"/>
      </w:pPr>
      <w:r>
        <w:rPr>
          <w:rFonts w:ascii="Arial" w:cs="Arial" w:eastAsia="Arial" w:hAnsi="Arial"/>
          <w:color w:val="222222"/>
          <w:sz w:val="22"/>
          <w:szCs w:val="22"/>
        </w:rPr>
        <w:t xml:space="preserve">A batch represents a discrete quantity of material that will be tracked through the supply chain.</w:t>
      </w:r>
    </w:p>
    <w:p>
      <w:pPr>
        <w:spacing w:after="120"/>
      </w:pPr>
      <w:r>
        <w:rPr>
          <w:rFonts w:ascii="Arial" w:cs="Arial" w:eastAsia="Arial" w:hAnsi="Arial"/>
          <w:color w:val="222222"/>
          <w:sz w:val="22"/>
          <w:szCs w:val="22"/>
        </w:rPr>
        <w:t xml:space="preserve">To create a new batch:</w:t>
      </w:r>
    </w:p>
    <w:p>
      <w:pPr>
        <w:pStyle w:val="ListParagraph"/>
        <w:numPr>
          <w:ilvl w:val="0"/>
          <w:numId w:val="3"/>
        </w:numPr>
        <w:spacing w:after="60"/>
      </w:pPr>
      <w:r>
        <w:rPr>
          <w:rFonts w:ascii="Arial" w:cs="Arial" w:eastAsia="Arial" w:hAnsi="Arial"/>
          <w:sz w:val="22"/>
          <w:szCs w:val="22"/>
        </w:rPr>
        <w:t xml:space="preserve">Click the "New Batch" button on the Supplier Dashboard.</w:t>
      </w:r>
    </w:p>
    <w:p>
      <w:pPr>
        <w:pStyle w:val="ListParagraph"/>
        <w:numPr>
          <w:ilvl w:val="0"/>
          <w:numId w:val="3"/>
        </w:numPr>
        <w:spacing w:after="60"/>
      </w:pPr>
      <w:r>
        <w:rPr>
          <w:rFonts w:ascii="Arial" w:cs="Arial" w:eastAsia="Arial" w:hAnsi="Arial"/>
          <w:sz w:val="22"/>
          <w:szCs w:val="22"/>
        </w:rPr>
        <w:t xml:space="preserve">Complete the batch creation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9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Batch Number</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 unique identifier for this batch. Use your organization's internal numbering system or the format provided by your buyer.</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Mineral Type</w:t>
            </w:r>
          </w:p>
        </w:tc>
        <w:tc>
          <w:tcPr>
            <w:tcW w:type="dxa" w:w="6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type of mineral material in this batch.</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Origin Country</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country where the material was extracted.</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Mine Name / Site</w:t>
            </w:r>
          </w:p>
        </w:tc>
        <w:tc>
          <w:tcPr>
            <w:tcW w:type="dxa" w:w="6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name of the mine or extraction site.</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Initial Weight (kg)</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weight of the batch at creation.</w:t>
            </w:r>
          </w:p>
        </w:tc>
      </w:tr>
    </w:tbl>
    <w:p>
      <w:pPr>
        <w:spacing w:after="80" w:before="120"/>
      </w:pPr>
      <w:r>
        <w:t xml:space="preserve"/>
      </w:r>
    </w:p>
    <w:p>
      <w:pPr>
        <w:pStyle w:val="ListParagraph"/>
        <w:numPr>
          <w:ilvl w:val="0"/>
          <w:numId w:val="4"/>
        </w:numPr>
        <w:spacing w:after="60"/>
      </w:pPr>
      <w:r>
        <w:rPr>
          <w:rFonts w:ascii="Arial" w:cs="Arial" w:eastAsia="Arial" w:hAnsi="Arial"/>
          <w:sz w:val="22"/>
          <w:szCs w:val="22"/>
        </w:rPr>
        <w:t xml:space="preserve">Click "Create Batch" to save.</w:t>
      </w:r>
    </w:p>
    <w:p>
      <w:pPr>
        <w:spacing w:after="80" w:before="80"/>
      </w:pPr>
      <w:r>
        <w:t xml:space="preserve"/>
      </w:r>
    </w:p>
    <w:p>
      <w:pPr>
        <w:spacing w:after="120"/>
      </w:pPr>
      <w:r>
        <w:rPr>
          <w:rFonts w:ascii="Arial" w:cs="Arial" w:eastAsia="Arial" w:hAnsi="Arial"/>
          <w:color w:val="222222"/>
          <w:sz w:val="22"/>
          <w:szCs w:val="22"/>
        </w:rPr>
        <w:t xml:space="preserve">The batch will appear on your dashboard with a status of PENDING until custody events are recorded and compliance checks are completed.</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Batch numbers must be unique within the platform. If you receive an error stating the batch number already exists, check whether the batch has already been created by a colleague or use a different identifier.</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3.3 Submitting Custody Events</w:t>
      </w:r>
    </w:p>
    <w:p>
      <w:pPr>
        <w:spacing w:after="120"/>
      </w:pPr>
      <w:r>
        <w:rPr>
          <w:rFonts w:ascii="Arial" w:cs="Arial" w:eastAsia="Arial" w:hAnsi="Arial"/>
          <w:color w:val="222222"/>
          <w:sz w:val="22"/>
          <w:szCs w:val="22"/>
        </w:rPr>
        <w:t xml:space="preserve">A custody event records a specific activity that occurred with the batch — such as extraction, processing, transfer, or export. Events form a chronological chain that documents the full journey of the material.</w:t>
      </w:r>
    </w:p>
    <w:p>
      <w:pPr>
        <w:spacing w:after="120"/>
      </w:pPr>
      <w:r>
        <w:rPr>
          <w:rFonts w:ascii="Arial" w:cs="Arial" w:eastAsia="Arial" w:hAnsi="Arial"/>
          <w:color w:val="222222"/>
          <w:sz w:val="22"/>
          <w:szCs w:val="22"/>
        </w:rPr>
        <w:t xml:space="preserve">To add a custody event:</w:t>
      </w:r>
    </w:p>
    <w:p>
      <w:pPr>
        <w:pStyle w:val="ListParagraph"/>
        <w:numPr>
          <w:ilvl w:val="0"/>
          <w:numId w:val="5"/>
        </w:numPr>
        <w:spacing w:after="60"/>
      </w:pPr>
      <w:r>
        <w:rPr>
          <w:rFonts w:ascii="Arial" w:cs="Arial" w:eastAsia="Arial" w:hAnsi="Arial"/>
          <w:sz w:val="22"/>
          <w:szCs w:val="22"/>
        </w:rPr>
        <w:t xml:space="preserve">Open the batch by clicking on its card from the dashboard.</w:t>
      </w:r>
    </w:p>
    <w:p>
      <w:pPr>
        <w:pStyle w:val="ListParagraph"/>
        <w:numPr>
          <w:ilvl w:val="0"/>
          <w:numId w:val="5"/>
        </w:numPr>
        <w:spacing w:after="60"/>
      </w:pPr>
      <w:r>
        <w:rPr>
          <w:rFonts w:ascii="Arial" w:cs="Arial" w:eastAsia="Arial" w:hAnsi="Arial"/>
          <w:sz w:val="22"/>
          <w:szCs w:val="22"/>
        </w:rPr>
        <w:t xml:space="preserve">Click "Add Event".</w:t>
      </w:r>
    </w:p>
    <w:p>
      <w:pPr>
        <w:pStyle w:val="ListParagraph"/>
        <w:numPr>
          <w:ilvl w:val="0"/>
          <w:numId w:val="5"/>
        </w:numPr>
        <w:spacing w:after="60"/>
      </w:pPr>
      <w:r>
        <w:rPr>
          <w:rFonts w:ascii="Arial" w:cs="Arial" w:eastAsia="Arial" w:hAnsi="Arial"/>
          <w:sz w:val="22"/>
          <w:szCs w:val="22"/>
        </w:rPr>
        <w:t xml:space="preserve">Select the event type from the dropdown menu.</w:t>
      </w:r>
    </w:p>
    <w:p>
      <w:pPr>
        <w:pStyle w:val="ListParagraph"/>
        <w:numPr>
          <w:ilvl w:val="0"/>
          <w:numId w:val="5"/>
        </w:numPr>
        <w:spacing w:after="60"/>
      </w:pPr>
      <w:r>
        <w:rPr>
          <w:rFonts w:ascii="Arial" w:cs="Arial" w:eastAsia="Arial" w:hAnsi="Arial"/>
          <w:sz w:val="22"/>
          <w:szCs w:val="22"/>
        </w:rPr>
        <w:t xml:space="preserve">Fill in the required fields for that event type (described below).</w:t>
      </w:r>
    </w:p>
    <w:p>
      <w:pPr>
        <w:pStyle w:val="ListParagraph"/>
        <w:numPr>
          <w:ilvl w:val="0"/>
          <w:numId w:val="5"/>
        </w:numPr>
        <w:spacing w:after="60"/>
      </w:pPr>
      <w:r>
        <w:rPr>
          <w:rFonts w:ascii="Arial" w:cs="Arial" w:eastAsia="Arial" w:hAnsi="Arial"/>
          <w:sz w:val="22"/>
          <w:szCs w:val="22"/>
        </w:rPr>
        <w:t xml:space="preserve">Optionally attach supporting documents (see Section 3.4).</w:t>
      </w:r>
    </w:p>
    <w:p>
      <w:pPr>
        <w:pStyle w:val="ListParagraph"/>
        <w:numPr>
          <w:ilvl w:val="0"/>
          <w:numId w:val="5"/>
        </w:numPr>
        <w:spacing w:after="60"/>
      </w:pPr>
      <w:r>
        <w:rPr>
          <w:rFonts w:ascii="Arial" w:cs="Arial" w:eastAsia="Arial" w:hAnsi="Arial"/>
          <w:sz w:val="22"/>
          <w:szCs w:val="22"/>
        </w:rPr>
        <w:t xml:space="preserve">Click "Submit Event".</w:t>
      </w:r>
    </w:p>
    <w:p>
      <w:pPr>
        <w:spacing w:after="80" w:before="80"/>
      </w:pPr>
      <w:r>
        <w:t xml:space="preserve"/>
      </w:r>
    </w:p>
    <w:p>
      <w:pPr>
        <w:spacing w:after="120"/>
      </w:pPr>
      <w:r>
        <w:rPr>
          <w:rFonts w:ascii="Arial" w:cs="Arial" w:eastAsia="Arial" w:hAnsi="Arial"/>
          <w:color w:val="222222"/>
          <w:sz w:val="22"/>
          <w:szCs w:val="22"/>
        </w:rPr>
        <w:t xml:space="preserve">Once submitted, an event cannot be deleted. If a correction is needed, a correction event must be submitted that links back to the original (see Section 8 — Tamper Evidence).</w:t>
      </w:r>
    </w:p>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1: Mine Extraction</w:t>
      </w:r>
    </w:p>
    <w:p>
      <w:pPr>
        <w:spacing w:after="120"/>
      </w:pPr>
      <w:r>
        <w:rPr>
          <w:rFonts w:ascii="Arial" w:cs="Arial" w:eastAsia="Arial" w:hAnsi="Arial"/>
          <w:color w:val="222222"/>
          <w:sz w:val="22"/>
          <w:szCs w:val="22"/>
        </w:rPr>
        <w:t xml:space="preserve">Records the extraction of material from the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GPS Coordinates</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Latitude and longitude of the extraction site (e.g., 47.3769° N, 8.5417° E).</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Mine Operator</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Name of the company or individual operating the mine.</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Mineralogical Certificate Reference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Reference number of the mineralogical certificate issued at extraction.</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2: Concentration</w:t>
      </w:r>
    </w:p>
    <w:p>
      <w:pPr>
        <w:spacing w:after="120"/>
      </w:pPr>
      <w:r>
        <w:rPr>
          <w:rFonts w:ascii="Arial" w:cs="Arial" w:eastAsia="Arial" w:hAnsi="Arial"/>
          <w:color w:val="222222"/>
          <w:sz w:val="22"/>
          <w:szCs w:val="22"/>
        </w:rPr>
        <w:t xml:space="preserve">Records a concentration or beneficiation process applied to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Facility Name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Name of the processing facility.</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Process Description</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 brief description of the concentration method used (e.g., gravity separation, flotation).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Input Weight (kg)</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Weight of material entering the process.</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Output Weight (kg)</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Weight of material leaving the process.</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Concentration Ratio</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ratio of output to input weight (calculated automatically if left blank).</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3: Trading / Transfer</w:t>
      </w:r>
    </w:p>
    <w:p>
      <w:pPr>
        <w:spacing w:after="120"/>
      </w:pPr>
      <w:r>
        <w:rPr>
          <w:rFonts w:ascii="Arial" w:cs="Arial" w:eastAsia="Arial" w:hAnsi="Arial"/>
          <w:color w:val="222222"/>
          <w:sz w:val="22"/>
          <w:szCs w:val="22"/>
        </w:rPr>
        <w:t xml:space="preserve">Records the transfer of ownership or custody of the material between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Seller</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Name of the party transferring the material.</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Buyer</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Name of the party receiving the material.</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Transfer Date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date on which the transfer took place.</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Contract Reference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reference number of the purchase contract or transfer agreement.</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4: Laboratory Assay</w:t>
      </w:r>
    </w:p>
    <w:p>
      <w:pPr>
        <w:spacing w:after="120"/>
      </w:pPr>
      <w:r>
        <w:rPr>
          <w:rFonts w:ascii="Arial" w:cs="Arial" w:eastAsia="Arial" w:hAnsi="Arial"/>
          <w:color w:val="222222"/>
          <w:sz w:val="22"/>
          <w:szCs w:val="22"/>
        </w:rPr>
        <w:t xml:space="preserve">Records an analytical test performed on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Laboratory Name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Name of the laboratory that conducted the assay.</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Method</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analytical method used (e.g., XRF, ICP-MS).</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Tungsten Content (%)</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tungsten content of the material as determined by the assay.</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Certificate Reference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Reference number of the assay certificate.</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5: Primary Processing (Smelting)</w:t>
      </w:r>
    </w:p>
    <w:p>
      <w:pPr>
        <w:spacing w:after="120"/>
      </w:pPr>
      <w:r>
        <w:rPr>
          <w:rFonts w:ascii="Arial" w:cs="Arial" w:eastAsia="Arial" w:hAnsi="Arial"/>
          <w:color w:val="222222"/>
          <w:sz w:val="22"/>
          <w:szCs w:val="22"/>
        </w:rPr>
        <w:t xml:space="preserve">Records a smelting or primary processing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Smelter ID (RMAP)</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RMAP-assigned identifier for the smelter facility. This field triggers an RMAP compliance check.</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Process Type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type of smelting or refining process (e.g., electric arc furnace, hydrometallurgical).</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Input Weight (kg)</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Weight of material entering the smelter.</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Output Weight (kg)</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Weight of material leaving the smelter.</w:t>
            </w:r>
          </w:p>
        </w:tc>
      </w:tr>
    </w:tbl>
    <w:p>
      <w:pPr>
        <w:spacing w:after="80" w:before="80"/>
      </w:pPr>
      <w:r>
        <w:t xml:space="preserve"/>
      </w:r>
    </w:p>
    <w:p>
      <w:pPr>
        <w:pBdr>
          <w:left w:val="single" w:color="B71C1C" w:sz="12" w:space="8"/>
        </w:pBdr>
        <w:spacing w:after="120" w:before="80"/>
        <w:ind w:left="720"/>
      </w:pPr>
      <w:r>
        <w:rPr>
          <w:rFonts w:ascii="Arial" w:cs="Arial" w:eastAsia="Arial" w:hAnsi="Arial"/>
          <w:b/>
          <w:bCs/>
          <w:color w:val="B71C1C"/>
          <w:sz w:val="22"/>
          <w:szCs w:val="22"/>
        </w:rPr>
        <w:t xml:space="preserve">Important:  </w:t>
      </w:r>
      <w:r>
        <w:rPr>
          <w:rFonts w:ascii="Arial" w:cs="Arial" w:eastAsia="Arial" w:hAnsi="Arial"/>
          <w:i/>
          <w:iCs/>
          <w:color w:val="333333"/>
          <w:sz w:val="22"/>
          <w:szCs w:val="22"/>
        </w:rPr>
        <w:t xml:space="preserve">The Smelter ID must match an entry in the current RMAP-approved smelter list. If the smelter is not listed, the batch will be flagged for compliance review. Contact your Platform Admin if you believe the smelter should be on the list.</w:t>
      </w:r>
    </w:p>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6: Export / Shipment</w:t>
      </w:r>
    </w:p>
    <w:p>
      <w:pPr>
        <w:spacing w:after="120"/>
      </w:pPr>
      <w:r>
        <w:rPr>
          <w:rFonts w:ascii="Arial" w:cs="Arial" w:eastAsia="Arial" w:hAnsi="Arial"/>
          <w:color w:val="222222"/>
          <w:sz w:val="22"/>
          <w:szCs w:val="22"/>
        </w:rPr>
        <w:t xml:space="preserve">Records the export or international shipment of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Origin Country</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country from which the shipment departs.</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Destination Country</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country to which the shipment is sent.</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Transport Mode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method of transport (e.g., air freight, sea freight, road).</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Export Permit Reference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Reference number of the export permit or customs declaration.</w:t>
            </w:r>
          </w:p>
        </w:tc>
      </w:tr>
    </w:tbl>
    <w:p>
      <w:pPr>
        <w:spacing w:after="160" w:before="200"/>
      </w:pPr>
      <w:r>
        <w:t xml:space="preserve"/>
      </w:r>
    </w:p>
    <w:p>
      <w:pPr>
        <w:pStyle w:val="Heading2"/>
        <w:spacing w:after="120" w:before="280"/>
      </w:pPr>
      <w:r>
        <w:rPr>
          <w:rFonts w:ascii="Arial" w:cs="Arial" w:eastAsia="Arial" w:hAnsi="Arial"/>
          <w:b/>
          <w:bCs/>
          <w:color w:val="1B2B4B"/>
          <w:sz w:val="28"/>
          <w:szCs w:val="28"/>
        </w:rPr>
        <w:t xml:space="preserve">3.4 Uploading Documents</w:t>
      </w:r>
    </w:p>
    <w:p>
      <w:pPr>
        <w:spacing w:after="120"/>
      </w:pPr>
      <w:r>
        <w:rPr>
          <w:rFonts w:ascii="Arial" w:cs="Arial" w:eastAsia="Arial" w:hAnsi="Arial"/>
          <w:color w:val="222222"/>
          <w:sz w:val="22"/>
          <w:szCs w:val="22"/>
        </w:rPr>
        <w:t xml:space="preserve">Supporting documents can be attached to a batch or to specific custody events. Accepted file formats are: PDF, JPEG / JPG, PNG, TIFF, GIF.</w:t>
      </w:r>
    </w:p>
    <w:p>
      <w:pPr>
        <w:spacing w:after="120"/>
      </w:pPr>
      <w:r>
        <w:rPr>
          <w:rFonts w:ascii="Arial" w:cs="Arial" w:eastAsia="Arial" w:hAnsi="Arial"/>
          <w:color w:val="222222"/>
          <w:sz w:val="22"/>
          <w:szCs w:val="22"/>
        </w:rPr>
        <w:t xml:space="preserve">Maximum file size: 25 MB per file.</w:t>
      </w:r>
    </w:p>
    <w:p>
      <w:pPr>
        <w:spacing w:after="120"/>
      </w:pPr>
      <w:r>
        <w:rPr>
          <w:rFonts w:ascii="Arial" w:cs="Arial" w:eastAsia="Arial" w:hAnsi="Arial"/>
          <w:color w:val="222222"/>
          <w:sz w:val="22"/>
          <w:szCs w:val="22"/>
        </w:rPr>
        <w:t xml:space="preserve">To upload a document:</w:t>
      </w:r>
    </w:p>
    <w:p>
      <w:pPr>
        <w:pStyle w:val="ListParagraph"/>
        <w:numPr>
          <w:ilvl w:val="0"/>
          <w:numId w:val="6"/>
        </w:numPr>
        <w:spacing w:after="60"/>
      </w:pPr>
      <w:r>
        <w:rPr>
          <w:rFonts w:ascii="Arial" w:cs="Arial" w:eastAsia="Arial" w:hAnsi="Arial"/>
          <w:sz w:val="22"/>
          <w:szCs w:val="22"/>
        </w:rPr>
        <w:t xml:space="preserve">Open the batch or event to which you want to attach the document.</w:t>
      </w:r>
    </w:p>
    <w:p>
      <w:pPr>
        <w:pStyle w:val="ListParagraph"/>
        <w:numPr>
          <w:ilvl w:val="0"/>
          <w:numId w:val="6"/>
        </w:numPr>
        <w:spacing w:after="60"/>
      </w:pPr>
      <w:r>
        <w:rPr>
          <w:rFonts w:ascii="Arial" w:cs="Arial" w:eastAsia="Arial" w:hAnsi="Arial"/>
          <w:sz w:val="22"/>
          <w:szCs w:val="22"/>
        </w:rPr>
        <w:t xml:space="preserve">Click "Upload Document" or drag and drop the file into the upload area.</w:t>
      </w:r>
    </w:p>
    <w:p>
      <w:pPr>
        <w:pStyle w:val="ListParagraph"/>
        <w:numPr>
          <w:ilvl w:val="0"/>
          <w:numId w:val="6"/>
        </w:numPr>
        <w:spacing w:after="60"/>
      </w:pPr>
      <w:r>
        <w:rPr>
          <w:rFonts w:ascii="Arial" w:cs="Arial" w:eastAsia="Arial" w:hAnsi="Arial"/>
          <w:sz w:val="22"/>
          <w:szCs w:val="22"/>
        </w:rPr>
        <w:t xml:space="preserve">Enter a description of the document (e.g., "Mineralogical Certificate — Batch W-2026-041").</w:t>
      </w:r>
    </w:p>
    <w:p>
      <w:pPr>
        <w:pStyle w:val="ListParagraph"/>
        <w:numPr>
          <w:ilvl w:val="0"/>
          <w:numId w:val="6"/>
        </w:numPr>
        <w:spacing w:after="60"/>
      </w:pPr>
      <w:r>
        <w:rPr>
          <w:rFonts w:ascii="Arial" w:cs="Arial" w:eastAsia="Arial" w:hAnsi="Arial"/>
          <w:sz w:val="22"/>
          <w:szCs w:val="22"/>
        </w:rPr>
        <w:t xml:space="preserve">Click "Save".</w:t>
      </w:r>
    </w:p>
    <w:p>
      <w:pPr>
        <w:spacing w:after="80" w:before="80"/>
      </w:pPr>
      <w:r>
        <w:t xml:space="preserve"/>
      </w:r>
    </w:p>
    <w:p>
      <w:pPr>
        <w:spacing w:after="120"/>
      </w:pPr>
      <w:r>
        <w:rPr>
          <w:rFonts w:ascii="Arial" w:cs="Arial" w:eastAsia="Arial" w:hAnsi="Arial"/>
          <w:color w:val="222222"/>
          <w:sz w:val="22"/>
          <w:szCs w:val="22"/>
        </w:rPr>
        <w:t xml:space="preserve">Uploaded documents are stored securely and are accessible to authorized buyers and administrators. Documents cannot be deleted once uploaded; if an incorrect document was uploaded, upload the correct version and add a note in the description to indicate which version supersedes the other.</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3.5 Viewing Batch Details</w:t>
      </w:r>
    </w:p>
    <w:p>
      <w:pPr>
        <w:spacing w:after="120"/>
      </w:pPr>
      <w:r>
        <w:rPr>
          <w:rFonts w:ascii="Arial" w:cs="Arial" w:eastAsia="Arial" w:hAnsi="Arial"/>
          <w:color w:val="222222"/>
          <w:sz w:val="22"/>
          <w:szCs w:val="22"/>
        </w:rPr>
        <w:t xml:space="preserve">Click on any batch card on the dashboard to open the Batch Detail view. This view contains three tabs:</w:t>
      </w:r>
    </w:p>
    <w:p>
      <w:pPr>
        <w:pStyle w:val="ListParagraph"/>
        <w:numPr>
          <w:ilvl w:val="0"/>
          <w:numId w:val="2"/>
        </w:numPr>
        <w:spacing w:after="60"/>
      </w:pPr>
      <w:r>
        <w:rPr>
          <w:rFonts w:ascii="Arial" w:cs="Arial" w:eastAsia="Arial" w:hAnsi="Arial"/>
          <w:sz w:val="22"/>
          <w:szCs w:val="22"/>
        </w:rPr>
        <w:t xml:space="preserve">Timeline — a chronological list of all custody events recorded for this batch. Each event shows the event type, date, the user who submitted it, and a summary of key fields.</w:t>
      </w:r>
    </w:p>
    <w:p>
      <w:pPr>
        <w:pStyle w:val="ListParagraph"/>
        <w:numPr>
          <w:ilvl w:val="0"/>
          <w:numId w:val="2"/>
        </w:numPr>
        <w:spacing w:after="60"/>
      </w:pPr>
      <w:r>
        <w:rPr>
          <w:rFonts w:ascii="Arial" w:cs="Arial" w:eastAsia="Arial" w:hAnsi="Arial"/>
          <w:sz w:val="22"/>
          <w:szCs w:val="22"/>
        </w:rPr>
        <w:t xml:space="preserve">Documents — a list of all documents attached to the batch and its events.</w:t>
      </w:r>
    </w:p>
    <w:p>
      <w:pPr>
        <w:pStyle w:val="ListParagraph"/>
        <w:numPr>
          <w:ilvl w:val="0"/>
          <w:numId w:val="2"/>
        </w:numPr>
        <w:spacing w:after="60"/>
      </w:pPr>
      <w:r>
        <w:rPr>
          <w:rFonts w:ascii="Arial" w:cs="Arial" w:eastAsia="Arial" w:hAnsi="Arial"/>
          <w:sz w:val="22"/>
          <w:szCs w:val="22"/>
        </w:rPr>
        <w:t xml:space="preserve">Compliance — the current compliance status and a summary of any checks that have been run.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3.6 Understanding Compliance Statuses</w:t>
      </w:r>
    </w:p>
    <w:p>
      <w:pPr>
        <w:spacing w:after="120"/>
      </w:pPr>
      <w:r>
        <w:rPr>
          <w:rFonts w:ascii="Arial" w:cs="Arial" w:eastAsia="Arial" w:hAnsi="Arial"/>
          <w:color w:val="222222"/>
          <w:sz w:val="22"/>
          <w:szCs w:val="22"/>
        </w:rPr>
        <w:t xml:space="preserve">Each batch displays one of the following compliance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Status</w:t>
            </w:r>
          </w:p>
        </w:tc>
        <w:tc>
          <w:tcPr>
            <w:tcW w:type="dxa" w:w="12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Color</w:t>
            </w:r>
          </w:p>
        </w:tc>
        <w:tc>
          <w:tcPr>
            <w:tcW w:type="dxa" w:w="61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c>
          <w:tcPr>
            <w:tcW w:type="dxa" w:w="2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COMPLIANT</w:t>
            </w:r>
          </w:p>
        </w:tc>
        <w:tc>
          <w:tcPr>
            <w:tcW w:type="dxa" w:w="12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Green</w:t>
            </w:r>
          </w:p>
        </w:tc>
        <w:tc>
          <w:tcPr>
            <w:tcW w:type="dxa" w:w="61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All compliance checks have passed. The batch meets RMAP and OECD DDG requirements based on the information recorded.</w:t>
            </w:r>
          </w:p>
        </w:tc>
      </w:tr>
      <w:tr>
        <w:tc>
          <w:tcPr>
            <w:tcW w:type="dxa" w:w="20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FLAGGED</w:t>
            </w:r>
          </w:p>
        </w:tc>
        <w:tc>
          <w:tcPr>
            <w:tcW w:type="dxa" w:w="12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Red</w:t>
            </w:r>
          </w:p>
        </w:tc>
        <w:tc>
          <w:tcPr>
            <w:tcW w:type="dxa" w:w="61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One or more compliance checks have failed. The batch requires review. Common causes include an unrecognized smelter ID, a high-risk origin country, or a sanctions match.</w:t>
            </w:r>
          </w:p>
        </w:tc>
      </w:tr>
      <w:tr>
        <w:tc>
          <w:tcPr>
            <w:tcW w:type="dxa" w:w="2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INSUFFICIENT_DATA</w:t>
            </w:r>
          </w:p>
        </w:tc>
        <w:tc>
          <w:tcPr>
            <w:tcW w:type="dxa" w:w="12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Amber</w:t>
            </w:r>
          </w:p>
        </w:tc>
        <w:tc>
          <w:tcPr>
            <w:tcW w:type="dxa" w:w="61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compliance engine does not have enough information to make a determination. Additional events or documents are needed.</w:t>
            </w:r>
          </w:p>
        </w:tc>
      </w:tr>
      <w:tr>
        <w:tc>
          <w:tcPr>
            <w:tcW w:type="dxa" w:w="20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PENDING</w:t>
            </w:r>
          </w:p>
        </w:tc>
        <w:tc>
          <w:tcPr>
            <w:tcW w:type="dxa" w:w="12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Grey</w:t>
            </w:r>
          </w:p>
        </w:tc>
        <w:tc>
          <w:tcPr>
            <w:tcW w:type="dxa" w:w="61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batch has been created but no compliance checks have been triggered yet.</w:t>
            </w:r>
          </w:p>
        </w:tc>
      </w:tr>
    </w:tbl>
    <w:p>
      <w:pPr>
        <w:spacing w:after="80" w:before="80"/>
      </w:pPr>
      <w:r>
        <w:t xml:space="preserve"/>
      </w:r>
    </w:p>
    <w:p>
      <w:pPr>
        <w:spacing w:after="120"/>
      </w:pPr>
      <w:r>
        <w:rPr>
          <w:rFonts w:ascii="Arial" w:cs="Arial" w:eastAsia="Arial" w:hAnsi="Arial"/>
          <w:color w:val="222222"/>
          <w:sz w:val="22"/>
          <w:szCs w:val="22"/>
        </w:rPr>
        <w:t xml:space="preserve">Compliance statuses are recalculated automatically each time a new event is submitted. You will receive a notification if a batch you are responsible for is flagged.</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4. Buyer Portal</w:t>
      </w:r>
    </w:p>
    <w:p>
      <w:pPr>
        <w:spacing w:after="120"/>
      </w:pPr>
      <w:r>
        <w:rPr>
          <w:rFonts w:ascii="Arial" w:cs="Arial" w:eastAsia="Arial" w:hAnsi="Arial"/>
          <w:color w:val="222222"/>
          <w:sz w:val="22"/>
          <w:szCs w:val="22"/>
        </w:rPr>
        <w:t xml:space="preserve">The Buyer Portal allows purchasing organizations to monitor the compliance status of incoming material, review custody chains, generate compliance reports, and share verified documentation with customers and auditors.</w:t>
      </w:r>
    </w:p>
    <w:p>
      <w:pPr>
        <w:pStyle w:val="Heading2"/>
        <w:spacing w:after="120" w:before="280"/>
      </w:pPr>
      <w:r>
        <w:rPr>
          <w:rFonts w:ascii="Arial" w:cs="Arial" w:eastAsia="Arial" w:hAnsi="Arial"/>
          <w:b/>
          <w:bCs/>
          <w:color w:val="1B2B4B"/>
          <w:sz w:val="28"/>
          <w:szCs w:val="28"/>
        </w:rPr>
        <w:t xml:space="preserve">4.1 Dashboard</w:t>
      </w:r>
    </w:p>
    <w:p>
      <w:pPr>
        <w:spacing w:after="120"/>
      </w:pPr>
      <w:r>
        <w:rPr>
          <w:rFonts w:ascii="Arial" w:cs="Arial" w:eastAsia="Arial" w:hAnsi="Arial"/>
          <w:color w:val="222222"/>
          <w:sz w:val="22"/>
          <w:szCs w:val="22"/>
        </w:rPr>
        <w:t xml:space="preserve">The Buyer Dashboard provides an at-a-glance overview of all batches associated with your organization. At the top of the page, summary cards show:</w:t>
      </w:r>
    </w:p>
    <w:p>
      <w:pPr>
        <w:pStyle w:val="ListParagraph"/>
        <w:numPr>
          <w:ilvl w:val="0"/>
          <w:numId w:val="2"/>
        </w:numPr>
        <w:spacing w:after="60"/>
      </w:pPr>
      <w:r>
        <w:rPr>
          <w:rFonts w:ascii="Arial" w:cs="Arial" w:eastAsia="Arial" w:hAnsi="Arial"/>
          <w:sz w:val="22"/>
          <w:szCs w:val="22"/>
        </w:rPr>
        <w:t xml:space="preserve">Total number of active batches.</w:t>
      </w:r>
    </w:p>
    <w:p>
      <w:pPr>
        <w:pStyle w:val="ListParagraph"/>
        <w:numPr>
          <w:ilvl w:val="0"/>
          <w:numId w:val="2"/>
        </w:numPr>
        <w:spacing w:after="60"/>
      </w:pPr>
      <w:r>
        <w:rPr>
          <w:rFonts w:ascii="Arial" w:cs="Arial" w:eastAsia="Arial" w:hAnsi="Arial"/>
          <w:sz w:val="22"/>
          <w:szCs w:val="22"/>
        </w:rPr>
        <w:t xml:space="preserve">Number of compliant batches.</w:t>
      </w:r>
    </w:p>
    <w:p>
      <w:pPr>
        <w:pStyle w:val="ListParagraph"/>
        <w:numPr>
          <w:ilvl w:val="0"/>
          <w:numId w:val="2"/>
        </w:numPr>
        <w:spacing w:after="60"/>
      </w:pPr>
      <w:r>
        <w:rPr>
          <w:rFonts w:ascii="Arial" w:cs="Arial" w:eastAsia="Arial" w:hAnsi="Arial"/>
          <w:sz w:val="22"/>
          <w:szCs w:val="22"/>
        </w:rPr>
        <w:t xml:space="preserve">Number of flagged batches.</w:t>
      </w:r>
    </w:p>
    <w:p>
      <w:pPr>
        <w:pStyle w:val="ListParagraph"/>
        <w:numPr>
          <w:ilvl w:val="0"/>
          <w:numId w:val="2"/>
        </w:numPr>
        <w:spacing w:after="60"/>
      </w:pPr>
      <w:r>
        <w:rPr>
          <w:rFonts w:ascii="Arial" w:cs="Arial" w:eastAsia="Arial" w:hAnsi="Arial"/>
          <w:sz w:val="22"/>
          <w:szCs w:val="22"/>
        </w:rPr>
        <w:t xml:space="preserve">Number of batches with insufficient data.</w:t>
      </w:r>
    </w:p>
    <w:p>
      <w:pPr>
        <w:spacing w:after="80" w:before="80"/>
      </w:pPr>
      <w:r>
        <w:t xml:space="preserve"/>
      </w:r>
    </w:p>
    <w:p>
      <w:pPr>
        <w:spacing w:after="120"/>
      </w:pPr>
      <w:r>
        <w:rPr>
          <w:rFonts w:ascii="Arial" w:cs="Arial" w:eastAsia="Arial" w:hAnsi="Arial"/>
          <w:color w:val="222222"/>
          <w:sz w:val="22"/>
          <w:szCs w:val="22"/>
        </w:rPr>
        <w:t xml:space="preserve">Below the summary cards, a batch table lists all batches. You can search by batch number or supplier name using the search bar, filter by compliance status / origin country / date range using the filter panel, and sort by clicking any column header. Click on any row to open the Batch Detail view.</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4.2 Batch Detail View</w:t>
      </w:r>
    </w:p>
    <w:p>
      <w:pPr>
        <w:spacing w:after="120"/>
      </w:pPr>
      <w:r>
        <w:rPr>
          <w:rFonts w:ascii="Arial" w:cs="Arial" w:eastAsia="Arial" w:hAnsi="Arial"/>
          <w:color w:val="222222"/>
          <w:sz w:val="22"/>
          <w:szCs w:val="22"/>
        </w:rPr>
        <w:t xml:space="preserve">The Batch Detail view for buyers mirrors the supplier view but includes additional compliance information. It contains three tabs:</w:t>
      </w:r>
    </w:p>
    <w:p>
      <w:pPr>
        <w:pStyle w:val="ListParagraph"/>
        <w:numPr>
          <w:ilvl w:val="0"/>
          <w:numId w:val="2"/>
        </w:numPr>
        <w:spacing w:after="60"/>
      </w:pPr>
      <w:r>
        <w:rPr>
          <w:rFonts w:ascii="Arial" w:cs="Arial" w:eastAsia="Arial" w:hAnsi="Arial"/>
          <w:sz w:val="22"/>
          <w:szCs w:val="22"/>
        </w:rPr>
        <w:t xml:space="preserve">Events tab — a chronological log of all custody events for the batch. For each event, you can see the event type, date submitted, submitting organization, and the key data fields recorded.</w:t>
      </w:r>
    </w:p>
    <w:p>
      <w:pPr>
        <w:pStyle w:val="ListParagraph"/>
        <w:numPr>
          <w:ilvl w:val="0"/>
          <w:numId w:val="2"/>
        </w:numPr>
        <w:spacing w:after="60"/>
      </w:pPr>
      <w:r>
        <w:rPr>
          <w:rFonts w:ascii="Arial" w:cs="Arial" w:eastAsia="Arial" w:hAnsi="Arial"/>
          <w:sz w:val="22"/>
          <w:szCs w:val="22"/>
        </w:rPr>
        <w:t xml:space="preserve">Compliance Checks tab — a detailed breakdown of each compliance check run against the batch, including the check type (RMAP or OECD DDG), the result (Pass / Fail / Inconclusive), the specific rule or criterion evaluated, and notes explaining any failures.</w:t>
      </w:r>
    </w:p>
    <w:p>
      <w:pPr>
        <w:pStyle w:val="ListParagraph"/>
        <w:numPr>
          <w:ilvl w:val="0"/>
          <w:numId w:val="2"/>
        </w:numPr>
        <w:spacing w:after="60"/>
      </w:pPr>
      <w:r>
        <w:rPr>
          <w:rFonts w:ascii="Arial" w:cs="Arial" w:eastAsia="Arial" w:hAnsi="Arial"/>
          <w:sz w:val="22"/>
          <w:szCs w:val="22"/>
        </w:rPr>
        <w:t xml:space="preserve">Documents tab — all documents attached to the batch and its events. Click on any document to preview or download it.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4.3 Generating a Material Passport</w:t>
      </w:r>
    </w:p>
    <w:p>
      <w:pPr>
        <w:spacing w:after="120"/>
      </w:pPr>
      <w:r>
        <w:rPr>
          <w:rFonts w:ascii="Arial" w:cs="Arial" w:eastAsia="Arial" w:hAnsi="Arial"/>
          <w:color w:val="222222"/>
          <w:sz w:val="22"/>
          <w:szCs w:val="22"/>
        </w:rPr>
        <w:t xml:space="preserve">A Material Passport is a PDF report that summarizes the verified custody chain and compliance status of a batch. It is designed to be shared with customers, regulators, or auditors as evidence of responsible sourcing.</w:t>
      </w:r>
    </w:p>
    <w:p>
      <w:pPr>
        <w:spacing w:after="120"/>
      </w:pPr>
      <w:r>
        <w:rPr>
          <w:rFonts w:ascii="Arial" w:cs="Arial" w:eastAsia="Arial" w:hAnsi="Arial"/>
          <w:color w:val="222222"/>
          <w:sz w:val="22"/>
          <w:szCs w:val="22"/>
        </w:rPr>
        <w:t xml:space="preserve">The Material Passport includes:</w:t>
      </w:r>
    </w:p>
    <w:p>
      <w:pPr>
        <w:pStyle w:val="ListParagraph"/>
        <w:numPr>
          <w:ilvl w:val="0"/>
          <w:numId w:val="2"/>
        </w:numPr>
        <w:spacing w:after="60"/>
      </w:pPr>
      <w:r>
        <w:rPr>
          <w:rFonts w:ascii="Arial" w:cs="Arial" w:eastAsia="Arial" w:hAnsi="Arial"/>
          <w:sz w:val="22"/>
          <w:szCs w:val="22"/>
        </w:rPr>
        <w:t xml:space="preserve">Batch identification information (batch number, mineral type, origin).</w:t>
      </w:r>
    </w:p>
    <w:p>
      <w:pPr>
        <w:pStyle w:val="ListParagraph"/>
        <w:numPr>
          <w:ilvl w:val="0"/>
          <w:numId w:val="2"/>
        </w:numPr>
        <w:spacing w:after="60"/>
      </w:pPr>
      <w:r>
        <w:rPr>
          <w:rFonts w:ascii="Arial" w:cs="Arial" w:eastAsia="Arial" w:hAnsi="Arial"/>
          <w:sz w:val="22"/>
          <w:szCs w:val="22"/>
        </w:rPr>
        <w:t xml:space="preserve">A summary of the custody chain (key events and parties).</w:t>
      </w:r>
    </w:p>
    <w:p>
      <w:pPr>
        <w:pStyle w:val="ListParagraph"/>
        <w:numPr>
          <w:ilvl w:val="0"/>
          <w:numId w:val="2"/>
        </w:numPr>
        <w:spacing w:after="60"/>
      </w:pPr>
      <w:r>
        <w:rPr>
          <w:rFonts w:ascii="Arial" w:cs="Arial" w:eastAsia="Arial" w:hAnsi="Arial"/>
          <w:sz w:val="22"/>
          <w:szCs w:val="22"/>
        </w:rPr>
        <w:t xml:space="preserve">Compliance summary (RMAP and OECD DDG results).</w:t>
      </w:r>
    </w:p>
    <w:p>
      <w:pPr>
        <w:pStyle w:val="ListParagraph"/>
        <w:numPr>
          <w:ilvl w:val="0"/>
          <w:numId w:val="2"/>
        </w:numPr>
        <w:spacing w:after="60"/>
      </w:pPr>
      <w:r>
        <w:rPr>
          <w:rFonts w:ascii="Arial" w:cs="Arial" w:eastAsia="Arial" w:hAnsi="Arial"/>
          <w:sz w:val="22"/>
          <w:szCs w:val="22"/>
        </w:rPr>
        <w:t xml:space="preserve">A QR code that links to the publicly verifiable batch record.</w:t>
      </w:r>
    </w:p>
    <w:p>
      <w:pPr>
        <w:pStyle w:val="ListParagraph"/>
        <w:numPr>
          <w:ilvl w:val="0"/>
          <w:numId w:val="2"/>
        </w:numPr>
        <w:spacing w:after="60"/>
      </w:pPr>
      <w:r>
        <w:rPr>
          <w:rFonts w:ascii="Arial" w:cs="Arial" w:eastAsia="Arial" w:hAnsi="Arial"/>
          <w:sz w:val="22"/>
          <w:szCs w:val="22"/>
        </w:rPr>
        <w:t xml:space="preserve">AccuTrac platform verification details.</w:t>
      </w:r>
    </w:p>
    <w:p>
      <w:pPr>
        <w:spacing w:after="80" w:before="80"/>
      </w:pPr>
      <w:r>
        <w:t xml:space="preserve"/>
      </w:r>
    </w:p>
    <w:p>
      <w:pPr>
        <w:spacing w:after="120"/>
      </w:pPr>
      <w:r>
        <w:rPr>
          <w:rFonts w:ascii="Arial" w:cs="Arial" w:eastAsia="Arial" w:hAnsi="Arial"/>
          <w:color w:val="222222"/>
          <w:sz w:val="22"/>
          <w:szCs w:val="22"/>
        </w:rPr>
        <w:t xml:space="preserve">To generate a Material Passport:</w:t>
      </w:r>
    </w:p>
    <w:p>
      <w:pPr>
        <w:pStyle w:val="ListParagraph"/>
        <w:numPr>
          <w:ilvl w:val="0"/>
          <w:numId w:val="7"/>
        </w:numPr>
        <w:spacing w:after="60"/>
      </w:pPr>
      <w:r>
        <w:rPr>
          <w:rFonts w:ascii="Arial" w:cs="Arial" w:eastAsia="Arial" w:hAnsi="Arial"/>
          <w:sz w:val="22"/>
          <w:szCs w:val="22"/>
        </w:rPr>
        <w:t xml:space="preserve">Open the Batch Detail view for the relevant batch.</w:t>
      </w:r>
    </w:p>
    <w:p>
      <w:pPr>
        <w:pStyle w:val="ListParagraph"/>
        <w:numPr>
          <w:ilvl w:val="0"/>
          <w:numId w:val="7"/>
        </w:numPr>
        <w:spacing w:after="60"/>
      </w:pPr>
      <w:r>
        <w:rPr>
          <w:rFonts w:ascii="Arial" w:cs="Arial" w:eastAsia="Arial" w:hAnsi="Arial"/>
          <w:sz w:val="22"/>
          <w:szCs w:val="22"/>
        </w:rPr>
        <w:t xml:space="preserve">Click "Generate Material Passport".</w:t>
      </w:r>
    </w:p>
    <w:p>
      <w:pPr>
        <w:pStyle w:val="ListParagraph"/>
        <w:numPr>
          <w:ilvl w:val="0"/>
          <w:numId w:val="7"/>
        </w:numPr>
        <w:spacing w:after="60"/>
      </w:pPr>
      <w:r>
        <w:rPr>
          <w:rFonts w:ascii="Arial" w:cs="Arial" w:eastAsia="Arial" w:hAnsi="Arial"/>
          <w:sz w:val="22"/>
          <w:szCs w:val="22"/>
        </w:rPr>
        <w:t xml:space="preserve">AccuTrac will prepare the PDF. This may take a few seconds.</w:t>
      </w:r>
    </w:p>
    <w:p>
      <w:pPr>
        <w:pStyle w:val="ListParagraph"/>
        <w:numPr>
          <w:ilvl w:val="0"/>
          <w:numId w:val="7"/>
        </w:numPr>
        <w:spacing w:after="60"/>
      </w:pPr>
      <w:r>
        <w:rPr>
          <w:rFonts w:ascii="Arial" w:cs="Arial" w:eastAsia="Arial" w:hAnsi="Arial"/>
          <w:sz w:val="22"/>
          <w:szCs w:val="22"/>
        </w:rPr>
        <w:t xml:space="preserve">Click "Download" when the report is ready.</w:t>
      </w:r>
    </w:p>
    <w:p>
      <w:pPr>
        <w:spacing w:after="80" w:before="80"/>
      </w:pPr>
      <w:r>
        <w:t xml:space="preserve"/>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A Material Passport can only be generated for batches with a compliance status of COMPLIANT. If the batch is flagged or has insufficient data, resolve the compliance issues before generating the passport.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4.4 Generating an Audit Dossier</w:t>
      </w:r>
    </w:p>
    <w:p>
      <w:pPr>
        <w:spacing w:after="120"/>
      </w:pPr>
      <w:r>
        <w:rPr>
          <w:rFonts w:ascii="Arial" w:cs="Arial" w:eastAsia="Arial" w:hAnsi="Arial"/>
          <w:color w:val="222222"/>
          <w:sz w:val="22"/>
          <w:szCs w:val="22"/>
        </w:rPr>
        <w:t xml:space="preserve">An Audit Dossier is a comprehensive PDF report intended for formal audits and due diligence reviews. It contains the complete event log, all compliance check results with supporting detail, and references to all attached documents.</w:t>
      </w:r>
    </w:p>
    <w:p>
      <w:pPr>
        <w:spacing w:after="120"/>
      </w:pPr>
      <w:r>
        <w:rPr>
          <w:rFonts w:ascii="Arial" w:cs="Arial" w:eastAsia="Arial" w:hAnsi="Arial"/>
          <w:color w:val="222222"/>
          <w:sz w:val="22"/>
          <w:szCs w:val="22"/>
        </w:rPr>
        <w:t xml:space="preserve">To generate an Audit Dossier:</w:t>
      </w:r>
    </w:p>
    <w:p>
      <w:pPr>
        <w:pStyle w:val="ListParagraph"/>
        <w:numPr>
          <w:ilvl w:val="0"/>
          <w:numId w:val="8"/>
        </w:numPr>
        <w:spacing w:after="60"/>
      </w:pPr>
      <w:r>
        <w:rPr>
          <w:rFonts w:ascii="Arial" w:cs="Arial" w:eastAsia="Arial" w:hAnsi="Arial"/>
          <w:sz w:val="22"/>
          <w:szCs w:val="22"/>
        </w:rPr>
        <w:t xml:space="preserve">Open the Batch Detail view.</w:t>
      </w:r>
    </w:p>
    <w:p>
      <w:pPr>
        <w:pStyle w:val="ListParagraph"/>
        <w:numPr>
          <w:ilvl w:val="0"/>
          <w:numId w:val="8"/>
        </w:numPr>
        <w:spacing w:after="60"/>
      </w:pPr>
      <w:r>
        <w:rPr>
          <w:rFonts w:ascii="Arial" w:cs="Arial" w:eastAsia="Arial" w:hAnsi="Arial"/>
          <w:sz w:val="22"/>
          <w:szCs w:val="22"/>
        </w:rPr>
        <w:t xml:space="preserve">Click "Generate Audit Dossier".</w:t>
      </w:r>
    </w:p>
    <w:p>
      <w:pPr>
        <w:pStyle w:val="ListParagraph"/>
        <w:numPr>
          <w:ilvl w:val="0"/>
          <w:numId w:val="8"/>
        </w:numPr>
        <w:spacing w:after="60"/>
      </w:pPr>
      <w:r>
        <w:rPr>
          <w:rFonts w:ascii="Arial" w:cs="Arial" w:eastAsia="Arial" w:hAnsi="Arial"/>
          <w:sz w:val="22"/>
          <w:szCs w:val="22"/>
        </w:rPr>
        <w:t xml:space="preserve">Select the date range you wish to include (or leave blank to include all events).</w:t>
      </w:r>
    </w:p>
    <w:p>
      <w:pPr>
        <w:pStyle w:val="ListParagraph"/>
        <w:numPr>
          <w:ilvl w:val="0"/>
          <w:numId w:val="8"/>
        </w:numPr>
        <w:spacing w:after="60"/>
      </w:pPr>
      <w:r>
        <w:rPr>
          <w:rFonts w:ascii="Arial" w:cs="Arial" w:eastAsia="Arial" w:hAnsi="Arial"/>
          <w:sz w:val="22"/>
          <w:szCs w:val="22"/>
        </w:rPr>
        <w:t xml:space="preserve">Click "Generate".</w:t>
      </w:r>
    </w:p>
    <w:p>
      <w:pPr>
        <w:pStyle w:val="ListParagraph"/>
        <w:numPr>
          <w:ilvl w:val="0"/>
          <w:numId w:val="8"/>
        </w:numPr>
        <w:spacing w:after="60"/>
      </w:pPr>
      <w:r>
        <w:rPr>
          <w:rFonts w:ascii="Arial" w:cs="Arial" w:eastAsia="Arial" w:hAnsi="Arial"/>
          <w:sz w:val="22"/>
          <w:szCs w:val="22"/>
        </w:rPr>
        <w:t xml:space="preserve">Download the completed PDF.</w:t>
      </w:r>
    </w:p>
    <w:p>
      <w:pPr>
        <w:spacing w:after="80" w:before="80"/>
      </w:pPr>
      <w:r>
        <w:t xml:space="preserve"/>
      </w:r>
    </w:p>
    <w:p>
      <w:pPr>
        <w:spacing w:after="120"/>
      </w:pPr>
      <w:r>
        <w:rPr>
          <w:rFonts w:ascii="Arial" w:cs="Arial" w:eastAsia="Arial" w:hAnsi="Arial"/>
          <w:color w:val="222222"/>
          <w:sz w:val="22"/>
          <w:szCs w:val="22"/>
        </w:rPr>
        <w:t xml:space="preserve">The Audit Dossier is typically larger than a Material Passport and may take longer to prepare for batches with many events and documents.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4.5 Sharing a Material Passport</w:t>
      </w:r>
    </w:p>
    <w:p>
      <w:pPr>
        <w:spacing w:after="120"/>
      </w:pPr>
      <w:r>
        <w:rPr>
          <w:rFonts w:ascii="Arial" w:cs="Arial" w:eastAsia="Arial" w:hAnsi="Arial"/>
          <w:color w:val="222222"/>
          <w:sz w:val="22"/>
          <w:szCs w:val="22"/>
        </w:rPr>
        <w:t xml:space="preserve">You can share a Material Passport with external parties — such as customers, auditors, or regulatory bodies — using a time-limited secure link. The recipient does not need an AccuTrac account to view the passport.</w:t>
      </w:r>
    </w:p>
    <w:p>
      <w:pPr>
        <w:spacing w:after="120"/>
      </w:pPr>
      <w:r>
        <w:rPr>
          <w:rFonts w:ascii="Arial" w:cs="Arial" w:eastAsia="Arial" w:hAnsi="Arial"/>
          <w:color w:val="222222"/>
          <w:sz w:val="22"/>
          <w:szCs w:val="22"/>
        </w:rPr>
        <w:t xml:space="preserve">Shared links are valid for 30 days from the date of creation.</w:t>
      </w:r>
    </w:p>
    <w:p>
      <w:pPr>
        <w:spacing w:after="120"/>
      </w:pPr>
      <w:r>
        <w:rPr>
          <w:rFonts w:ascii="Arial" w:cs="Arial" w:eastAsia="Arial" w:hAnsi="Arial"/>
          <w:color w:val="222222"/>
          <w:sz w:val="22"/>
          <w:szCs w:val="22"/>
        </w:rPr>
        <w:t xml:space="preserve">To create a shared link:</w:t>
      </w:r>
    </w:p>
    <w:p>
      <w:pPr>
        <w:pStyle w:val="ListParagraph"/>
        <w:numPr>
          <w:ilvl w:val="0"/>
          <w:numId w:val="9"/>
        </w:numPr>
        <w:spacing w:after="60"/>
      </w:pPr>
      <w:r>
        <w:rPr>
          <w:rFonts w:ascii="Arial" w:cs="Arial" w:eastAsia="Arial" w:hAnsi="Arial"/>
          <w:sz w:val="22"/>
          <w:szCs w:val="22"/>
        </w:rPr>
        <w:t xml:space="preserve">Generate the Material Passport (see Section 4.3).</w:t>
      </w:r>
    </w:p>
    <w:p>
      <w:pPr>
        <w:pStyle w:val="ListParagraph"/>
        <w:numPr>
          <w:ilvl w:val="0"/>
          <w:numId w:val="9"/>
        </w:numPr>
        <w:spacing w:after="60"/>
      </w:pPr>
      <w:r>
        <w:rPr>
          <w:rFonts w:ascii="Arial" w:cs="Arial" w:eastAsia="Arial" w:hAnsi="Arial"/>
          <w:sz w:val="22"/>
          <w:szCs w:val="22"/>
        </w:rPr>
        <w:t xml:space="preserve">Click "Share" next to the Material Passport.</w:t>
      </w:r>
    </w:p>
    <w:p>
      <w:pPr>
        <w:pStyle w:val="ListParagraph"/>
        <w:numPr>
          <w:ilvl w:val="0"/>
          <w:numId w:val="9"/>
        </w:numPr>
        <w:spacing w:after="60"/>
      </w:pPr>
      <w:r>
        <w:rPr>
          <w:rFonts w:ascii="Arial" w:cs="Arial" w:eastAsia="Arial" w:hAnsi="Arial"/>
          <w:sz w:val="22"/>
          <w:szCs w:val="22"/>
        </w:rPr>
        <w:t xml:space="preserve">AccuTrac generates a unique URL. Copy this link and send it to the recipient.</w:t>
      </w:r>
    </w:p>
    <w:p>
      <w:pPr>
        <w:spacing w:after="80" w:before="80"/>
      </w:pPr>
      <w:r>
        <w:t xml:space="preserve"/>
      </w:r>
    </w:p>
    <w:p>
      <w:pPr>
        <w:spacing w:after="120"/>
      </w:pPr>
      <w:r>
        <w:rPr>
          <w:rFonts w:ascii="Arial" w:cs="Arial" w:eastAsia="Arial" w:hAnsi="Arial"/>
          <w:color w:val="222222"/>
          <w:sz w:val="22"/>
          <w:szCs w:val="22"/>
        </w:rPr>
        <w:t xml:space="preserve">The recipient can open the link in any browser to view the Material Passport. The link will expire automatically after 30 days. If the recipient needs access after expiry, generate a new shared link.</w:t>
      </w:r>
    </w:p>
    <w:p>
      <w:pPr>
        <w:pBdr>
          <w:left w:val="single" w:color="B71C1C" w:sz="12" w:space="8"/>
        </w:pBdr>
        <w:spacing w:after="120" w:before="80"/>
        <w:ind w:left="720"/>
      </w:pPr>
      <w:r>
        <w:rPr>
          <w:rFonts w:ascii="Arial" w:cs="Arial" w:eastAsia="Arial" w:hAnsi="Arial"/>
          <w:b/>
          <w:bCs/>
          <w:color w:val="B71C1C"/>
          <w:sz w:val="22"/>
          <w:szCs w:val="22"/>
        </w:rPr>
        <w:t xml:space="preserve">Security note:  </w:t>
      </w:r>
      <w:r>
        <w:rPr>
          <w:rFonts w:ascii="Arial" w:cs="Arial" w:eastAsia="Arial" w:hAnsi="Arial"/>
          <w:i/>
          <w:iCs/>
          <w:color w:val="333333"/>
          <w:sz w:val="22"/>
          <w:szCs w:val="22"/>
        </w:rPr>
        <w:t xml:space="preserve">Treat shared links as confidential. Anyone who has the link can view the Material Passport during the active period. Do not post shared links publicly.</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4.6 Downloading Documents</w:t>
      </w:r>
    </w:p>
    <w:p>
      <w:pPr>
        <w:spacing w:after="120"/>
      </w:pPr>
      <w:r>
        <w:rPr>
          <w:rFonts w:ascii="Arial" w:cs="Arial" w:eastAsia="Arial" w:hAnsi="Arial"/>
          <w:color w:val="222222"/>
          <w:sz w:val="22"/>
          <w:szCs w:val="22"/>
        </w:rPr>
        <w:t xml:space="preserve">From the Documents tab of any Batch Detail view, click the download icon next to any document to save it to your device. You can also download all documents for a batch as a ZIP archive by clicking "Download All".</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5. Admin Portal</w:t>
      </w:r>
    </w:p>
    <w:p>
      <w:pPr>
        <w:spacing w:after="120"/>
      </w:pPr>
      <w:r>
        <w:rPr>
          <w:rFonts w:ascii="Arial" w:cs="Arial" w:eastAsia="Arial" w:hAnsi="Arial"/>
          <w:color w:val="222222"/>
          <w:sz w:val="22"/>
          <w:szCs w:val="22"/>
        </w:rPr>
        <w:t xml:space="preserve">The Admin Portal is used by Platform Admins to manage users, maintain reference data, and oversee compliance reviews across the platform.</w:t>
      </w:r>
    </w:p>
    <w:p>
      <w:pPr>
        <w:pStyle w:val="Heading2"/>
        <w:spacing w:after="120" w:before="280"/>
      </w:pPr>
      <w:r>
        <w:rPr>
          <w:rFonts w:ascii="Arial" w:cs="Arial" w:eastAsia="Arial" w:hAnsi="Arial"/>
          <w:b/>
          <w:bCs/>
          <w:color w:val="1B2B4B"/>
          <w:sz w:val="28"/>
          <w:szCs w:val="28"/>
        </w:rPr>
        <w:t xml:space="preserve">5.1 Dashboard</w:t>
      </w:r>
    </w:p>
    <w:p>
      <w:pPr>
        <w:spacing w:after="120"/>
      </w:pPr>
      <w:r>
        <w:rPr>
          <w:rFonts w:ascii="Arial" w:cs="Arial" w:eastAsia="Arial" w:hAnsi="Arial"/>
          <w:color w:val="222222"/>
          <w:sz w:val="22"/>
          <w:szCs w:val="22"/>
        </w:rPr>
        <w:t xml:space="preserve">The Admin Dashboard displays a system-wide overview, including:</w:t>
      </w:r>
    </w:p>
    <w:p>
      <w:pPr>
        <w:pStyle w:val="ListParagraph"/>
        <w:numPr>
          <w:ilvl w:val="0"/>
          <w:numId w:val="2"/>
        </w:numPr>
        <w:spacing w:after="60"/>
      </w:pPr>
      <w:r>
        <w:rPr>
          <w:rFonts w:ascii="Arial" w:cs="Arial" w:eastAsia="Arial" w:hAnsi="Arial"/>
          <w:sz w:val="22"/>
          <w:szCs w:val="22"/>
        </w:rPr>
        <w:t xml:space="preserve">Total number of registered users (broken down by role).</w:t>
      </w:r>
    </w:p>
    <w:p>
      <w:pPr>
        <w:pStyle w:val="ListParagraph"/>
        <w:numPr>
          <w:ilvl w:val="0"/>
          <w:numId w:val="2"/>
        </w:numPr>
        <w:spacing w:after="60"/>
      </w:pPr>
      <w:r>
        <w:rPr>
          <w:rFonts w:ascii="Arial" w:cs="Arial" w:eastAsia="Arial" w:hAnsi="Arial"/>
          <w:sz w:val="22"/>
          <w:szCs w:val="22"/>
        </w:rPr>
        <w:t xml:space="preserve">Total number of active batches on the platform.</w:t>
      </w:r>
    </w:p>
    <w:p>
      <w:pPr>
        <w:pStyle w:val="ListParagraph"/>
        <w:numPr>
          <w:ilvl w:val="0"/>
          <w:numId w:val="2"/>
        </w:numPr>
        <w:spacing w:after="60"/>
      </w:pPr>
      <w:r>
        <w:rPr>
          <w:rFonts w:ascii="Arial" w:cs="Arial" w:eastAsia="Arial" w:hAnsi="Arial"/>
          <w:sz w:val="22"/>
          <w:szCs w:val="22"/>
        </w:rPr>
        <w:t xml:space="preserve">Number of batches by compliance status.</w:t>
      </w:r>
    </w:p>
    <w:p>
      <w:pPr>
        <w:pStyle w:val="ListParagraph"/>
        <w:numPr>
          <w:ilvl w:val="0"/>
          <w:numId w:val="2"/>
        </w:numPr>
        <w:spacing w:after="60"/>
      </w:pPr>
      <w:r>
        <w:rPr>
          <w:rFonts w:ascii="Arial" w:cs="Arial" w:eastAsia="Arial" w:hAnsi="Arial"/>
          <w:sz w:val="22"/>
          <w:szCs w:val="22"/>
        </w:rPr>
        <w:t xml:space="preserve">Number of flagged batches awaiting review.</w:t>
      </w:r>
    </w:p>
    <w:p>
      <w:pPr>
        <w:pStyle w:val="ListParagraph"/>
        <w:numPr>
          <w:ilvl w:val="0"/>
          <w:numId w:val="2"/>
        </w:numPr>
        <w:spacing w:after="60"/>
      </w:pPr>
      <w:r>
        <w:rPr>
          <w:rFonts w:ascii="Arial" w:cs="Arial" w:eastAsia="Arial" w:hAnsi="Arial"/>
          <w:sz w:val="22"/>
          <w:szCs w:val="22"/>
        </w:rPr>
        <w:t xml:space="preserve">Recent platform activity.</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5.2 User Management</w:t>
      </w:r>
    </w:p>
    <w:p>
      <w:pPr>
        <w:pStyle w:val="Heading3"/>
        <w:spacing w:after="80" w:before="200"/>
      </w:pPr>
      <w:r>
        <w:rPr>
          <w:rFonts w:ascii="Arial" w:cs="Arial" w:eastAsia="Arial" w:hAnsi="Arial"/>
          <w:b/>
          <w:bCs/>
          <w:color w:val="C9A84C"/>
          <w:sz w:val="24"/>
          <w:szCs w:val="24"/>
        </w:rPr>
        <w:t xml:space="preserve">Inviting a New User</w:t>
      </w:r>
    </w:p>
    <w:p>
      <w:pPr>
        <w:pStyle w:val="ListParagraph"/>
        <w:numPr>
          <w:ilvl w:val="0"/>
          <w:numId w:val="10"/>
        </w:numPr>
        <w:spacing w:after="60"/>
      </w:pPr>
      <w:r>
        <w:rPr>
          <w:rFonts w:ascii="Arial" w:cs="Arial" w:eastAsia="Arial" w:hAnsi="Arial"/>
          <w:sz w:val="22"/>
          <w:szCs w:val="22"/>
        </w:rPr>
        <w:t xml:space="preserve">Navigate to Users in the left-hand navigation menu.</w:t>
      </w:r>
    </w:p>
    <w:p>
      <w:pPr>
        <w:pStyle w:val="ListParagraph"/>
        <w:numPr>
          <w:ilvl w:val="0"/>
          <w:numId w:val="10"/>
        </w:numPr>
        <w:spacing w:after="60"/>
      </w:pPr>
      <w:r>
        <w:rPr>
          <w:rFonts w:ascii="Arial" w:cs="Arial" w:eastAsia="Arial" w:hAnsi="Arial"/>
          <w:sz w:val="22"/>
          <w:szCs w:val="22"/>
        </w:rPr>
        <w:t xml:space="preserve">Click "Invite User".</w:t>
      </w:r>
    </w:p>
    <w:p>
      <w:pPr>
        <w:pStyle w:val="ListParagraph"/>
        <w:numPr>
          <w:ilvl w:val="0"/>
          <w:numId w:val="10"/>
        </w:numPr>
        <w:spacing w:after="60"/>
      </w:pPr>
      <w:r>
        <w:rPr>
          <w:rFonts w:ascii="Arial" w:cs="Arial" w:eastAsia="Arial" w:hAnsi="Arial"/>
          <w:sz w:val="22"/>
          <w:szCs w:val="22"/>
        </w:rPr>
        <w:t xml:space="preserve">Enter the new user's email address.</w:t>
      </w:r>
    </w:p>
    <w:p>
      <w:pPr>
        <w:pStyle w:val="ListParagraph"/>
        <w:numPr>
          <w:ilvl w:val="0"/>
          <w:numId w:val="10"/>
        </w:numPr>
        <w:spacing w:after="60"/>
      </w:pPr>
      <w:r>
        <w:rPr>
          <w:rFonts w:ascii="Arial" w:cs="Arial" w:eastAsia="Arial" w:hAnsi="Arial"/>
          <w:sz w:val="22"/>
          <w:szCs w:val="22"/>
        </w:rPr>
        <w:t xml:space="preserve">Select their role: Supplier, Buyer, or Platform Admin.</w:t>
      </w:r>
    </w:p>
    <w:p>
      <w:pPr>
        <w:pStyle w:val="ListParagraph"/>
        <w:numPr>
          <w:ilvl w:val="0"/>
          <w:numId w:val="10"/>
        </w:numPr>
        <w:spacing w:after="60"/>
      </w:pPr>
      <w:r>
        <w:rPr>
          <w:rFonts w:ascii="Arial" w:cs="Arial" w:eastAsia="Arial" w:hAnsi="Arial"/>
          <w:sz w:val="22"/>
          <w:szCs w:val="22"/>
        </w:rPr>
        <w:t xml:space="preserve">Click "Send Invitation".</w:t>
      </w:r>
    </w:p>
    <w:p>
      <w:pPr>
        <w:spacing w:after="80" w:before="80"/>
      </w:pPr>
      <w:r>
        <w:t xml:space="preserve"/>
      </w:r>
    </w:p>
    <w:p>
      <w:pPr>
        <w:spacing w:after="120"/>
      </w:pPr>
      <w:r>
        <w:rPr>
          <w:rFonts w:ascii="Arial" w:cs="Arial" w:eastAsia="Arial" w:hAnsi="Arial"/>
          <w:color w:val="222222"/>
          <w:sz w:val="22"/>
          <w:szCs w:val="22"/>
        </w:rPr>
        <w:t xml:space="preserve">The user will receive an email invitation with a link to activate their account. The invitation link expires after 7 days. You can resend the invitation from the Users list if needed.</w:t>
      </w:r>
    </w:p>
    <w:p>
      <w:pPr>
        <w:spacing w:after="120" w:before="80"/>
      </w:pPr>
      <w:r>
        <w:t xml:space="preserve"/>
      </w:r>
    </w:p>
    <w:p>
      <w:pPr>
        <w:pStyle w:val="Heading3"/>
        <w:spacing w:after="80" w:before="200"/>
      </w:pPr>
      <w:r>
        <w:rPr>
          <w:rFonts w:ascii="Arial" w:cs="Arial" w:eastAsia="Arial" w:hAnsi="Arial"/>
          <w:b/>
          <w:bCs/>
          <w:color w:val="C9A84C"/>
          <w:sz w:val="24"/>
          <w:szCs w:val="24"/>
        </w:rPr>
        <w:t xml:space="preserve">Assigning or Changing a Role</w:t>
      </w:r>
    </w:p>
    <w:p>
      <w:pPr>
        <w:pStyle w:val="ListParagraph"/>
        <w:numPr>
          <w:ilvl w:val="0"/>
          <w:numId w:val="11"/>
        </w:numPr>
        <w:spacing w:after="60"/>
      </w:pPr>
      <w:r>
        <w:rPr>
          <w:rFonts w:ascii="Arial" w:cs="Arial" w:eastAsia="Arial" w:hAnsi="Arial"/>
          <w:sz w:val="22"/>
          <w:szCs w:val="22"/>
        </w:rPr>
        <w:t xml:space="preserve">Find the user in the Users list.</w:t>
      </w:r>
    </w:p>
    <w:p>
      <w:pPr>
        <w:pStyle w:val="ListParagraph"/>
        <w:numPr>
          <w:ilvl w:val="0"/>
          <w:numId w:val="11"/>
        </w:numPr>
        <w:spacing w:after="60"/>
      </w:pPr>
      <w:r>
        <w:rPr>
          <w:rFonts w:ascii="Arial" w:cs="Arial" w:eastAsia="Arial" w:hAnsi="Arial"/>
          <w:sz w:val="22"/>
          <w:szCs w:val="22"/>
        </w:rPr>
        <w:t xml:space="preserve">Click the user's name to open their profile.</w:t>
      </w:r>
    </w:p>
    <w:p>
      <w:pPr>
        <w:pStyle w:val="ListParagraph"/>
        <w:numPr>
          <w:ilvl w:val="0"/>
          <w:numId w:val="11"/>
        </w:numPr>
        <w:spacing w:after="60"/>
      </w:pPr>
      <w:r>
        <w:rPr>
          <w:rFonts w:ascii="Arial" w:cs="Arial" w:eastAsia="Arial" w:hAnsi="Arial"/>
          <w:sz w:val="22"/>
          <w:szCs w:val="22"/>
        </w:rPr>
        <w:t xml:space="preserve">Select the new role from the Role dropdown.</w:t>
      </w:r>
    </w:p>
    <w:p>
      <w:pPr>
        <w:pStyle w:val="ListParagraph"/>
        <w:numPr>
          <w:ilvl w:val="0"/>
          <w:numId w:val="11"/>
        </w:numPr>
        <w:spacing w:after="60"/>
      </w:pPr>
      <w:r>
        <w:rPr>
          <w:rFonts w:ascii="Arial" w:cs="Arial" w:eastAsia="Arial" w:hAnsi="Arial"/>
          <w:sz w:val="22"/>
          <w:szCs w:val="22"/>
        </w:rPr>
        <w:t xml:space="preserve">Click "Save Changes".</w:t>
      </w:r>
    </w:p>
    <w:p>
      <w:pPr>
        <w:spacing w:after="80" w:before="80"/>
      </w:pPr>
      <w:r>
        <w:t xml:space="preserve"/>
      </w:r>
    </w:p>
    <w:p>
      <w:pPr>
        <w:spacing w:after="120"/>
      </w:pPr>
      <w:r>
        <w:rPr>
          <w:rFonts w:ascii="Arial" w:cs="Arial" w:eastAsia="Arial" w:hAnsi="Arial"/>
          <w:color w:val="222222"/>
          <w:sz w:val="22"/>
          <w:szCs w:val="22"/>
        </w:rPr>
        <w:t xml:space="preserve">Role changes take effect immediately. The user will be redirected to the appropriate portal on their next page load.</w:t>
      </w:r>
    </w:p>
    <w:p>
      <w:pPr>
        <w:spacing w:after="120" w:before="80"/>
      </w:pPr>
      <w:r>
        <w:t xml:space="preserve"/>
      </w:r>
    </w:p>
    <w:p>
      <w:pPr>
        <w:pStyle w:val="Heading3"/>
        <w:spacing w:after="80" w:before="200"/>
      </w:pPr>
      <w:r>
        <w:rPr>
          <w:rFonts w:ascii="Arial" w:cs="Arial" w:eastAsia="Arial" w:hAnsi="Arial"/>
          <w:b/>
          <w:bCs/>
          <w:color w:val="C9A84C"/>
          <w:sz w:val="24"/>
          <w:szCs w:val="24"/>
        </w:rPr>
        <w:t xml:space="preserve">Deactivating a User</w:t>
      </w:r>
    </w:p>
    <w:p>
      <w:pPr>
        <w:spacing w:after="120"/>
      </w:pPr>
      <w:r>
        <w:rPr>
          <w:rFonts w:ascii="Arial" w:cs="Arial" w:eastAsia="Arial" w:hAnsi="Arial"/>
          <w:color w:val="222222"/>
          <w:sz w:val="22"/>
          <w:szCs w:val="22"/>
        </w:rPr>
        <w:t xml:space="preserve">Deactivating a user prevents them from signing in without permanently deleting their account or any records they have created.</w:t>
      </w:r>
    </w:p>
    <w:p>
      <w:pPr>
        <w:pStyle w:val="ListParagraph"/>
        <w:numPr>
          <w:ilvl w:val="0"/>
          <w:numId w:val="12"/>
        </w:numPr>
        <w:spacing w:after="60"/>
      </w:pPr>
      <w:r>
        <w:rPr>
          <w:rFonts w:ascii="Arial" w:cs="Arial" w:eastAsia="Arial" w:hAnsi="Arial"/>
          <w:sz w:val="22"/>
          <w:szCs w:val="22"/>
        </w:rPr>
        <w:t xml:space="preserve">Open the user's profile from the Users list.</w:t>
      </w:r>
    </w:p>
    <w:p>
      <w:pPr>
        <w:pStyle w:val="ListParagraph"/>
        <w:numPr>
          <w:ilvl w:val="0"/>
          <w:numId w:val="12"/>
        </w:numPr>
        <w:spacing w:after="60"/>
      </w:pPr>
      <w:r>
        <w:rPr>
          <w:rFonts w:ascii="Arial" w:cs="Arial" w:eastAsia="Arial" w:hAnsi="Arial"/>
          <w:sz w:val="22"/>
          <w:szCs w:val="22"/>
        </w:rPr>
        <w:t xml:space="preserve">Click "Deactivate Account".</w:t>
      </w:r>
    </w:p>
    <w:p>
      <w:pPr>
        <w:pStyle w:val="ListParagraph"/>
        <w:numPr>
          <w:ilvl w:val="0"/>
          <w:numId w:val="12"/>
        </w:numPr>
        <w:spacing w:after="60"/>
      </w:pPr>
      <w:r>
        <w:rPr>
          <w:rFonts w:ascii="Arial" w:cs="Arial" w:eastAsia="Arial" w:hAnsi="Arial"/>
          <w:sz w:val="22"/>
          <w:szCs w:val="22"/>
        </w:rPr>
        <w:t xml:space="preserve">Confirm the action when prompted.</w:t>
      </w:r>
    </w:p>
    <w:p>
      <w:pPr>
        <w:spacing w:after="80" w:before="80"/>
      </w:pPr>
      <w:r>
        <w:t xml:space="preserve"/>
      </w:r>
    </w:p>
    <w:p>
      <w:pPr>
        <w:spacing w:after="120"/>
      </w:pPr>
      <w:r>
        <w:rPr>
          <w:rFonts w:ascii="Arial" w:cs="Arial" w:eastAsia="Arial" w:hAnsi="Arial"/>
          <w:color w:val="222222"/>
          <w:sz w:val="22"/>
          <w:szCs w:val="22"/>
        </w:rPr>
        <w:t xml:space="preserve">To reactivate a deactivated user, locate their profile (use the "Show deactivated users" filter), open it, and click "Reactivate Account".</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Deactivating a user does not affect any batches or events they have created. All historical records remain intact.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5.3 RMAP Smelter List Management</w:t>
      </w:r>
    </w:p>
    <w:p>
      <w:pPr>
        <w:spacing w:after="120"/>
      </w:pPr>
      <w:r>
        <w:rPr>
          <w:rFonts w:ascii="Arial" w:cs="Arial" w:eastAsia="Arial" w:hAnsi="Arial"/>
          <w:color w:val="222222"/>
          <w:sz w:val="22"/>
          <w:szCs w:val="22"/>
        </w:rPr>
        <w:t xml:space="preserve">AccuTrac maintains a list of RMAP-certified smelters. Smelter IDs entered in Primary Processing events are checked against this list. The list must be kept up to date to ensure accurate compliance checking.</w:t>
      </w:r>
    </w:p>
    <w:p>
      <w:pPr>
        <w:spacing w:after="120"/>
      </w:pPr>
      <w:r>
        <w:rPr>
          <w:rFonts w:ascii="Arial" w:cs="Arial" w:eastAsia="Arial" w:hAnsi="Arial"/>
          <w:color w:val="222222"/>
          <w:sz w:val="22"/>
          <w:szCs w:val="22"/>
        </w:rPr>
        <w:t xml:space="preserve">The RMAP smelter list is uploaded as a CSV file. The Responsible Minerals Initiative publishes an updated list periodically; download the latest version from the RMI website and upload it to AccuTrac.</w:t>
      </w:r>
    </w:p>
    <w:p>
      <w:pPr>
        <w:spacing w:after="120"/>
      </w:pPr>
      <w:r>
        <w:rPr>
          <w:rFonts w:ascii="Arial" w:cs="Arial" w:eastAsia="Arial" w:hAnsi="Arial"/>
          <w:color w:val="222222"/>
          <w:sz w:val="22"/>
          <w:szCs w:val="22"/>
        </w:rPr>
        <w:t xml:space="preserve">To update the RMAP smelter list:</w:t>
      </w:r>
    </w:p>
    <w:p>
      <w:pPr>
        <w:pStyle w:val="ListParagraph"/>
        <w:numPr>
          <w:ilvl w:val="0"/>
          <w:numId w:val="13"/>
        </w:numPr>
        <w:spacing w:after="60"/>
      </w:pPr>
      <w:r>
        <w:rPr>
          <w:rFonts w:ascii="Arial" w:cs="Arial" w:eastAsia="Arial" w:hAnsi="Arial"/>
          <w:sz w:val="22"/>
          <w:szCs w:val="22"/>
        </w:rPr>
        <w:t xml:space="preserve">Navigate to Compliance Settings &gt; RMAP Smelter List in the admin navigation.</w:t>
      </w:r>
    </w:p>
    <w:p>
      <w:pPr>
        <w:pStyle w:val="ListParagraph"/>
        <w:numPr>
          <w:ilvl w:val="0"/>
          <w:numId w:val="13"/>
        </w:numPr>
        <w:spacing w:after="60"/>
      </w:pPr>
      <w:r>
        <w:rPr>
          <w:rFonts w:ascii="Arial" w:cs="Arial" w:eastAsia="Arial" w:hAnsi="Arial"/>
          <w:sz w:val="22"/>
          <w:szCs w:val="22"/>
        </w:rPr>
        <w:t xml:space="preserve">Click "Upload New List".</w:t>
      </w:r>
    </w:p>
    <w:p>
      <w:pPr>
        <w:pStyle w:val="ListParagraph"/>
        <w:numPr>
          <w:ilvl w:val="0"/>
          <w:numId w:val="13"/>
        </w:numPr>
        <w:spacing w:after="60"/>
      </w:pPr>
      <w:r>
        <w:rPr>
          <w:rFonts w:ascii="Arial" w:cs="Arial" w:eastAsia="Arial" w:hAnsi="Arial"/>
          <w:sz w:val="22"/>
          <w:szCs w:val="22"/>
        </w:rPr>
        <w:t xml:space="preserve">Select the CSV file from your device.</w:t>
      </w:r>
    </w:p>
    <w:p>
      <w:pPr>
        <w:pStyle w:val="ListParagraph"/>
        <w:numPr>
          <w:ilvl w:val="0"/>
          <w:numId w:val="13"/>
        </w:numPr>
        <w:spacing w:after="60"/>
      </w:pPr>
      <w:r>
        <w:rPr>
          <w:rFonts w:ascii="Arial" w:cs="Arial" w:eastAsia="Arial" w:hAnsi="Arial"/>
          <w:sz w:val="22"/>
          <w:szCs w:val="22"/>
        </w:rPr>
        <w:t xml:space="preserve">AccuTrac will validate the file format and display a preview of the records to be imported.</w:t>
      </w:r>
    </w:p>
    <w:p>
      <w:pPr>
        <w:pStyle w:val="ListParagraph"/>
        <w:numPr>
          <w:ilvl w:val="0"/>
          <w:numId w:val="13"/>
        </w:numPr>
        <w:spacing w:after="60"/>
      </w:pPr>
      <w:r>
        <w:rPr>
          <w:rFonts w:ascii="Arial" w:cs="Arial" w:eastAsia="Arial" w:hAnsi="Arial"/>
          <w:sz w:val="22"/>
          <w:szCs w:val="22"/>
        </w:rPr>
        <w:t xml:space="preserve">If the preview looks correct, click "Confirm Upload".</w:t>
      </w:r>
    </w:p>
    <w:p>
      <w:pPr>
        <w:spacing w:after="80" w:before="80"/>
      </w:pPr>
      <w:r>
        <w:t xml:space="preserve"/>
      </w:r>
    </w:p>
    <w:p>
      <w:pPr>
        <w:spacing w:after="120"/>
      </w:pPr>
      <w:r>
        <w:rPr>
          <w:rFonts w:ascii="Arial" w:cs="Arial" w:eastAsia="Arial" w:hAnsi="Arial"/>
          <w:color w:val="222222"/>
          <w:sz w:val="22"/>
          <w:szCs w:val="22"/>
        </w:rPr>
        <w:t xml:space="preserve">The new list takes effect immediately. Any batches with smelter IDs that were previously unrecognized will be re-evaluated automatically.</w:t>
      </w:r>
    </w:p>
    <w:p>
      <w:pPr>
        <w:spacing w:after="120"/>
      </w:pPr>
      <w:r>
        <w:rPr>
          <w:rFonts w:ascii="Arial" w:cs="Arial" w:eastAsia="Arial" w:hAnsi="Arial"/>
          <w:color w:val="222222"/>
          <w:sz w:val="22"/>
          <w:szCs w:val="22"/>
        </w:rPr>
        <w:t xml:space="preserve">CSV format requirements: The file must include at minimum a column for the RMAP Smelter ID and the smelter name. Consult your Platform Admin technical contact for the exact column specification if you encounter import errors.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5.4 Compliance Review</w:t>
      </w:r>
    </w:p>
    <w:p>
      <w:pPr>
        <w:spacing w:after="120"/>
      </w:pPr>
      <w:r>
        <w:rPr>
          <w:rFonts w:ascii="Arial" w:cs="Arial" w:eastAsia="Arial" w:hAnsi="Arial"/>
          <w:color w:val="222222"/>
          <w:sz w:val="22"/>
          <w:szCs w:val="22"/>
        </w:rPr>
        <w:t xml:space="preserve">The Compliance Review section lists all batches with a FLAGGED status that require administrator attention.</w:t>
      </w:r>
    </w:p>
    <w:p>
      <w:pPr>
        <w:spacing w:after="120"/>
      </w:pPr>
      <w:r>
        <w:rPr>
          <w:rFonts w:ascii="Arial" w:cs="Arial" w:eastAsia="Arial" w:hAnsi="Arial"/>
          <w:color w:val="222222"/>
          <w:sz w:val="22"/>
          <w:szCs w:val="22"/>
        </w:rPr>
        <w:t xml:space="preserve">To review a flagged batch:</w:t>
      </w:r>
    </w:p>
    <w:p>
      <w:pPr>
        <w:pStyle w:val="ListParagraph"/>
        <w:numPr>
          <w:ilvl w:val="0"/>
          <w:numId w:val="14"/>
        </w:numPr>
        <w:spacing w:after="60"/>
      </w:pPr>
      <w:r>
        <w:rPr>
          <w:rFonts w:ascii="Arial" w:cs="Arial" w:eastAsia="Arial" w:hAnsi="Arial"/>
          <w:sz w:val="22"/>
          <w:szCs w:val="22"/>
        </w:rPr>
        <w:t xml:space="preserve">Navigate to Compliance Review in the admin navigation.</w:t>
      </w:r>
    </w:p>
    <w:p>
      <w:pPr>
        <w:pStyle w:val="ListParagraph"/>
        <w:numPr>
          <w:ilvl w:val="0"/>
          <w:numId w:val="14"/>
        </w:numPr>
        <w:spacing w:after="60"/>
      </w:pPr>
      <w:r>
        <w:rPr>
          <w:rFonts w:ascii="Arial" w:cs="Arial" w:eastAsia="Arial" w:hAnsi="Arial"/>
          <w:sz w:val="22"/>
          <w:szCs w:val="22"/>
        </w:rPr>
        <w:t xml:space="preserve">Click on a flagged batch to open the review view.</w:t>
      </w:r>
    </w:p>
    <w:p>
      <w:pPr>
        <w:pStyle w:val="ListParagraph"/>
        <w:numPr>
          <w:ilvl w:val="0"/>
          <w:numId w:val="14"/>
        </w:numPr>
        <w:spacing w:after="60"/>
      </w:pPr>
      <w:r>
        <w:rPr>
          <w:rFonts w:ascii="Arial" w:cs="Arial" w:eastAsia="Arial" w:hAnsi="Arial"/>
          <w:sz w:val="22"/>
          <w:szCs w:val="22"/>
        </w:rPr>
        <w:t xml:space="preserve">Review the compliance check results to understand why the batch was flagged.</w:t>
      </w:r>
    </w:p>
    <w:p>
      <w:pPr>
        <w:pStyle w:val="ListParagraph"/>
        <w:numPr>
          <w:ilvl w:val="0"/>
          <w:numId w:val="14"/>
        </w:numPr>
        <w:spacing w:after="60"/>
      </w:pPr>
      <w:r>
        <w:rPr>
          <w:rFonts w:ascii="Arial" w:cs="Arial" w:eastAsia="Arial" w:hAnsi="Arial"/>
          <w:sz w:val="22"/>
          <w:szCs w:val="22"/>
        </w:rPr>
        <w:t xml:space="preserve">You may: add a review note documenting your findings; request additional information from the supplier; override the flag if raised in error (with written justification); or escalate the case for formal investigation.</w:t>
      </w:r>
    </w:p>
    <w:p>
      <w:pPr>
        <w:pStyle w:val="ListParagraph"/>
        <w:numPr>
          <w:ilvl w:val="0"/>
          <w:numId w:val="14"/>
        </w:numPr>
        <w:spacing w:after="60"/>
      </w:pPr>
      <w:r>
        <w:rPr>
          <w:rFonts w:ascii="Arial" w:cs="Arial" w:eastAsia="Arial" w:hAnsi="Arial"/>
          <w:sz w:val="22"/>
          <w:szCs w:val="22"/>
        </w:rPr>
        <w:t xml:space="preserve">Click "Save Review" to record your action.</w:t>
      </w:r>
    </w:p>
    <w:p>
      <w:pPr>
        <w:spacing w:after="80" w:before="80"/>
      </w:pPr>
      <w:r>
        <w:t xml:space="preserve"/>
      </w:r>
    </w:p>
    <w:p>
      <w:pPr>
        <w:spacing w:after="120"/>
      </w:pPr>
      <w:r>
        <w:rPr>
          <w:rFonts w:ascii="Arial" w:cs="Arial" w:eastAsia="Arial" w:hAnsi="Arial"/>
          <w:color w:val="222222"/>
          <w:sz w:val="22"/>
          <w:szCs w:val="22"/>
        </w:rPr>
        <w:t xml:space="preserve">All compliance review actions are logged with the reviewer's name, timestamp, and notes.</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6. Compliance Engine</w:t>
      </w:r>
    </w:p>
    <w:p>
      <w:pPr>
        <w:spacing w:after="120"/>
      </w:pPr>
      <w:r>
        <w:rPr>
          <w:rFonts w:ascii="Arial" w:cs="Arial" w:eastAsia="Arial" w:hAnsi="Arial"/>
          <w:color w:val="222222"/>
          <w:sz w:val="22"/>
          <w:szCs w:val="22"/>
        </w:rPr>
        <w:t xml:space="preserve">AccuTrac's compliance engine automatically evaluates batches against RMAP and OECD DDG frameworks as events are submitted. This section explains how each check works and how individual check results combine into an overall batch compliance status.</w:t>
      </w:r>
    </w:p>
    <w:p>
      <w:pPr>
        <w:pStyle w:val="Heading2"/>
        <w:spacing w:after="120" w:before="280"/>
      </w:pPr>
      <w:r>
        <w:rPr>
          <w:rFonts w:ascii="Arial" w:cs="Arial" w:eastAsia="Arial" w:hAnsi="Arial"/>
          <w:b/>
          <w:bCs/>
          <w:color w:val="1B2B4B"/>
          <w:sz w:val="28"/>
          <w:szCs w:val="28"/>
        </w:rPr>
        <w:t xml:space="preserve">6.1 RMAP Checks</w:t>
      </w:r>
    </w:p>
    <w:p>
      <w:pPr>
        <w:spacing w:after="120"/>
      </w:pPr>
      <w:r>
        <w:rPr>
          <w:rFonts w:ascii="Arial" w:cs="Arial" w:eastAsia="Arial" w:hAnsi="Arial"/>
          <w:color w:val="222222"/>
          <w:sz w:val="22"/>
          <w:szCs w:val="22"/>
        </w:rPr>
        <w:t xml:space="preserve">When triggered: An RMAP check is triggered automatically whenever a Primary Processing (Smelting) event is submitted.</w:t>
      </w:r>
    </w:p>
    <w:p>
      <w:pPr>
        <w:spacing w:after="120"/>
      </w:pPr>
      <w:r>
        <w:rPr>
          <w:rFonts w:ascii="Arial" w:cs="Arial" w:eastAsia="Arial" w:hAnsi="Arial"/>
          <w:color w:val="222222"/>
          <w:sz w:val="22"/>
          <w:szCs w:val="22"/>
        </w:rPr>
        <w:t xml:space="preserve">What is checked: AccuTrac looks up the Smelter ID entered in the event against the current RMAP-approved smelter list (maintained by Platform Admins — see Section 5.3).</w:t>
      </w:r>
    </w:p>
    <w:p>
      <w:pPr>
        <w:spacing w:after="120"/>
      </w:pPr>
      <w:r>
        <w:rPr>
          <w:rFonts w:ascii="Arial" w:cs="Arial" w:eastAsia="Arial" w:hAnsi="Arial"/>
          <w:color w:val="222222"/>
          <w:sz w:val="22"/>
          <w:szCs w:val="22"/>
        </w:rPr>
        <w:t xml:space="preserve">Outcomes:</w:t>
      </w:r>
    </w:p>
    <w:p>
      <w:pPr>
        <w:pStyle w:val="ListParagraph"/>
        <w:numPr>
          <w:ilvl w:val="0"/>
          <w:numId w:val="2"/>
        </w:numPr>
        <w:spacing w:after="60"/>
      </w:pPr>
      <w:r>
        <w:rPr>
          <w:rFonts w:ascii="Arial" w:cs="Arial" w:eastAsia="Arial" w:hAnsi="Arial"/>
          <w:sz w:val="22"/>
          <w:szCs w:val="22"/>
        </w:rPr>
        <w:t xml:space="preserve">If the smelter ID is found on the list, the RMAP check passes.</w:t>
      </w:r>
    </w:p>
    <w:p>
      <w:pPr>
        <w:pStyle w:val="ListParagraph"/>
        <w:numPr>
          <w:ilvl w:val="0"/>
          <w:numId w:val="2"/>
        </w:numPr>
        <w:spacing w:after="60"/>
      </w:pPr>
      <w:r>
        <w:rPr>
          <w:rFonts w:ascii="Arial" w:cs="Arial" w:eastAsia="Arial" w:hAnsi="Arial"/>
          <w:sz w:val="22"/>
          <w:szCs w:val="22"/>
        </w:rPr>
        <w:t xml:space="preserve">If the smelter ID is not found on the list, the RMAP check fails and the batch is flagged.</w:t>
      </w:r>
    </w:p>
    <w:p>
      <w:pPr>
        <w:spacing w:after="80" w:before="80"/>
      </w:pPr>
      <w:r>
        <w:t xml:space="preserve"/>
      </w:r>
    </w:p>
    <w:p>
      <w:pPr>
        <w:spacing w:after="120"/>
      </w:pPr>
      <w:r>
        <w:rPr>
          <w:rFonts w:ascii="Arial" w:cs="Arial" w:eastAsia="Arial" w:hAnsi="Arial"/>
          <w:color w:val="222222"/>
          <w:sz w:val="22"/>
          <w:szCs w:val="22"/>
        </w:rPr>
        <w:t xml:space="preserve">What to do if an RMAP check fails: Verify that the smelter ID was entered correctly. If the smelter is genuinely not listed, it has either not yet been audited under RMAP or its certification has lapsed. Contact the smelter to obtain their current RMAP certification status, and contact your Platform Admin to check whether the smelter list needs updating.</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6.2 OECD DDG Checks</w:t>
      </w:r>
    </w:p>
    <w:p>
      <w:pPr>
        <w:spacing w:after="120"/>
      </w:pPr>
      <w:r>
        <w:rPr>
          <w:rFonts w:ascii="Arial" w:cs="Arial" w:eastAsia="Arial" w:hAnsi="Arial"/>
          <w:color w:val="222222"/>
          <w:sz w:val="22"/>
          <w:szCs w:val="22"/>
        </w:rPr>
        <w:t xml:space="preserve">OECD DDG checks evaluate a broader range of risk factors in accordance with the OECD Due Diligence Guidance for Responsible Supply Chains of Minerals from Conflict-Affected and High-Risk Areas.</w:t>
      </w:r>
    </w:p>
    <w:p>
      <w:pPr>
        <w:spacing w:after="120"/>
      </w:pPr>
      <w:r>
        <w:rPr>
          <w:rFonts w:ascii="Arial" w:cs="Arial" w:eastAsia="Arial" w:hAnsi="Arial"/>
          <w:color w:val="222222"/>
          <w:sz w:val="22"/>
          <w:szCs w:val="22"/>
        </w:rPr>
        <w:t xml:space="preserve">What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Check</w:t>
            </w:r>
          </w:p>
        </w:tc>
        <w:tc>
          <w:tcPr>
            <w:tcW w:type="dxa" w:w="69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Origin Country Risk</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origin country recorded for the batch is assessed against a risk classification. Countries identified as conflict-affected or high-risk under OECD guidance trigger a flag.</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Sanctions Screening</w:t>
            </w:r>
          </w:p>
        </w:tc>
        <w:tc>
          <w:tcPr>
            <w:tcW w:type="dxa" w:w="6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origin country, trading parties, and smelter are checked against applicable sanctions lists. Any match results in a flag.</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Document Completeness</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AccuTrac verifies that the expected documentation is present for the events recorded. Missing key documents (such as an export permit for an export event) will result in an INSUFFICIENT_DATA status.</w:t>
            </w:r>
          </w:p>
        </w:tc>
      </w:tr>
    </w:tbl>
    <w:p>
      <w:pPr>
        <w:spacing w:after="80" w:before="80"/>
      </w:pPr>
      <w:r>
        <w:t xml:space="preserve"/>
      </w:r>
    </w:p>
    <w:p>
      <w:pPr>
        <w:spacing w:after="120"/>
      </w:pPr>
      <w:r>
        <w:rPr>
          <w:rFonts w:ascii="Arial" w:cs="Arial" w:eastAsia="Arial" w:hAnsi="Arial"/>
          <w:color w:val="222222"/>
          <w:sz w:val="22"/>
          <w:szCs w:val="22"/>
        </w:rPr>
        <w:t xml:space="preserve">When triggered: OECD DDG checks run automatically when relevant events are submitted (for example, an origin country risk check runs when a batch is created; a document completeness check runs continuously as events are added).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6.3 Batch Compliance Rollup</w:t>
      </w:r>
    </w:p>
    <w:p>
      <w:pPr>
        <w:spacing w:after="120"/>
      </w:pPr>
      <w:r>
        <w:rPr>
          <w:rFonts w:ascii="Arial" w:cs="Arial" w:eastAsia="Arial" w:hAnsi="Arial"/>
          <w:color w:val="222222"/>
          <w:sz w:val="22"/>
          <w:szCs w:val="22"/>
        </w:rPr>
        <w:t xml:space="preserve">A batch's overall compliance status is determined by combining the results of all individual checks:</w:t>
      </w:r>
    </w:p>
    <w:p>
      <w:pPr>
        <w:pStyle w:val="ListParagraph"/>
        <w:numPr>
          <w:ilvl w:val="0"/>
          <w:numId w:val="2"/>
        </w:numPr>
        <w:spacing w:after="60"/>
      </w:pPr>
      <w:r>
        <w:rPr>
          <w:rFonts w:ascii="Arial" w:cs="Arial" w:eastAsia="Arial" w:hAnsi="Arial"/>
          <w:sz w:val="22"/>
          <w:szCs w:val="22"/>
        </w:rPr>
        <w:t xml:space="preserve">If all checks pass — status is COMPLIANT.</w:t>
      </w:r>
    </w:p>
    <w:p>
      <w:pPr>
        <w:pStyle w:val="ListParagraph"/>
        <w:numPr>
          <w:ilvl w:val="0"/>
          <w:numId w:val="2"/>
        </w:numPr>
        <w:spacing w:after="60"/>
      </w:pPr>
      <w:r>
        <w:rPr>
          <w:rFonts w:ascii="Arial" w:cs="Arial" w:eastAsia="Arial" w:hAnsi="Arial"/>
          <w:sz w:val="22"/>
          <w:szCs w:val="22"/>
        </w:rPr>
        <w:t xml:space="preserve">If any check fails — status is FLAGGED.</w:t>
      </w:r>
    </w:p>
    <w:p>
      <w:pPr>
        <w:pStyle w:val="ListParagraph"/>
        <w:numPr>
          <w:ilvl w:val="0"/>
          <w:numId w:val="2"/>
        </w:numPr>
        <w:spacing w:after="60"/>
      </w:pPr>
      <w:r>
        <w:rPr>
          <w:rFonts w:ascii="Arial" w:cs="Arial" w:eastAsia="Arial" w:hAnsi="Arial"/>
          <w:sz w:val="22"/>
          <w:szCs w:val="22"/>
        </w:rPr>
        <w:t xml:space="preserve">If checks cannot be completed due to missing information — status is INSUFFICIENT_DATA.</w:t>
      </w:r>
    </w:p>
    <w:p>
      <w:pPr>
        <w:pStyle w:val="ListParagraph"/>
        <w:numPr>
          <w:ilvl w:val="0"/>
          <w:numId w:val="2"/>
        </w:numPr>
        <w:spacing w:after="60"/>
      </w:pPr>
      <w:r>
        <w:rPr>
          <w:rFonts w:ascii="Arial" w:cs="Arial" w:eastAsia="Arial" w:hAnsi="Arial"/>
          <w:sz w:val="22"/>
          <w:szCs w:val="22"/>
        </w:rPr>
        <w:t xml:space="preserve">If no checks have been triggered yet (e.g., a newly created batch with no events) — status is PENDING.</w:t>
      </w:r>
    </w:p>
    <w:p>
      <w:pPr>
        <w:spacing w:after="80" w:before="80"/>
      </w:pPr>
      <w:r>
        <w:t xml:space="preserve"/>
      </w:r>
    </w:p>
    <w:p>
      <w:pPr>
        <w:spacing w:after="120"/>
      </w:pPr>
      <w:r>
        <w:rPr>
          <w:rFonts w:ascii="Arial" w:cs="Arial" w:eastAsia="Arial" w:hAnsi="Arial"/>
          <w:color w:val="222222"/>
          <w:sz w:val="22"/>
          <w:szCs w:val="22"/>
        </w:rPr>
        <w:t xml:space="preserve">The overall status is recalculated every time a new event is submitted.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6.4 Compliance Notifications</w:t>
      </w:r>
    </w:p>
    <w:p>
      <w:pPr>
        <w:spacing w:after="120"/>
      </w:pPr>
      <w:r>
        <w:rPr>
          <w:rFonts w:ascii="Arial" w:cs="Arial" w:eastAsia="Arial" w:hAnsi="Arial"/>
          <w:color w:val="222222"/>
          <w:sz w:val="22"/>
          <w:szCs w:val="22"/>
        </w:rPr>
        <w:t xml:space="preserve">AccuTrac sends email notifications when compliance-relevant events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Event</w:t>
            </w:r>
          </w:p>
        </w:tc>
        <w:tc>
          <w:tcPr>
            <w:tcW w:type="dxa" w:w="57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Recipients</w:t>
            </w:r>
          </w:p>
        </w:tc>
      </w:tr>
      <w:tr>
        <w:tc>
          <w:tcPr>
            <w:tcW w:type="dxa" w:w="36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Batch flagged (any compliance failure)</w:t>
            </w:r>
          </w:p>
        </w:tc>
        <w:tc>
          <w:tcPr>
            <w:tcW w:type="dxa" w:w="57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supplier who submitted the triggering event, all buyers associated with the batch, Platform Admins.</w:t>
            </w:r>
          </w:p>
        </w:tc>
      </w:tr>
      <w:tr>
        <w:tc>
          <w:tcPr>
            <w:tcW w:type="dxa" w:w="36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Batch status changes from FLAGGED to COMPLIANT</w:t>
            </w:r>
          </w:p>
        </w:tc>
        <w:tc>
          <w:tcPr>
            <w:tcW w:type="dxa" w:w="57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supplier, all buyers associated with the batch.</w:t>
            </w:r>
          </w:p>
        </w:tc>
      </w:tr>
      <w:tr>
        <w:tc>
          <w:tcPr>
            <w:tcW w:type="dxa" w:w="36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Compliance review action taken by admin</w:t>
            </w:r>
          </w:p>
        </w:tc>
        <w:tc>
          <w:tcPr>
            <w:tcW w:type="dxa" w:w="57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The supplier and buyers associated with the batch.</w:t>
            </w:r>
          </w:p>
        </w:tc>
      </w:tr>
    </w:tbl>
    <w:p>
      <w:pPr>
        <w:spacing w:after="80" w:before="80"/>
      </w:pPr>
      <w:r>
        <w:t xml:space="preserve"/>
      </w:r>
    </w:p>
    <w:p>
      <w:pPr>
        <w:spacing w:after="120"/>
      </w:pPr>
      <w:r>
        <w:rPr>
          <w:rFonts w:ascii="Arial" w:cs="Arial" w:eastAsia="Arial" w:hAnsi="Arial"/>
          <w:color w:val="222222"/>
          <w:sz w:val="22"/>
          <w:szCs w:val="22"/>
        </w:rPr>
        <w:t xml:space="preserve">Ensure your registered email address is current so you receive these notifications promptly.</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7. Public Features</w:t>
      </w:r>
    </w:p>
    <w:p>
      <w:pPr>
        <w:pStyle w:val="Heading2"/>
        <w:spacing w:after="120" w:before="280"/>
      </w:pPr>
      <w:r>
        <w:rPr>
          <w:rFonts w:ascii="Arial" w:cs="Arial" w:eastAsia="Arial" w:hAnsi="Arial"/>
          <w:b/>
          <w:bCs/>
          <w:color w:val="1B2B4B"/>
          <w:sz w:val="28"/>
          <w:szCs w:val="28"/>
        </w:rPr>
        <w:t xml:space="preserve">7.1 Batch Verification via QR Code or URL</w:t>
      </w:r>
    </w:p>
    <w:p>
      <w:pPr>
        <w:spacing w:after="120"/>
      </w:pPr>
      <w:r>
        <w:rPr>
          <w:rFonts w:ascii="Arial" w:cs="Arial" w:eastAsia="Arial" w:hAnsi="Arial"/>
          <w:color w:val="222222"/>
          <w:sz w:val="22"/>
          <w:szCs w:val="22"/>
        </w:rPr>
        <w:t xml:space="preserve">Each batch in AccuTrac has a publicly accessible verification page that allows anyone — including customers, auditors, and end consumers — to confirm a batch's compliance status without needing an AccuTrac account.</w:t>
      </w:r>
    </w:p>
    <w:p>
      <w:pPr>
        <w:spacing w:after="120"/>
      </w:pPr>
      <w:r>
        <w:rPr>
          <w:rFonts w:ascii="Arial" w:cs="Arial" w:eastAsia="Arial" w:hAnsi="Arial"/>
          <w:color w:val="222222"/>
          <w:sz w:val="22"/>
          <w:szCs w:val="22"/>
        </w:rPr>
        <w:t xml:space="preserve">To verify a batch:</w:t>
      </w:r>
    </w:p>
    <w:p>
      <w:pPr>
        <w:pStyle w:val="ListParagraph"/>
        <w:numPr>
          <w:ilvl w:val="0"/>
          <w:numId w:val="2"/>
        </w:numPr>
        <w:spacing w:after="60"/>
      </w:pPr>
      <w:r>
        <w:rPr>
          <w:rFonts w:ascii="Arial" w:cs="Arial" w:eastAsia="Arial" w:hAnsi="Arial"/>
          <w:sz w:val="22"/>
          <w:szCs w:val="22"/>
        </w:rPr>
        <w:t xml:space="preserve">Via QR code: Scan the QR code on a Material Passport using any smartphone camera or QR code reader app. You will be taken directly to the batch verification page.</w:t>
      </w:r>
    </w:p>
    <w:p>
      <w:pPr>
        <w:pStyle w:val="ListParagraph"/>
        <w:numPr>
          <w:ilvl w:val="0"/>
          <w:numId w:val="2"/>
        </w:numPr>
        <w:spacing w:after="60"/>
      </w:pPr>
      <w:r>
        <w:rPr>
          <w:rFonts w:ascii="Arial" w:cs="Arial" w:eastAsia="Arial" w:hAnsi="Arial"/>
          <w:sz w:val="22"/>
          <w:szCs w:val="22"/>
        </w:rPr>
        <w:t xml:space="preserve">Via URL: Navigate to /api/verify/{batchId} in any browser, replacing {batchId} with the actual batch identifier. For example: /api/verify/W-2026-041</w:t>
      </w:r>
    </w:p>
    <w:p>
      <w:pPr>
        <w:spacing w:after="80" w:before="80"/>
      </w:pPr>
      <w:r>
        <w:t xml:space="preserve"/>
      </w:r>
    </w:p>
    <w:p>
      <w:pPr>
        <w:spacing w:after="120"/>
      </w:pPr>
      <w:r>
        <w:rPr>
          <w:rFonts w:ascii="Arial" w:cs="Arial" w:eastAsia="Arial" w:hAnsi="Arial"/>
          <w:color w:val="222222"/>
          <w:sz w:val="22"/>
          <w:szCs w:val="22"/>
        </w:rPr>
        <w:t xml:space="preserve">The public verification page displays: the batch number and mineral type; the origin country; the overall compliance status (COMPLIANT, FLAGGED, INSUFFICIENT_DATA, or PENDING); the date the compliance status was last updated; and a summary of which compliance frameworks were evaluated.</w:t>
      </w:r>
    </w:p>
    <w:p>
      <w:pPr>
        <w:spacing w:after="120"/>
      </w:pPr>
      <w:r>
        <w:rPr>
          <w:rFonts w:ascii="Arial" w:cs="Arial" w:eastAsia="Arial" w:hAnsi="Arial"/>
          <w:color w:val="222222"/>
          <w:sz w:val="22"/>
          <w:szCs w:val="22"/>
        </w:rPr>
        <w:t xml:space="preserve">The public verification page does not display detailed event data, document contents, or commercially sensitive information.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7.2 Shared Material Passport Links</w:t>
      </w:r>
    </w:p>
    <w:p>
      <w:pPr>
        <w:spacing w:after="120"/>
      </w:pPr>
      <w:r>
        <w:rPr>
          <w:rFonts w:ascii="Arial" w:cs="Arial" w:eastAsia="Arial" w:hAnsi="Arial"/>
          <w:color w:val="222222"/>
          <w:sz w:val="22"/>
          <w:szCs w:val="22"/>
        </w:rPr>
        <w:t xml:space="preserve">When a buyer shares a Material Passport using the "Share" function (see Section 4.5), the recipient can view the passport via a secure, time-limited link without needing an AccuTrac account.</w:t>
      </w:r>
    </w:p>
    <w:p>
      <w:pPr>
        <w:spacing w:after="120"/>
      </w:pPr>
      <w:r>
        <w:rPr>
          <w:rFonts w:ascii="Arial" w:cs="Arial" w:eastAsia="Arial" w:hAnsi="Arial"/>
          <w:color w:val="222222"/>
          <w:sz w:val="22"/>
          <w:szCs w:val="22"/>
        </w:rPr>
        <w:t xml:space="preserve">Shared passport links are valid for 30 days from the date of creation. After expiry, the link will display a "This link has expired" message. Contact the buyer who shared the link to request a new one.</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8. Tamper Evidence and Data Integrity</w:t>
      </w:r>
    </w:p>
    <w:p>
      <w:pPr>
        <w:spacing w:after="120"/>
      </w:pPr>
      <w:r>
        <w:rPr>
          <w:rFonts w:ascii="Arial" w:cs="Arial" w:eastAsia="Arial" w:hAnsi="Arial"/>
          <w:color w:val="222222"/>
          <w:sz w:val="22"/>
          <w:szCs w:val="22"/>
        </w:rPr>
        <w:t xml:space="preserve">AccuTrac is designed so that the custody record for any batch cannot be secretly altered. This is achieved through cryptographic hash chaining and an immutable event log.</w:t>
      </w:r>
    </w:p>
    <w:p>
      <w:pPr>
        <w:pStyle w:val="Heading2"/>
        <w:spacing w:after="120" w:before="280"/>
      </w:pPr>
      <w:r>
        <w:rPr>
          <w:rFonts w:ascii="Arial" w:cs="Arial" w:eastAsia="Arial" w:hAnsi="Arial"/>
          <w:b/>
          <w:bCs/>
          <w:color w:val="1B2B4B"/>
          <w:sz w:val="28"/>
          <w:szCs w:val="28"/>
        </w:rPr>
        <w:t xml:space="preserve">8.1 How SHA-256 Hash Chains Work</w:t>
      </w:r>
    </w:p>
    <w:p>
      <w:pPr>
        <w:spacing w:after="120"/>
      </w:pPr>
      <w:r>
        <w:rPr>
          <w:rFonts w:ascii="Arial" w:cs="Arial" w:eastAsia="Arial" w:hAnsi="Arial"/>
          <w:color w:val="222222"/>
          <w:sz w:val="22"/>
          <w:szCs w:val="22"/>
        </w:rPr>
        <w:t xml:space="preserve">Every time an event is submitted to AccuTrac, the system generates a cryptographic fingerprint (called a SHA-256 hash) of the event's data — including the event type, all field values, the timestamp, the submitting user, and the fingerprint of the previous event in the chain.</w:t>
      </w:r>
    </w:p>
    <w:p>
      <w:pPr>
        <w:spacing w:after="120"/>
      </w:pPr>
      <w:r>
        <w:rPr>
          <w:rFonts w:ascii="Arial" w:cs="Arial" w:eastAsia="Arial" w:hAnsi="Arial"/>
          <w:color w:val="222222"/>
          <w:sz w:val="22"/>
          <w:szCs w:val="22"/>
        </w:rPr>
        <w:t xml:space="preserve">Because each event's fingerprint depends on the previous event's fingerprint, the entire chain is mathematically linked. If any event were altered — even a single character changed — its fingerprint would change, and all subsequent events would no longer match. This makes undetected tampering computationally infeasible.</w:t>
      </w:r>
    </w:p>
    <w:p>
      <w:pPr>
        <w:spacing w:after="120"/>
      </w:pPr>
      <w:r>
        <w:rPr>
          <w:rFonts w:ascii="Arial" w:cs="Arial" w:eastAsia="Arial" w:hAnsi="Arial"/>
          <w:color w:val="222222"/>
          <w:sz w:val="22"/>
          <w:szCs w:val="22"/>
        </w:rPr>
        <w:t xml:space="preserve">You do not need to understand the technical details to benefit from this protection. What matters is that AccuTrac gives auditors and buyers a reliable guarantee that the event log they are reviewing has not been modified since it was recorded.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8.2 Integrity Verification</w:t>
      </w:r>
    </w:p>
    <w:p>
      <w:pPr>
        <w:spacing w:after="120"/>
      </w:pPr>
      <w:r>
        <w:rPr>
          <w:rFonts w:ascii="Arial" w:cs="Arial" w:eastAsia="Arial" w:hAnsi="Arial"/>
          <w:color w:val="222222"/>
          <w:sz w:val="22"/>
          <w:szCs w:val="22"/>
        </w:rPr>
        <w:t xml:space="preserve">Platform Admins can run an integrity check on any batch to verify that the hash chain is intact. If the check passes, it confirms that no event data has been altered since submission. If the check fails, it indicates a data integrity issue that requires investigation.</w:t>
      </w:r>
    </w:p>
    <w:p>
      <w:pPr>
        <w:spacing w:after="120"/>
      </w:pPr>
      <w:r>
        <w:rPr>
          <w:rFonts w:ascii="Arial" w:cs="Arial" w:eastAsia="Arial" w:hAnsi="Arial"/>
          <w:color w:val="222222"/>
          <w:sz w:val="22"/>
          <w:szCs w:val="22"/>
        </w:rPr>
        <w:t xml:space="preserve">Buyers can see the integrity status of a batch on the Compliance Checks tab of the Batch Detail view.</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8.3 Corrections</w:t>
      </w:r>
    </w:p>
    <w:p>
      <w:pPr>
        <w:spacing w:after="120"/>
      </w:pPr>
      <w:r>
        <w:rPr>
          <w:rFonts w:ascii="Arial" w:cs="Arial" w:eastAsia="Arial" w:hAnsi="Arial"/>
          <w:color w:val="222222"/>
          <w:sz w:val="22"/>
          <w:szCs w:val="22"/>
        </w:rPr>
        <w:t xml:space="preserve">Because events cannot be deleted or edited, corrections to mistaken entries are handled by submitting a Correction event. A correction event:</w:t>
      </w:r>
    </w:p>
    <w:p>
      <w:pPr>
        <w:pStyle w:val="ListParagraph"/>
        <w:numPr>
          <w:ilvl w:val="0"/>
          <w:numId w:val="2"/>
        </w:numPr>
        <w:spacing w:after="60"/>
      </w:pPr>
      <w:r>
        <w:rPr>
          <w:rFonts w:ascii="Arial" w:cs="Arial" w:eastAsia="Arial" w:hAnsi="Arial"/>
          <w:sz w:val="22"/>
          <w:szCs w:val="22"/>
        </w:rPr>
        <w:t xml:space="preserve">References the original event it is correcting (by event ID).</w:t>
      </w:r>
    </w:p>
    <w:p>
      <w:pPr>
        <w:pStyle w:val="ListParagraph"/>
        <w:numPr>
          <w:ilvl w:val="0"/>
          <w:numId w:val="2"/>
        </w:numPr>
        <w:spacing w:after="60"/>
      </w:pPr>
      <w:r>
        <w:rPr>
          <w:rFonts w:ascii="Arial" w:cs="Arial" w:eastAsia="Arial" w:hAnsi="Arial"/>
          <w:sz w:val="22"/>
          <w:szCs w:val="22"/>
        </w:rPr>
        <w:t xml:space="preserve">Records the corrected values.</w:t>
      </w:r>
    </w:p>
    <w:p>
      <w:pPr>
        <w:pStyle w:val="ListParagraph"/>
        <w:numPr>
          <w:ilvl w:val="0"/>
          <w:numId w:val="2"/>
        </w:numPr>
        <w:spacing w:after="60"/>
      </w:pPr>
      <w:r>
        <w:rPr>
          <w:rFonts w:ascii="Arial" w:cs="Arial" w:eastAsia="Arial" w:hAnsi="Arial"/>
          <w:sz w:val="22"/>
          <w:szCs w:val="22"/>
        </w:rPr>
        <w:t xml:space="preserve">Includes a mandatory explanation of what was changed and why.</w:t>
      </w:r>
    </w:p>
    <w:p>
      <w:pPr>
        <w:pStyle w:val="ListParagraph"/>
        <w:numPr>
          <w:ilvl w:val="0"/>
          <w:numId w:val="2"/>
        </w:numPr>
        <w:spacing w:after="60"/>
      </w:pPr>
      <w:r>
        <w:rPr>
          <w:rFonts w:ascii="Arial" w:cs="Arial" w:eastAsia="Arial" w:hAnsi="Arial"/>
          <w:sz w:val="22"/>
          <w:szCs w:val="22"/>
        </w:rPr>
        <w:t xml:space="preserve">Is itself part of the immutable hash chain.</w:t>
      </w:r>
    </w:p>
    <w:p>
      <w:pPr>
        <w:spacing w:after="80" w:before="80"/>
      </w:pPr>
      <w:r>
        <w:t xml:space="preserve"/>
      </w:r>
    </w:p>
    <w:p>
      <w:pPr>
        <w:spacing w:after="120"/>
      </w:pPr>
      <w:r>
        <w:rPr>
          <w:rFonts w:ascii="Arial" w:cs="Arial" w:eastAsia="Arial" w:hAnsi="Arial"/>
          <w:color w:val="222222"/>
          <w:sz w:val="22"/>
          <w:szCs w:val="22"/>
        </w:rPr>
        <w:t xml:space="preserve">Both the original event and the correction remain visible in the event timeline, maintaining a complete and transparent record of all changes.</w:t>
      </w:r>
    </w:p>
    <w:p>
      <w:pPr>
        <w:spacing w:after="120"/>
      </w:pPr>
      <w:r>
        <w:rPr>
          <w:rFonts w:ascii="Arial" w:cs="Arial" w:eastAsia="Arial" w:hAnsi="Arial"/>
          <w:color w:val="222222"/>
          <w:sz w:val="22"/>
          <w:szCs w:val="22"/>
        </w:rPr>
        <w:t xml:space="preserve">To submit a correction:</w:t>
      </w:r>
    </w:p>
    <w:p>
      <w:pPr>
        <w:pStyle w:val="ListParagraph"/>
        <w:numPr>
          <w:ilvl w:val="0"/>
          <w:numId w:val="15"/>
        </w:numPr>
        <w:spacing w:after="60"/>
      </w:pPr>
      <w:r>
        <w:rPr>
          <w:rFonts w:ascii="Arial" w:cs="Arial" w:eastAsia="Arial" w:hAnsi="Arial"/>
          <w:sz w:val="22"/>
          <w:szCs w:val="22"/>
        </w:rPr>
        <w:t xml:space="preserve">Open the Batch Detail view and locate the event that needs correcting in the Timeline tab.</w:t>
      </w:r>
    </w:p>
    <w:p>
      <w:pPr>
        <w:pStyle w:val="ListParagraph"/>
        <w:numPr>
          <w:ilvl w:val="0"/>
          <w:numId w:val="15"/>
        </w:numPr>
        <w:spacing w:after="60"/>
      </w:pPr>
      <w:r>
        <w:rPr>
          <w:rFonts w:ascii="Arial" w:cs="Arial" w:eastAsia="Arial" w:hAnsi="Arial"/>
          <w:sz w:val="22"/>
          <w:szCs w:val="22"/>
        </w:rPr>
        <w:t xml:space="preserve">Click the "Submit Correction" button on that event.</w:t>
      </w:r>
    </w:p>
    <w:p>
      <w:pPr>
        <w:pStyle w:val="ListParagraph"/>
        <w:numPr>
          <w:ilvl w:val="0"/>
          <w:numId w:val="15"/>
        </w:numPr>
        <w:spacing w:after="60"/>
      </w:pPr>
      <w:r>
        <w:rPr>
          <w:rFonts w:ascii="Arial" w:cs="Arial" w:eastAsia="Arial" w:hAnsi="Arial"/>
          <w:sz w:val="22"/>
          <w:szCs w:val="22"/>
        </w:rPr>
        <w:t xml:space="preserve">Enter the corrected values and a written explanation.</w:t>
      </w:r>
    </w:p>
    <w:p>
      <w:pPr>
        <w:pStyle w:val="ListParagraph"/>
        <w:numPr>
          <w:ilvl w:val="0"/>
          <w:numId w:val="15"/>
        </w:numPr>
        <w:spacing w:after="60"/>
      </w:pPr>
      <w:r>
        <w:rPr>
          <w:rFonts w:ascii="Arial" w:cs="Arial" w:eastAsia="Arial" w:hAnsi="Arial"/>
          <w:sz w:val="22"/>
          <w:szCs w:val="22"/>
        </w:rPr>
        <w:t xml:space="preserve">Click "Submit".</w:t>
      </w:r>
    </w:p>
    <w:p>
      <w:pPr>
        <w:spacing w:after="80" w:before="80"/>
      </w:pPr>
      <w:r>
        <w:t xml:space="preserve"/>
      </w:r>
    </w:p>
    <w:p>
      <w:pPr>
        <w:spacing w:after="120"/>
      </w:pPr>
      <w:r>
        <w:rPr>
          <w:rFonts w:ascii="Arial" w:cs="Arial" w:eastAsia="Arial" w:hAnsi="Arial"/>
          <w:color w:val="222222"/>
          <w:sz w:val="22"/>
          <w:szCs w:val="22"/>
        </w:rPr>
        <w:t xml:space="preserve">The correction will be reviewed and linked to the original event in the timeline. Compliance checks are re-run after a correction is submitted.</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9. Troubleshooting and FAQ</w:t>
      </w:r>
    </w:p>
    <w:p>
      <w:pPr>
        <w:pStyle w:val="Heading2"/>
        <w:spacing w:after="120" w:before="280"/>
      </w:pPr>
      <w:r>
        <w:rPr>
          <w:rFonts w:ascii="Arial" w:cs="Arial" w:eastAsia="Arial" w:hAnsi="Arial"/>
          <w:b/>
          <w:bCs/>
          <w:color w:val="1B2B4B"/>
          <w:sz w:val="28"/>
          <w:szCs w:val="28"/>
        </w:rPr>
        <w:t xml:space="preserve">Sign-In Issues</w:t>
      </w:r>
    </w:p>
    <w:p>
      <w:pPr>
        <w:pStyle w:val="Heading3"/>
        <w:spacing w:after="80" w:before="200"/>
      </w:pPr>
      <w:r>
        <w:rPr>
          <w:rFonts w:ascii="Arial" w:cs="Arial" w:eastAsia="Arial" w:hAnsi="Arial"/>
          <w:b/>
          <w:bCs/>
          <w:color w:val="C9A84C"/>
          <w:sz w:val="24"/>
          <w:szCs w:val="24"/>
        </w:rPr>
        <w:t xml:space="preserve">I did not receive my invitation email.</w:t>
      </w:r>
    </w:p>
    <w:p>
      <w:pPr>
        <w:spacing w:after="120"/>
      </w:pPr>
      <w:r>
        <w:rPr>
          <w:rFonts w:ascii="Arial" w:cs="Arial" w:eastAsia="Arial" w:hAnsi="Arial"/>
          <w:color w:val="222222"/>
          <w:sz w:val="22"/>
          <w:szCs w:val="22"/>
        </w:rPr>
        <w:t xml:space="preserve">Check your spam or junk folder. If it is not there, ask your Platform Admin to resend the invitation. Invitation emails are sent from the AccuTrac platform address — ask your IT team to add this to your allow-list if emails are being blocked.</w:t>
      </w:r>
    </w:p>
    <w:p>
      <w:pPr>
        <w:pStyle w:val="Heading3"/>
        <w:spacing w:after="80" w:before="200"/>
      </w:pPr>
      <w:r>
        <w:rPr>
          <w:rFonts w:ascii="Arial" w:cs="Arial" w:eastAsia="Arial" w:hAnsi="Arial"/>
          <w:b/>
          <w:bCs/>
          <w:color w:val="C9A84C"/>
          <w:sz w:val="24"/>
          <w:szCs w:val="24"/>
        </w:rPr>
        <w:t xml:space="preserve">My invitation link has expired.</w:t>
      </w:r>
    </w:p>
    <w:p>
      <w:pPr>
        <w:spacing w:after="120"/>
      </w:pPr>
      <w:r>
        <w:rPr>
          <w:rFonts w:ascii="Arial" w:cs="Arial" w:eastAsia="Arial" w:hAnsi="Arial"/>
          <w:color w:val="222222"/>
          <w:sz w:val="22"/>
          <w:szCs w:val="22"/>
        </w:rPr>
        <w:t xml:space="preserve">Invitation links are valid for 7 days. Contact your Platform Admin to send a new invitation.</w:t>
      </w:r>
    </w:p>
    <w:p>
      <w:pPr>
        <w:pStyle w:val="Heading3"/>
        <w:spacing w:after="80" w:before="200"/>
      </w:pPr>
      <w:r>
        <w:rPr>
          <w:rFonts w:ascii="Arial" w:cs="Arial" w:eastAsia="Arial" w:hAnsi="Arial"/>
          <w:b/>
          <w:bCs/>
          <w:color w:val="C9A84C"/>
          <w:sz w:val="24"/>
          <w:szCs w:val="24"/>
        </w:rPr>
        <w:t xml:space="preserve">I cannot sign in with Google.</w:t>
      </w:r>
    </w:p>
    <w:p>
      <w:pPr>
        <w:spacing w:after="120"/>
      </w:pPr>
      <w:r>
        <w:rPr>
          <w:rFonts w:ascii="Arial" w:cs="Arial" w:eastAsia="Arial" w:hAnsi="Arial"/>
          <w:color w:val="222222"/>
          <w:sz w:val="22"/>
          <w:szCs w:val="22"/>
        </w:rPr>
        <w:t xml:space="preserve">Ensure you are using the Google account associated with your AccuTrac invitation. If you signed up with a different Google account, contact your Platform Admin to update your registered email address.</w:t>
      </w:r>
    </w:p>
    <w:p>
      <w:pPr>
        <w:pStyle w:val="Heading3"/>
        <w:spacing w:after="80" w:before="200"/>
      </w:pPr>
      <w:r>
        <w:rPr>
          <w:rFonts w:ascii="Arial" w:cs="Arial" w:eastAsia="Arial" w:hAnsi="Arial"/>
          <w:b/>
          <w:bCs/>
          <w:color w:val="C9A84C"/>
          <w:sz w:val="24"/>
          <w:szCs w:val="24"/>
        </w:rPr>
        <w:t xml:space="preserve">I am redirected to the wrong portal after signing in.</w:t>
      </w:r>
    </w:p>
    <w:p>
      <w:pPr>
        <w:spacing w:after="120"/>
      </w:pPr>
      <w:r>
        <w:rPr>
          <w:rFonts w:ascii="Arial" w:cs="Arial" w:eastAsia="Arial" w:hAnsi="Arial"/>
          <w:color w:val="222222"/>
          <w:sz w:val="22"/>
          <w:szCs w:val="22"/>
        </w:rPr>
        <w:t xml:space="preserve">Your role may have been assigned incorrectly. Contact your Platform Admin to verify and correct your role.</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Batch and Event Issues</w:t>
      </w:r>
    </w:p>
    <w:p>
      <w:pPr>
        <w:pStyle w:val="Heading3"/>
        <w:spacing w:after="80" w:before="200"/>
      </w:pPr>
      <w:r>
        <w:rPr>
          <w:rFonts w:ascii="Arial" w:cs="Arial" w:eastAsia="Arial" w:hAnsi="Arial"/>
          <w:b/>
          <w:bCs/>
          <w:color w:val="C9A84C"/>
          <w:sz w:val="24"/>
          <w:szCs w:val="24"/>
        </w:rPr>
        <w:t xml:space="preserve">I entered the wrong information on an event. Can I edit it?</w:t>
      </w:r>
    </w:p>
    <w:p>
      <w:pPr>
        <w:spacing w:after="120"/>
      </w:pPr>
      <w:r>
        <w:rPr>
          <w:rFonts w:ascii="Arial" w:cs="Arial" w:eastAsia="Arial" w:hAnsi="Arial"/>
          <w:color w:val="222222"/>
          <w:sz w:val="22"/>
          <w:szCs w:val="22"/>
        </w:rPr>
        <w:t xml:space="preserve">Events cannot be edited after submission. Submit a Correction event referencing the original (see Section 8.3).</w:t>
      </w:r>
    </w:p>
    <w:p>
      <w:pPr>
        <w:pStyle w:val="Heading3"/>
        <w:spacing w:after="80" w:before="200"/>
      </w:pPr>
      <w:r>
        <w:rPr>
          <w:rFonts w:ascii="Arial" w:cs="Arial" w:eastAsia="Arial" w:hAnsi="Arial"/>
          <w:b/>
          <w:bCs/>
          <w:color w:val="C9A84C"/>
          <w:sz w:val="24"/>
          <w:szCs w:val="24"/>
        </w:rPr>
        <w:t xml:space="preserve">My batch shows FLAGGED after I submitted a Primary Processing event.</w:t>
      </w:r>
    </w:p>
    <w:p>
      <w:pPr>
        <w:spacing w:after="120"/>
      </w:pPr>
      <w:r>
        <w:rPr>
          <w:rFonts w:ascii="Arial" w:cs="Arial" w:eastAsia="Arial" w:hAnsi="Arial"/>
          <w:color w:val="222222"/>
          <w:sz w:val="22"/>
          <w:szCs w:val="22"/>
        </w:rPr>
        <w:t xml:space="preserve">The smelter ID you entered may not be on the current RMAP-approved list. Check that the ID was entered correctly. If it is correct, contact your Platform Admin — the smelter list may need to be updated.</w:t>
      </w:r>
    </w:p>
    <w:p>
      <w:pPr>
        <w:pStyle w:val="Heading3"/>
        <w:spacing w:after="80" w:before="200"/>
      </w:pPr>
      <w:r>
        <w:rPr>
          <w:rFonts w:ascii="Arial" w:cs="Arial" w:eastAsia="Arial" w:hAnsi="Arial"/>
          <w:b/>
          <w:bCs/>
          <w:color w:val="C9A84C"/>
          <w:sz w:val="24"/>
          <w:szCs w:val="24"/>
        </w:rPr>
        <w:t xml:space="preserve">My batch shows INSUFFICIENT_DATA.</w:t>
      </w:r>
    </w:p>
    <w:p>
      <w:pPr>
        <w:spacing w:after="120"/>
      </w:pPr>
      <w:r>
        <w:rPr>
          <w:rFonts w:ascii="Arial" w:cs="Arial" w:eastAsia="Arial" w:hAnsi="Arial"/>
          <w:color w:val="222222"/>
          <w:sz w:val="22"/>
          <w:szCs w:val="22"/>
        </w:rPr>
        <w:t xml:space="preserve">Review the Compliance Checks tab for the batch. The compliance engine has identified one or more missing documents or events. Add the required events or documents to resolve this status.</w:t>
      </w:r>
    </w:p>
    <w:p>
      <w:pPr>
        <w:pStyle w:val="Heading3"/>
        <w:spacing w:after="80" w:before="200"/>
      </w:pPr>
      <w:r>
        <w:rPr>
          <w:rFonts w:ascii="Arial" w:cs="Arial" w:eastAsia="Arial" w:hAnsi="Arial"/>
          <w:b/>
          <w:bCs/>
          <w:color w:val="C9A84C"/>
          <w:sz w:val="24"/>
          <w:szCs w:val="24"/>
        </w:rPr>
        <w:t xml:space="preserve">I cannot find a batch I created.</w:t>
      </w:r>
    </w:p>
    <w:p>
      <w:pPr>
        <w:spacing w:after="120"/>
      </w:pPr>
      <w:r>
        <w:rPr>
          <w:rFonts w:ascii="Arial" w:cs="Arial" w:eastAsia="Arial" w:hAnsi="Arial"/>
          <w:color w:val="222222"/>
          <w:sz w:val="22"/>
          <w:szCs w:val="22"/>
        </w:rPr>
        <w:t xml:space="preserve">Ensure you are signed in to the correct account. Use the search bar on the Supplier Dashboard to search by batch number. If the batch still does not appear, it may have been created under a different supplier account — contact your Platform Admin.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Document Issues</w:t>
      </w:r>
    </w:p>
    <w:p>
      <w:pPr>
        <w:pStyle w:val="Heading3"/>
        <w:spacing w:after="80" w:before="200"/>
      </w:pPr>
      <w:r>
        <w:rPr>
          <w:rFonts w:ascii="Arial" w:cs="Arial" w:eastAsia="Arial" w:hAnsi="Arial"/>
          <w:b/>
          <w:bCs/>
          <w:color w:val="C9A84C"/>
          <w:sz w:val="24"/>
          <w:szCs w:val="24"/>
        </w:rPr>
        <w:t xml:space="preserve">My document upload is failing.</w:t>
      </w:r>
    </w:p>
    <w:p>
      <w:pPr>
        <w:spacing w:after="120"/>
      </w:pPr>
      <w:r>
        <w:rPr>
          <w:rFonts w:ascii="Arial" w:cs="Arial" w:eastAsia="Arial" w:hAnsi="Arial"/>
          <w:color w:val="222222"/>
          <w:sz w:val="22"/>
          <w:szCs w:val="22"/>
        </w:rPr>
        <w:t xml:space="preserve">Check that your file meets the requirements: supported formats are PDF, JPEG, PNG, TIFF, and GIF; maximum file size is 25 MB. If your file meets these requirements and the upload still fails, try a different browser or contact support.</w:t>
      </w:r>
    </w:p>
    <w:p>
      <w:pPr>
        <w:pStyle w:val="Heading3"/>
        <w:spacing w:after="80" w:before="200"/>
      </w:pPr>
      <w:r>
        <w:rPr>
          <w:rFonts w:ascii="Arial" w:cs="Arial" w:eastAsia="Arial" w:hAnsi="Arial"/>
          <w:b/>
          <w:bCs/>
          <w:color w:val="C9A84C"/>
          <w:sz w:val="24"/>
          <w:szCs w:val="24"/>
        </w:rPr>
        <w:t xml:space="preserve">I uploaded the wrong document.</w:t>
      </w:r>
    </w:p>
    <w:p>
      <w:pPr>
        <w:spacing w:after="120"/>
      </w:pPr>
      <w:r>
        <w:rPr>
          <w:rFonts w:ascii="Arial" w:cs="Arial" w:eastAsia="Arial" w:hAnsi="Arial"/>
          <w:color w:val="222222"/>
          <w:sz w:val="22"/>
          <w:szCs w:val="22"/>
        </w:rPr>
        <w:t xml:space="preserve">Documents cannot be deleted. Upload the correct document and add a note in the description field indicating that the previous upload should be disregarded and specifying which document supersedes it.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Compliance and Reports</w:t>
      </w:r>
    </w:p>
    <w:p>
      <w:pPr>
        <w:pStyle w:val="Heading3"/>
        <w:spacing w:after="80" w:before="200"/>
      </w:pPr>
      <w:r>
        <w:rPr>
          <w:rFonts w:ascii="Arial" w:cs="Arial" w:eastAsia="Arial" w:hAnsi="Arial"/>
          <w:b/>
          <w:bCs/>
          <w:color w:val="C9A84C"/>
          <w:sz w:val="24"/>
          <w:szCs w:val="24"/>
        </w:rPr>
        <w:t xml:space="preserve">Why has my batch been flagged for an origin country I believe is low risk?</w:t>
      </w:r>
    </w:p>
    <w:p>
      <w:pPr>
        <w:spacing w:after="120"/>
      </w:pPr>
      <w:r>
        <w:rPr>
          <w:rFonts w:ascii="Arial" w:cs="Arial" w:eastAsia="Arial" w:hAnsi="Arial"/>
          <w:color w:val="222222"/>
          <w:sz w:val="22"/>
          <w:szCs w:val="22"/>
        </w:rPr>
        <w:t xml:space="preserve">AccuTrac uses origin country risk classifications based on published OECD guidance. If you believe the classification is incorrect, contact your Platform Admin — they can review the case and, if appropriate, override the flag with documented justification.</w:t>
      </w:r>
    </w:p>
    <w:p>
      <w:pPr>
        <w:pStyle w:val="Heading3"/>
        <w:spacing w:after="80" w:before="200"/>
      </w:pPr>
      <w:r>
        <w:rPr>
          <w:rFonts w:ascii="Arial" w:cs="Arial" w:eastAsia="Arial" w:hAnsi="Arial"/>
          <w:b/>
          <w:bCs/>
          <w:color w:val="C9A84C"/>
          <w:sz w:val="24"/>
          <w:szCs w:val="24"/>
        </w:rPr>
        <w:t xml:space="preserve">I need to generate a Material Passport but the button is greyed out.</w:t>
      </w:r>
    </w:p>
    <w:p>
      <w:pPr>
        <w:spacing w:after="120"/>
      </w:pPr>
      <w:r>
        <w:rPr>
          <w:rFonts w:ascii="Arial" w:cs="Arial" w:eastAsia="Arial" w:hAnsi="Arial"/>
          <w:color w:val="222222"/>
          <w:sz w:val="22"/>
          <w:szCs w:val="22"/>
        </w:rPr>
        <w:t xml:space="preserve">Material Passports can only be generated for batches with a COMPLIANT status. Resolve any compliance flags or missing data issues first.</w:t>
      </w:r>
    </w:p>
    <w:p>
      <w:pPr>
        <w:pStyle w:val="Heading3"/>
        <w:spacing w:after="80" w:before="200"/>
      </w:pPr>
      <w:r>
        <w:rPr>
          <w:rFonts w:ascii="Arial" w:cs="Arial" w:eastAsia="Arial" w:hAnsi="Arial"/>
          <w:b/>
          <w:bCs/>
          <w:color w:val="C9A84C"/>
          <w:sz w:val="24"/>
          <w:szCs w:val="24"/>
        </w:rPr>
        <w:t xml:space="preserve">A shared Material Passport link I sent has expired.</w:t>
      </w:r>
    </w:p>
    <w:p>
      <w:pPr>
        <w:spacing w:after="120"/>
      </w:pPr>
      <w:r>
        <w:rPr>
          <w:rFonts w:ascii="Arial" w:cs="Arial" w:eastAsia="Arial" w:hAnsi="Arial"/>
          <w:color w:val="222222"/>
          <w:sz w:val="22"/>
          <w:szCs w:val="22"/>
        </w:rPr>
        <w:t xml:space="preserve">Shared links are valid for 30 days. Generate a new shared link from the Batch Detail view and send it to the recipient.</w:t>
      </w:r>
    </w:p>
    <w:p>
      <w:pPr>
        <w:pStyle w:val="Heading3"/>
        <w:spacing w:after="80" w:before="200"/>
      </w:pPr>
      <w:r>
        <w:rPr>
          <w:rFonts w:ascii="Arial" w:cs="Arial" w:eastAsia="Arial" w:hAnsi="Arial"/>
          <w:b/>
          <w:bCs/>
          <w:color w:val="C9A84C"/>
          <w:sz w:val="24"/>
          <w:szCs w:val="24"/>
        </w:rPr>
        <w:t xml:space="preserve">Can external parties access our batch data through a shared link?</w:t>
      </w:r>
    </w:p>
    <w:p>
      <w:pPr>
        <w:spacing w:after="120"/>
      </w:pPr>
      <w:r>
        <w:rPr>
          <w:rFonts w:ascii="Arial" w:cs="Arial" w:eastAsia="Arial" w:hAnsi="Arial"/>
          <w:color w:val="222222"/>
          <w:sz w:val="22"/>
          <w:szCs w:val="22"/>
        </w:rPr>
        <w:t xml:space="preserve">Shared Material Passport links display only the information included in the Material Passport itself. Detailed event logs, document contents, and commercially sensitive data are not exposed through shared links.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General Questions</w:t>
      </w:r>
    </w:p>
    <w:p>
      <w:pPr>
        <w:pStyle w:val="Heading3"/>
        <w:spacing w:after="80" w:before="200"/>
      </w:pPr>
      <w:r>
        <w:rPr>
          <w:rFonts w:ascii="Arial" w:cs="Arial" w:eastAsia="Arial" w:hAnsi="Arial"/>
          <w:b/>
          <w:bCs/>
          <w:color w:val="C9A84C"/>
          <w:sz w:val="24"/>
          <w:szCs w:val="24"/>
        </w:rPr>
        <w:t xml:space="preserve">Is my data secure?</w:t>
      </w:r>
    </w:p>
    <w:p>
      <w:pPr>
        <w:spacing w:after="120"/>
      </w:pPr>
      <w:r>
        <w:rPr>
          <w:rFonts w:ascii="Arial" w:cs="Arial" w:eastAsia="Arial" w:hAnsi="Arial"/>
          <w:color w:val="222222"/>
          <w:sz w:val="22"/>
          <w:szCs w:val="22"/>
        </w:rPr>
        <w:t xml:space="preserve">Yes. All data transmitted to and from AccuTrac is encrypted in transit using TLS. Stored data is encrypted at rest. Access to batch data is restricted to authorized users in the relevant supplier and buyer organizations, plus Platform Admins.</w:t>
      </w:r>
    </w:p>
    <w:p>
      <w:pPr>
        <w:pStyle w:val="Heading3"/>
        <w:spacing w:after="80" w:before="200"/>
      </w:pPr>
      <w:r>
        <w:rPr>
          <w:rFonts w:ascii="Arial" w:cs="Arial" w:eastAsia="Arial" w:hAnsi="Arial"/>
          <w:b/>
          <w:bCs/>
          <w:color w:val="C9A84C"/>
          <w:sz w:val="24"/>
          <w:szCs w:val="24"/>
        </w:rPr>
        <w:t xml:space="preserve">Can multiple people in my organization use AccuTrac?</w:t>
      </w:r>
    </w:p>
    <w:p>
      <w:pPr>
        <w:spacing w:after="120"/>
      </w:pPr>
      <w:r>
        <w:rPr>
          <w:rFonts w:ascii="Arial" w:cs="Arial" w:eastAsia="Arial" w:hAnsi="Arial"/>
          <w:color w:val="222222"/>
          <w:sz w:val="22"/>
          <w:szCs w:val="22"/>
        </w:rPr>
        <w:t xml:space="preserve">Yes. Each person should have their own individual account. Contact your Platform Admin to invite additional users. Sharing login credentials is not permitted.</w:t>
      </w:r>
    </w:p>
    <w:p>
      <w:pPr>
        <w:pStyle w:val="Heading3"/>
        <w:spacing w:after="80" w:before="200"/>
      </w:pPr>
      <w:r>
        <w:rPr>
          <w:rFonts w:ascii="Arial" w:cs="Arial" w:eastAsia="Arial" w:hAnsi="Arial"/>
          <w:b/>
          <w:bCs/>
          <w:color w:val="C9A84C"/>
          <w:sz w:val="24"/>
          <w:szCs w:val="24"/>
        </w:rPr>
        <w:t xml:space="preserve">What do I do if I suspect a data integrity issue?</w:t>
      </w:r>
    </w:p>
    <w:p>
      <w:pPr>
        <w:spacing w:after="120"/>
      </w:pPr>
      <w:r>
        <w:rPr>
          <w:rFonts w:ascii="Arial" w:cs="Arial" w:eastAsia="Arial" w:hAnsi="Arial"/>
          <w:color w:val="222222"/>
          <w:sz w:val="22"/>
          <w:szCs w:val="22"/>
        </w:rPr>
        <w:t xml:space="preserve">Contact your Platform Admin immediately. Do not attempt to correct the issue yourself. Platform Admins can run integrity checks and escalate to AccuTrac support if needed.</w:t>
      </w:r>
    </w:p>
    <w:p>
      <w:pPr>
        <w:pStyle w:val="Heading3"/>
        <w:spacing w:after="80" w:before="200"/>
      </w:pPr>
      <w:r>
        <w:rPr>
          <w:rFonts w:ascii="Arial" w:cs="Arial" w:eastAsia="Arial" w:hAnsi="Arial"/>
          <w:b/>
          <w:bCs/>
          <w:color w:val="C9A84C"/>
          <w:sz w:val="24"/>
          <w:szCs w:val="24"/>
        </w:rPr>
        <w:t xml:space="preserve">How do I contact support?</w:t>
      </w:r>
    </w:p>
    <w:p>
      <w:pPr>
        <w:spacing w:after="120"/>
      </w:pPr>
      <w:r>
        <w:rPr>
          <w:rFonts w:ascii="Arial" w:cs="Arial" w:eastAsia="Arial" w:hAnsi="Arial"/>
          <w:color w:val="222222"/>
          <w:sz w:val="22"/>
          <w:szCs w:val="22"/>
        </w:rPr>
        <w:t xml:space="preserve">Contact your Platform Admin in the first instance. For platform-level issues that your admin cannot resolve, they will escalate to the AccuTrac support team.</w:t>
      </w:r>
    </w:p>
    <w:p>
      <w:pPr>
        <w:spacing w:after="160" w:before="200"/>
      </w:pPr>
      <w:r>
        <w:t xml:space="preserve"/>
      </w:r>
    </w:p>
    <w:p>
      <w:pPr>
        <w:pBdr>
          <w:bottom w:val="single" w:color="C9A84C" w:sz="6" w:space="1"/>
        </w:pBdr>
        <w:spacing w:after="160"/>
      </w:pPr>
      <w:r>
        <w:t xml:space="preserve"/>
      </w:r>
    </w:p>
    <w:p>
      <w:pPr>
        <w:spacing w:after="80" w:before="120"/>
        <w:jc w:val="center"/>
      </w:pPr>
      <w:r>
        <w:rPr>
          <w:rFonts w:ascii="Arial" w:cs="Arial" w:eastAsia="Arial" w:hAnsi="Arial"/>
          <w:i/>
          <w:iCs/>
          <w:color w:val="555555"/>
          <w:sz w:val="18"/>
          <w:szCs w:val="18"/>
        </w:rPr>
        <w:t xml:space="preserve">AccuTrac User Manual  —  Version 1.0  —  March 2026</w:t>
      </w:r>
    </w:p>
    <w:p>
      <w:pPr>
        <w:spacing w:after="0"/>
        <w:jc w:val="center"/>
      </w:pPr>
      <w:r>
        <w:rPr>
          <w:rFonts w:ascii="Arial" w:cs="Arial" w:eastAsia="Arial" w:hAnsi="Arial"/>
          <w:i/>
          <w:iCs/>
          <w:color w:val="555555"/>
          <w:sz w:val="18"/>
          <w:szCs w:val="18"/>
        </w:rPr>
        <w:t xml:space="preserve">This document is provided for guidance purposes. Features and interfaces may change as the platform is updated.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360"/>
      </w:tabs>
      <w:spacing w:before="60"/>
    </w:pPr>
    <w:r>
      <w:rPr>
        <w:rFonts w:ascii="Arial" w:cs="Arial" w:eastAsia="Arial" w:hAnsi="Arial"/>
        <w:color w:val="555555"/>
        <w:sz w:val="18"/>
        <w:szCs w:val="18"/>
      </w:rPr>
      <w:t xml:space="preserve">Version 1.0  —  March 2026</w:t>
    </w:r>
    <w:r>
      <w:rPr>
        <w:rFonts w:ascii="Arial" w:cs="Arial" w:eastAsia="Arial" w:hAnsi="Arial"/>
        <w:color w:val="1B2B4B"/>
        <w:sz w:val="18"/>
        <w:szCs w:val="18"/>
      </w:rPr>
      <w:t xml:space="preserve">	AccuTrac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pPr>
    <w:r>
      <w:rPr>
        <w:rFonts w:ascii="Arial" w:cs="Arial" w:eastAsia="Arial" w:hAnsi="Arial"/>
        <w:b/>
        <w:bCs/>
        <w:color w:val="1B2B4B"/>
        <w:sz w:val="18"/>
        <w:szCs w:val="18"/>
      </w:rPr>
      <w:t xml:space="preserve">AccuTrac User Manual</w:t>
    </w:r>
    <w:r>
      <w:rPr>
        <w:rFonts w:ascii="Arial" w:cs="Arial" w:eastAsia="Arial" w:hAnsi="Arial"/>
        <w:color w:val="555555"/>
        <w:sz w:val="18"/>
        <w:szCs w:val="18"/>
      </w:rPr>
      <w:t xml:space="preserve">    |    Tungsten Supply Chain Compliance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2026-03-20T07:42:24.374Z</dcterms:created>
  <dcterms:modified xsi:type="dcterms:W3CDTF">2026-03-20T07:42:24.375Z</dcterms:modified>
</cp:coreProperties>
</file>

<file path=docProps/custom.xml><?xml version="1.0" encoding="utf-8"?>
<Properties xmlns="http://schemas.openxmlformats.org/officeDocument/2006/custom-properties" xmlns:vt="http://schemas.openxmlformats.org/officeDocument/2006/docPropsVTypes"/>
</file>