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auditraks Demo Walkthrough</w:t>
      </w:r>
    </w:p>
    <w:p>
      <w:pPr>
        <w:pStyle w:val="Date"/>
      </w:pPr>
      <w:r>
        <w:t xml:space="preserve">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auditraks-demo-walkthrough"/>
    <w:p>
      <w:pPr>
        <w:pStyle w:val="Heading1"/>
      </w:pPr>
      <w:r>
        <w:t xml:space="preserve">auditraks Demo Walkthrough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~12 minutes</w:t>
      </w:r>
    </w:p>
    <w:p>
      <w:r>
        <w:pict>
          <v:rect style="width:0;height:1.5pt" o:hralign="center" o:hrstd="t" o:hr="t"/>
        </w:pict>
      </w:r>
    </w:p>
    <w:bookmarkStart w:id="16" w:name="setup-open-3-browser-windows"/>
    <w:p>
      <w:pPr>
        <w:pStyle w:val="Heading2"/>
      </w:pPr>
      <w:r>
        <w:t xml:space="preserve">Setup: Open 3 browser windows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 1:</w:t>
      </w:r>
      <w:r>
        <w:t xml:space="preserve"> </w:t>
      </w:r>
      <w:r>
        <w:t xml:space="preserve">Incognito — Supplier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 2:</w:t>
      </w:r>
      <w:r>
        <w:t xml:space="preserve"> </w:t>
      </w:r>
      <w:r>
        <w:t xml:space="preserve">Incognito — Buyer account (</w:t>
      </w:r>
      <w:r>
        <w:rPr>
          <w:rStyle w:val="VerbatimChar"/>
        </w:rPr>
        <w:t xml:space="preserve">julianshawuk2000@gmail.com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Window 3:</w:t>
      </w:r>
      <w:r>
        <w:t xml:space="preserve"> </w:t>
      </w:r>
      <w:r>
        <w:t xml:space="preserve">Incognito — Admin account (sign in with a different Google account)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https://auditraks.com</w:t>
      </w:r>
    </w:p>
    <w:p>
      <w:r>
        <w:pict>
          <v:rect style="width:0;height:1.5pt" o:hralign="center" o:hrstd="t" o:hr="t"/>
        </w:pict>
      </w:r>
    </w:p>
    <w:bookmarkEnd w:id="16"/>
    <w:bookmarkStart w:id="17" w:name="act-1-admin-overview-2-min"/>
    <w:p>
      <w:pPr>
        <w:pStyle w:val="Heading2"/>
      </w:pPr>
      <w:r>
        <w:t xml:space="preserve">Act 1: Admin Overview (2 min)</w:t>
      </w:r>
    </w:p>
    <w:p>
      <w:pPr>
        <w:pStyle w:val="Compact"/>
        <w:numPr>
          <w:ilvl w:val="0"/>
          <w:numId w:val="1002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Admin Dashboard</w:t>
      </w:r>
      <w:r>
        <w:t xml:space="preserve"> </w:t>
      </w:r>
      <w:r>
        <w:t xml:space="preserve">— users, batches, compliance flags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Manage Users</w:t>
      </w:r>
      <w:r>
        <w:t xml:space="preserve"> </w:t>
      </w:r>
      <w:r>
        <w:t xml:space="preserve">— show the role-based access (Supplier, Buyer, Admin)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RMAP Smelter List</w:t>
      </w:r>
      <w:r>
        <w:t xml:space="preserve"> </w:t>
      </w:r>
      <w:r>
        <w:t xml:space="preserve">— show the certified smelter reference data</w:t>
      </w:r>
    </w:p>
    <w:p>
      <w:pPr>
        <w:pStyle w:val="Compact"/>
        <w:numPr>
          <w:ilvl w:val="0"/>
          <w:numId w:val="1002"/>
        </w:numPr>
      </w:pPr>
      <w:r>
        <w:t xml:space="preserve">Point out:</w:t>
      </w:r>
      <w:r>
        <w:t xml:space="preserve"> </w:t>
      </w:r>
      <w:r>
        <w:rPr>
          <w:i/>
          <w:iCs/>
        </w:rPr>
        <w:t xml:space="preserve">“Every role sees only what they need. Access is enforced server-side.”</w:t>
      </w:r>
    </w:p>
    <w:p>
      <w:r>
        <w:pict>
          <v:rect style="width:0;height:1.5pt" o:hralign="center" o:hrstd="t" o:hr="t"/>
        </w:pict>
      </w:r>
    </w:p>
    <w:bookmarkEnd w:id="17"/>
    <w:bookmarkStart w:id="18" w:name="act-2-supplier-creates-a-batch-3-min"/>
    <w:p>
      <w:pPr>
        <w:pStyle w:val="Heading2"/>
      </w:pPr>
      <w:r>
        <w:t xml:space="preserve">Act 2: Supplier Creates a Batch (3 min)</w:t>
      </w:r>
    </w:p>
    <w:p>
      <w:pPr>
        <w:pStyle w:val="Compact"/>
        <w:numPr>
          <w:ilvl w:val="0"/>
          <w:numId w:val="1003"/>
        </w:numPr>
      </w:pPr>
      <w:r>
        <w:t xml:space="preserve">Switch to</w:t>
      </w:r>
      <w:r>
        <w:t xml:space="preserve"> </w:t>
      </w:r>
      <w:r>
        <w:rPr>
          <w:b/>
          <w:bCs/>
        </w:rPr>
        <w:t xml:space="preserve">Supplier window</w:t>
      </w:r>
    </w:p>
    <w:p>
      <w:pPr>
        <w:pStyle w:val="Compact"/>
        <w:numPr>
          <w:ilvl w:val="0"/>
          <w:numId w:val="1003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Supplier Dashboard</w:t>
      </w:r>
      <w:r>
        <w:t xml:space="preserve"> </w:t>
      </w:r>
      <w:r>
        <w:t xml:space="preserve">— demo batches with compliance badges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Batch</w:t>
      </w:r>
      <w:r>
        <w:t xml:space="preserve"> </w:t>
      </w:r>
      <w:r>
        <w:t xml:space="preserve">— create one:</w:t>
      </w:r>
    </w:p>
    <w:p>
      <w:pPr>
        <w:pStyle w:val="Compact"/>
        <w:numPr>
          <w:ilvl w:val="1"/>
          <w:numId w:val="1004"/>
        </w:numPr>
      </w:pPr>
      <w:r>
        <w:t xml:space="preserve">Batch:</w:t>
      </w:r>
      <w:r>
        <w:t xml:space="preserve"> </w:t>
      </w:r>
      <w:r>
        <w:rPr>
          <w:rStyle w:val="VerbatimChar"/>
        </w:rPr>
        <w:t xml:space="preserve">W-2026-050</w:t>
      </w:r>
    </w:p>
    <w:p>
      <w:pPr>
        <w:pStyle w:val="Compact"/>
        <w:numPr>
          <w:ilvl w:val="1"/>
          <w:numId w:val="1004"/>
        </w:numPr>
      </w:pPr>
      <w:r>
        <w:t xml:space="preserve">Mineral: Tungsten</w:t>
      </w:r>
    </w:p>
    <w:p>
      <w:pPr>
        <w:pStyle w:val="Compact"/>
        <w:numPr>
          <w:ilvl w:val="1"/>
          <w:numId w:val="1004"/>
        </w:numPr>
      </w:pPr>
      <w:r>
        <w:t xml:space="preserve">Origin: Rwanda</w:t>
      </w:r>
    </w:p>
    <w:p>
      <w:pPr>
        <w:pStyle w:val="Compact"/>
        <w:numPr>
          <w:ilvl w:val="1"/>
          <w:numId w:val="1004"/>
        </w:numPr>
      </w:pPr>
      <w:r>
        <w:t xml:space="preserve">Mine: Nyungwe Mine</w:t>
      </w:r>
    </w:p>
    <w:p>
      <w:pPr>
        <w:pStyle w:val="Compact"/>
        <w:numPr>
          <w:ilvl w:val="1"/>
          <w:numId w:val="1004"/>
        </w:numPr>
      </w:pPr>
      <w:r>
        <w:t xml:space="preserve">Weight: 500 kg</w:t>
      </w:r>
    </w:p>
    <w:p>
      <w:pPr>
        <w:pStyle w:val="Compact"/>
        <w:numPr>
          <w:ilvl w:val="0"/>
          <w:numId w:val="1003"/>
        </w:numPr>
      </w:pPr>
      <w:r>
        <w:t xml:space="preserve">Click into the new batch →</w:t>
      </w:r>
      <w:r>
        <w:t xml:space="preserve"> </w:t>
      </w:r>
      <w:r>
        <w:rPr>
          <w:b/>
          <w:bCs/>
        </w:rPr>
        <w:t xml:space="preserve">Add Event</w:t>
      </w:r>
      <w:r>
        <w:t xml:space="preserve"> </w:t>
      </w:r>
      <w:r>
        <w:t xml:space="preserve">→ Mine Extraction</w:t>
      </w:r>
    </w:p>
    <w:p>
      <w:pPr>
        <w:pStyle w:val="Compact"/>
        <w:numPr>
          <w:ilvl w:val="0"/>
          <w:numId w:val="1003"/>
        </w:numPr>
      </w:pPr>
      <w:r>
        <w:t xml:space="preserve">Say:</w:t>
      </w:r>
      <w:r>
        <w:t xml:space="preserve"> </w:t>
      </w:r>
      <w:r>
        <w:rPr>
          <w:i/>
          <w:iCs/>
        </w:rPr>
        <w:t xml:space="preserve">“Every event is SHA-256 hashed and chained to the previous one. You can’t alter history without breaking the chain.”</w:t>
      </w:r>
    </w:p>
    <w:p>
      <w:r>
        <w:pict>
          <v:rect style="width:0;height:1.5pt" o:hralign="center" o:hrstd="t" o:hr="t"/>
        </w:pict>
      </w:r>
    </w:p>
    <w:bookmarkEnd w:id="18"/>
    <w:bookmarkStart w:id="19" w:name="act-3-the-compliance-story-3-min"/>
    <w:p>
      <w:pPr>
        <w:pStyle w:val="Heading2"/>
      </w:pPr>
      <w:r>
        <w:t xml:space="preserve">Act 3: The Compliance Story (3 min)</w:t>
      </w:r>
    </w:p>
    <w:p>
      <w:pPr>
        <w:pStyle w:val="Compact"/>
        <w:numPr>
          <w:ilvl w:val="0"/>
          <w:numId w:val="1005"/>
        </w:numPr>
      </w:pPr>
      <w:r>
        <w:t xml:space="preserve">Click on demo batch</w:t>
      </w:r>
      <w:r>
        <w:t xml:space="preserve"> </w:t>
      </w:r>
      <w:r>
        <w:rPr>
          <w:b/>
          <w:bCs/>
        </w:rPr>
        <w:t xml:space="preserve">W-2026-041</w:t>
      </w:r>
      <w:r>
        <w:t xml:space="preserve"> </w:t>
      </w:r>
      <w:r>
        <w:t xml:space="preserve">(the compliant one with 6 events)</w:t>
      </w:r>
    </w:p>
    <w:p>
      <w:pPr>
        <w:pStyle w:val="Compact"/>
        <w:numPr>
          <w:ilvl w:val="0"/>
          <w:numId w:val="1005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Events tab</w:t>
      </w:r>
      <w:r>
        <w:t xml:space="preserve"> </w:t>
      </w:r>
      <w:r>
        <w:t xml:space="preserve">— point out the SHA-256 hashes on each event</w:t>
      </w:r>
    </w:p>
    <w:p>
      <w:pPr>
        <w:pStyle w:val="Compact"/>
        <w:numPr>
          <w:ilvl w:val="0"/>
          <w:numId w:val="100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Compliance tab</w:t>
      </w:r>
      <w:r>
        <w:t xml:space="preserve"> </w:t>
      </w:r>
      <w:r>
        <w:t xml:space="preserve">— show all 5 checks passing (RMAP, OECD, Sanctions, Mass Balance, Sequence)</w:t>
      </w:r>
    </w:p>
    <w:p>
      <w:pPr>
        <w:pStyle w:val="Compact"/>
        <w:numPr>
          <w:ilvl w:val="0"/>
          <w:numId w:val="1005"/>
        </w:numPr>
      </w:pPr>
      <w:r>
        <w:t xml:space="preserve">Then click on</w:t>
      </w:r>
      <w:r>
        <w:t xml:space="preserve"> </w:t>
      </w:r>
      <w:r>
        <w:rPr>
          <w:b/>
          <w:bCs/>
        </w:rPr>
        <w:t xml:space="preserve">W-2026-038</w:t>
      </w:r>
      <w:r>
        <w:t xml:space="preserve"> </w:t>
      </w:r>
      <w:r>
        <w:t xml:space="preserve">(the flagged DRC batch)</w:t>
      </w:r>
    </w:p>
    <w:p>
      <w:pPr>
        <w:pStyle w:val="Compact"/>
        <w:numPr>
          <w:ilvl w:val="0"/>
          <w:numId w:val="1005"/>
        </w:numPr>
      </w:pPr>
      <w:r>
        <w:t xml:space="preserve">Show the compliance failure:</w:t>
      </w:r>
      <w:r>
        <w:t xml:space="preserve"> </w:t>
      </w:r>
      <w:r>
        <w:rPr>
          <w:i/>
          <w:iCs/>
        </w:rPr>
        <w:t xml:space="preserve">“DRC origin triggers an automatic OECD risk flag. No manual review needed — the system catches it instantly.”</w:t>
      </w:r>
    </w:p>
    <w:p>
      <w:r>
        <w:pict>
          <v:rect style="width:0;height:1.5pt" o:hralign="center" o:hrstd="t" o:hr="t"/>
        </w:pict>
      </w:r>
    </w:p>
    <w:bookmarkEnd w:id="19"/>
    <w:bookmarkStart w:id="20" w:name="X93b31b7567530ab3ecadafc68e0b31f68089881"/>
    <w:p>
      <w:pPr>
        <w:pStyle w:val="Heading2"/>
      </w:pPr>
      <w:r>
        <w:t xml:space="preserve">Act 4: Buyer Generates Material Passport (3 min)</w:t>
      </w:r>
    </w:p>
    <w:p>
      <w:pPr>
        <w:pStyle w:val="Compact"/>
        <w:numPr>
          <w:ilvl w:val="0"/>
          <w:numId w:val="1006"/>
        </w:numPr>
      </w:pPr>
      <w:r>
        <w:t xml:space="preserve">Switch to</w:t>
      </w:r>
      <w:r>
        <w:t xml:space="preserve"> </w:t>
      </w:r>
      <w:r>
        <w:rPr>
          <w:b/>
          <w:bCs/>
        </w:rPr>
        <w:t xml:space="preserve">Buyer window</w:t>
      </w:r>
    </w:p>
    <w:p>
      <w:pPr>
        <w:pStyle w:val="Compact"/>
        <w:numPr>
          <w:ilvl w:val="0"/>
          <w:numId w:val="1006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Buyer Dashboard</w:t>
      </w:r>
      <w:r>
        <w:t xml:space="preserve"> </w:t>
      </w:r>
      <w:r>
        <w:t xml:space="preserve">— donut chart, sortable table, filters</w:t>
      </w:r>
    </w:p>
    <w:p>
      <w:pPr>
        <w:pStyle w:val="Compact"/>
        <w:numPr>
          <w:ilvl w:val="0"/>
          <w:numId w:val="1006"/>
        </w:numPr>
      </w:pPr>
      <w:r>
        <w:t xml:space="preserve">Click into</w:t>
      </w:r>
      <w:r>
        <w:t xml:space="preserve"> </w:t>
      </w:r>
      <w:r>
        <w:rPr>
          <w:b/>
          <w:bCs/>
        </w:rPr>
        <w:t xml:space="preserve">W-2026-041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Generate &amp; Share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Material Passport</w:t>
      </w:r>
    </w:p>
    <w:p>
      <w:pPr>
        <w:pStyle w:val="Compact"/>
        <w:numPr>
          <w:ilvl w:val="0"/>
          <w:numId w:val="1006"/>
        </w:numPr>
      </w:pPr>
      <w:r>
        <w:t xml:space="preserve">Download the PDF — show the QR code, custody chain, compliance status</w:t>
      </w:r>
    </w:p>
    <w:p>
      <w:pPr>
        <w:pStyle w:val="Compact"/>
        <w:numPr>
          <w:ilvl w:val="0"/>
          <w:numId w:val="1006"/>
        </w:numPr>
      </w:pPr>
      <w:r>
        <w:t xml:space="preserve">Say:</w:t>
      </w:r>
      <w:r>
        <w:t xml:space="preserve"> </w:t>
      </w:r>
      <w:r>
        <w:rPr>
          <w:i/>
          <w:iCs/>
        </w:rPr>
        <w:t xml:space="preserve">“This replaces weeks of manual certification. One click, PDF with QR code, shareable with any auditor.”</w:t>
      </w:r>
    </w:p>
    <w:p>
      <w:r>
        <w:pict>
          <v:rect style="width:0;height:1.5pt" o:hralign="center" o:hrstd="t" o:hr="t"/>
        </w:pict>
      </w:r>
    </w:p>
    <w:bookmarkEnd w:id="20"/>
    <w:bookmarkStart w:id="22" w:name="act-5-public-verification-1-min"/>
    <w:p>
      <w:pPr>
        <w:pStyle w:val="Heading2"/>
      </w:pPr>
      <w:r>
        <w:t xml:space="preserve">Act 5: Public Verification (1 min)</w:t>
      </w:r>
    </w:p>
    <w:p>
      <w:pPr>
        <w:pStyle w:val="Compact"/>
        <w:numPr>
          <w:ilvl w:val="0"/>
          <w:numId w:val="1007"/>
        </w:numPr>
      </w:pPr>
      <w:r>
        <w:t xml:space="preserve">Open a new tab — go to</w:t>
      </w:r>
      <w:r>
        <w:t xml:space="preserve"> </w:t>
      </w:r>
      <w:r>
        <w:rPr>
          <w:rStyle w:val="VerbatimChar"/>
        </w:rPr>
        <w:t xml:space="preserve">https://auditraks.com/verify/W-2026-041</w:t>
      </w:r>
    </w:p>
    <w:p>
      <w:pPr>
        <w:pStyle w:val="Compact"/>
        <w:numPr>
          <w:ilvl w:val="0"/>
          <w:numId w:val="1007"/>
        </w:numPr>
      </w:pPr>
      <w:r>
        <w:t xml:space="preserve">Show the branded public verification page</w:t>
      </w:r>
    </w:p>
    <w:p>
      <w:pPr>
        <w:pStyle w:val="Compact"/>
        <w:numPr>
          <w:ilvl w:val="0"/>
          <w:numId w:val="1007"/>
        </w:numPr>
      </w:pPr>
      <w:r>
        <w:t xml:space="preserve">Say:</w:t>
      </w:r>
      <w:r>
        <w:t xml:space="preserve"> </w:t>
      </w:r>
      <w:r>
        <w:rPr>
          <w:i/>
          <w:iCs/>
        </w:rPr>
        <w:t xml:space="preserve">“Anyone with the QR code or URL can verify compliance — no account needed. This is the trust layer.”</w:t>
      </w:r>
    </w:p>
    <w:p>
      <w:r>
        <w:pict>
          <v:rect style="width:0;height:1.5pt" o:hralign="center" o:hrstd="t" o:hr="t"/>
        </w:pict>
      </w:r>
    </w:p>
    <w:bookmarkStart w:id="21" w:name="act-6-buyer-engagement-tools-2-min"/>
    <w:p>
      <w:pPr>
        <w:pStyle w:val="Heading3"/>
      </w:pPr>
      <w:r>
        <w:t xml:space="preserve">Act 6: Buyer Engagement Tools (2 min)</w:t>
      </w:r>
    </w:p>
    <w:p>
      <w:pPr>
        <w:pStyle w:val="BlockText"/>
      </w:pPr>
      <w:r>
        <w:t xml:space="preserve">Switch to the</w:t>
      </w:r>
      <w:r>
        <w:t xml:space="preserve"> </w:t>
      </w:r>
      <w:r>
        <w:rPr>
          <w:b/>
          <w:bCs/>
        </w:rPr>
        <w:t xml:space="preserve">buyer browser window</w:t>
      </w:r>
      <w:r>
        <w:t xml:space="preserve"> </w:t>
      </w:r>
      <w:r>
        <w:t xml:space="preserve">(Klaus Steinberger)</w:t>
      </w:r>
    </w:p>
    <w:p>
      <w:pPr>
        <w:pStyle w:val="Compact"/>
        <w:numPr>
          <w:ilvl w:val="0"/>
          <w:numId w:val="1008"/>
        </w:numPr>
      </w:pPr>
      <w:r>
        <w:t xml:space="preserve">On the Buyer Dashboard, scroll to the</w:t>
      </w:r>
      <w:r>
        <w:t xml:space="preserve"> </w:t>
      </w:r>
      <w:r>
        <w:rPr>
          <w:b/>
          <w:bCs/>
        </w:rPr>
        <w:t xml:space="preserve">Supplier Engagement</w:t>
      </w:r>
      <w:r>
        <w:t xml:space="preserve"> </w:t>
      </w:r>
      <w:r>
        <w:t xml:space="preserve">panel</w:t>
      </w:r>
    </w:p>
    <w:p>
      <w:pPr>
        <w:pStyle w:val="Compact"/>
        <w:numPr>
          <w:ilvl w:val="0"/>
          <w:numId w:val="1008"/>
        </w:numPr>
      </w:pPr>
      <w:r>
        <w:t xml:space="preserve">Point out the metric cards: Total suppliers, Active, Stale, Flagged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View suppliers</w:t>
      </w:r>
      <w:r>
        <w:t xml:space="preserve"> </w:t>
      </w:r>
      <w:r>
        <w:t xml:space="preserve">to expand the supplier list</w:t>
      </w:r>
    </w:p>
    <w:p>
      <w:pPr>
        <w:pStyle w:val="Compact"/>
        <w:numPr>
          <w:ilvl w:val="0"/>
          <w:numId w:val="1008"/>
        </w:numPr>
      </w:pPr>
      <w:r>
        <w:t xml:space="preserve">Show the status badges and the</w:t>
      </w:r>
      <w:r>
        <w:t xml:space="preserve"> </w:t>
      </w:r>
      <w:r>
        <w:rPr>
          <w:b/>
          <w:bCs/>
        </w:rPr>
        <w:t xml:space="preserve">Remind</w:t>
      </w:r>
      <w:r>
        <w:t xml:space="preserve"> </w:t>
      </w:r>
      <w:r>
        <w:t xml:space="preserve">button on stale/flagged suppliers</w:t>
      </w:r>
    </w:p>
    <w:p>
      <w:pPr>
        <w:pStyle w:val="Compact"/>
        <w:numPr>
          <w:ilvl w:val="0"/>
          <w:numId w:val="1008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CMRT Import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08"/>
        </w:numPr>
      </w:pPr>
      <w:r>
        <w:t xml:space="preserve">Show the upload dropzone and explain the two-step flow:</w:t>
      </w:r>
      <w:r>
        <w:t xml:space="preserve"> </w:t>
      </w:r>
      <w:r>
        <w:t xml:space="preserve">“Upload a CMRT spreadsheet, preview matched smelters against our RMAP database, then confirm to import”</w:t>
      </w:r>
    </w:p>
    <w:p>
      <w:pPr>
        <w:pStyle w:val="Compact"/>
        <w:numPr>
          <w:ilvl w:val="0"/>
          <w:numId w:val="1008"/>
        </w:numPr>
      </w:pPr>
      <w:r>
        <w:t xml:space="preserve">Show the import history section</w:t>
      </w:r>
    </w:p>
    <w:p>
      <w:pPr>
        <w:pStyle w:val="FirstParagraph"/>
      </w:pPr>
      <w:r>
        <w:rPr>
          <w:b/>
          <w:bCs/>
        </w:rPr>
        <w:t xml:space="preserve">Key message:</w:t>
      </w:r>
      <w:r>
        <w:t xml:space="preserve"> </w:t>
      </w:r>
      <w:r>
        <w:t xml:space="preserve">“Unlike competitors that only show batch compliance, auditraks gives buyers visibility into supplier engagement health and lets them proactively nudge inactive suppliers.”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key-talking-points"/>
    <w:p>
      <w:pPr>
        <w:pStyle w:val="Heading2"/>
      </w:pPr>
      <w:r>
        <w:t xml:space="preserve">Key Talking 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Manual spreadsheets, email chains, weeks of auditing for mineral compliance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Automated, tamper-evident digital platform — mine to refinery in real time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Differentiators:</w:t>
      </w:r>
      <w:r>
        <w:t xml:space="preserve"> </w:t>
      </w:r>
      <w:r>
        <w:t xml:space="preserve">SHA-256 hash chains, automated RMAP + OECD checks, public QR verification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Market:</w:t>
      </w:r>
      <w:r>
        <w:t xml:space="preserve"> </w:t>
      </w:r>
      <w:r>
        <w:t xml:space="preserve">Full 3TG suite — tungsten, tin, tantalum, and gold — under Dodd-Frank and EU conflict minerals regulation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Per-batch tracking fees, enterprise subscriptions, API access</w:t>
      </w:r>
    </w:p>
    <w:p>
      <w:r>
        <w:pict>
          <v:rect style="width:0;height:1.5pt" o:hralign="center" o:hrstd="t" o:hr="t"/>
        </w:pict>
      </w:r>
    </w:p>
    <w:bookmarkEnd w:id="23"/>
    <w:bookmarkStart w:id="24" w:name="if-asked"/>
    <w:p>
      <w:pPr>
        <w:pStyle w:val="Heading2"/>
      </w:pPr>
      <w:r>
        <w:t xml:space="preserve">If Asked…</w:t>
      </w:r>
    </w:p>
    <w:p>
      <w:pPr>
        <w:pStyle w:val="FirstParagraph"/>
      </w:pPr>
      <w:r>
        <w:rPr>
          <w:b/>
          <w:bCs/>
        </w:rPr>
        <w:t xml:space="preserve">“How is this different from blockchain?”</w:t>
      </w:r>
      <w:r>
        <w:t xml:space="preserve"> </w:t>
      </w:r>
      <w:r>
        <w:t xml:space="preserve">We use SHA-256 hash chains — same tamper-evidence guarantee, but without the cost, latency, or environmental overhead of a blockchain. Every event is cryptographically linked to the previous one.</w:t>
      </w:r>
    </w:p>
    <w:p>
      <w:pPr>
        <w:pStyle w:val="BodyText"/>
      </w:pPr>
      <w:r>
        <w:rPr>
          <w:b/>
          <w:bCs/>
        </w:rPr>
        <w:t xml:space="preserve">“What compliance frameworks do you support?”</w:t>
      </w:r>
      <w:r>
        <w:t xml:space="preserve"> </w:t>
      </w:r>
      <w:r>
        <w:t xml:space="preserve">RMAP (Responsible Minerals Assurance Process) and OECD Due Diligence Guidance. Five automated checks: smelter verification, origin country risk, sanctions screening, mass balance, and event sequence integrity.</w:t>
      </w:r>
    </w:p>
    <w:p>
      <w:pPr>
        <w:pStyle w:val="BodyText"/>
      </w:pPr>
      <w:r>
        <w:rPr>
          <w:b/>
          <w:bCs/>
        </w:rPr>
        <w:t xml:space="preserve">“Can this scale beyond tungsten?”</w:t>
      </w:r>
      <w:r>
        <w:t xml:space="preserve"> </w:t>
      </w:r>
      <w:r>
        <w:t xml:space="preserve">Yes — the architecture is mineral-agnostic. The pilot targets tungsten, but expanding to tin, tantalum, and gold (the full 3TG suite under Dodd-Frank and EU regulation) is a configuration change, not a rebuild.</w:t>
      </w:r>
    </w:p>
    <w:p>
      <w:pPr>
        <w:pStyle w:val="BodyText"/>
      </w:pPr>
      <w:r>
        <w:rPr>
          <w:b/>
          <w:bCs/>
        </w:rPr>
        <w:t xml:space="preserve">“How do you handle data integrity?”</w:t>
      </w:r>
      <w:r>
        <w:t xml:space="preserve"> </w:t>
      </w:r>
      <w:r>
        <w:t xml:space="preserve">Every custody event is SHA-256 hashed at write time, with each hash including the previous event’s hash. This creates an immutable chain — altering any event would break the chain and be immediately detectable.</w:t>
      </w:r>
    </w:p>
    <w:p>
      <w:pPr>
        <w:pStyle w:val="BodyText"/>
      </w:pPr>
      <w:r>
        <w:rPr>
          <w:b/>
          <w:bCs/>
        </w:rPr>
        <w:t xml:space="preserve">“Who are your target customers?”</w:t>
      </w:r>
      <w:r>
        <w:t xml:space="preserve"> </w:t>
      </w:r>
      <w:r>
        <w:t xml:space="preserve">Upstream: mining companies, traders, processors who need to prove responsible sourcing. Downstream: manufacturers and buyers who need compliance documentation for regulators and customers.</w:t>
      </w:r>
    </w:p>
    <w:bookmarkEnd w:id="24"/>
    <w:bookmarkEnd w:id="25"/>
    <w:sectPr>
      <w:headerReference r:id="rId6" w:type="default"/>
      <w:footerReference r:id="rId7" w:type="default"/>
      <w:pgSz w:h="15840" w:orient="portrait" w:w="12240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auditraks Mineral Supply Chain Compliance Platform</w:t>
    </w:r>
    <w:r>
      <w:rPr>
        <w:rFonts w:ascii="Arial" w:cs="Arial" w:eastAsia="Arial" w:hAnsi="Arial"/>
        <w:color w:val="999999"/>
        <w:sz w:val="18"/>
        <w:szCs w:val="18"/>
      </w:rPr>
      <w:t xml:space="preserve">    Page </w:t>
    </w:r>
    <w:r>
      <w:rPr>
        <w:rFonts w:ascii="Arial" w:hAnsi="Arial"/>
        <w:sz w:val="18"/>
        <w:szCs w:val="18"/>
        <w:color w:val="999999"/>
      </w:rPr>
      <w:fldChar w:fldCharType="begin"/>
    </w:r>
    <w:r>
      <w:rPr>
        <w:rFonts w:ascii="Arial" w:hAnsi="Arial"/>
        <w:sz w:val="18"/>
        <w:szCs w:val="18"/>
        <w:color w:val="999999"/>
      </w:rPr>
      <w:instrText xml:space="preserve"> PAGE </w:instrText>
    </w:r>
    <w:r>
      <w:rPr>
        <w:rFonts w:ascii="Arial" w:hAnsi="Arial"/>
        <w:sz w:val="18"/>
        <w:szCs w:val="18"/>
        <w:color w:val="99999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72A" w:sz="4" w:space="4"/>
      </w:pBdr>
    </w:pPr>
    <w:r>
      <w:rPr>
        <w:rFonts w:ascii="Arial" w:cs="Arial" w:eastAsia="Arial" w:hAnsi="Arial"/>
        <w:b/>
        <w:bCs/>
        <w:color w:val="1B2F5E"/>
        <w:sz w:val="20"/>
        <w:szCs w:val="20"/>
      </w:rPr>
      <w:t xml:space="preserve">auditraks</w:t>
    </w:r>
    <w:r>
      <w:rPr>
        <w:rFonts w:ascii="Arial" w:cs="Arial" w:eastAsia="Arial" w:hAnsi="Arial"/>
        <w:color w:val="777777"/>
        <w:sz w:val="18"/>
        <w:szCs w:val="18"/>
      </w:rPr>
      <w:t xml:space="preserve">   |   User Manual — Version 3.0   |   March 2026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-"/>
      <w:lvlJc w:val="left"/>
      <w:pPr>
        <w:ind w:hanging="360" w:left="108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F5E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F5E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A7DB5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auditraks Demo Walkthrough</dc:title>
  <dc:creator/>
  <cp:keywords/>
  <dcterms:created xsi:type="dcterms:W3CDTF">2026-04-01T00:46:43Z</dcterms:created>
  <dcterms:modified xsi:type="dcterms:W3CDTF">2026-04-01T00:46:43Z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2026</vt:lpwstr>
  </property>
</Properties>
</file>