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116" w:rsidRDefault="00A11E8C">
      <w:pPr>
        <w:rPr>
          <w:b/>
        </w:rPr>
      </w:pPr>
      <w:r w:rsidRPr="00A11E8C">
        <w:rPr>
          <w:b/>
        </w:rPr>
        <w:t>Abstract</w:t>
      </w:r>
    </w:p>
    <w:p w:rsidR="007A0C12" w:rsidRDefault="004410E8">
      <w:r>
        <w:t xml:space="preserve">Ratiometric, two-state fluorescent biosensors have become established and powerful tools to make absolute, quantitative measurements in living systems. A key question is how to compare the ranges of cellular properties biosensors are well-suited to measure. Here, we </w:t>
      </w:r>
      <w:r w:rsidR="000C65C2">
        <w:t>present an analysis of the suitability of biosensors with two states. For our workflow, we developed a user-friendly tool for examining sensor suitability, given microscopy error and physiochemical properties of the sensor (link). We compared the suitability of a family of glutathione redox-sensing biosensors and generalized our findings to all</w:t>
      </w:r>
      <w:r w:rsidR="004D0678">
        <w:t xml:space="preserve"> ratiometric</w:t>
      </w:r>
      <w:r w:rsidR="000C65C2">
        <w:t xml:space="preserve"> biosensors with two states. Our analysis provides an integrated framework for comparing biosensors.</w:t>
      </w:r>
    </w:p>
    <w:p w:rsidR="000C65C2" w:rsidRDefault="000C65C2"/>
    <w:p w:rsidR="000C65C2" w:rsidRDefault="000C65C2">
      <w:pPr>
        <w:rPr>
          <w:b/>
        </w:rPr>
      </w:pPr>
      <w:r>
        <w:rPr>
          <w:b/>
        </w:rPr>
        <w:t>Introduction</w:t>
      </w:r>
    </w:p>
    <w:p w:rsidR="000C65C2" w:rsidRDefault="000C65C2">
      <w:r>
        <w:t>The recent discovery and development of chemically-sensitive fluorescent protein</w:t>
      </w:r>
      <w:r w:rsidR="00963014">
        <w:t xml:space="preserve"> biosensors</w:t>
      </w:r>
      <w:r>
        <w:t xml:space="preserve"> has allowed for the absolute measurement of cellular properties of interest, such as redox, pH, and ATP, in live animals. </w:t>
      </w:r>
      <w:r w:rsidR="00963014">
        <w:t xml:space="preserve">Due to the nonlinear map between fluorescence intensity and the cellular property of interest, each biosensor is limited in the range of values it is well-suited to measure. </w:t>
      </w:r>
      <w:r w:rsidR="00133B68">
        <w:t>Consequently, it is important to assess how physical and chemical properties affect the ability of biosensors to make accurate measurements. Previous studies have []. In this study, w</w:t>
      </w:r>
      <w:r w:rsidR="001A42D0">
        <w:t xml:space="preserve">e used published data from existing biosensors and empirically-determined microscopy errors to quantify the accuracy of the biosensors in different environments. </w:t>
      </w:r>
    </w:p>
    <w:p w:rsidR="001A42D0" w:rsidRDefault="001A42D0">
      <w:r>
        <w:t xml:space="preserve">We defined microscopy error as the variation in measured ratiometric intensity of </w:t>
      </w:r>
      <w:r w:rsidR="00E15ED5">
        <w:t>an</w:t>
      </w:r>
      <w:r>
        <w:t xml:space="preserve"> intensity-stable control sample, and we defined the biosensor accuracy as error in </w:t>
      </w:r>
      <w:r w:rsidR="00E15ED5">
        <w:t>the measurement of the ultimate cellular property of interest, given the microscopy error. High accuracy allows for single measurements to [].</w:t>
      </w:r>
    </w:p>
    <w:p w:rsidR="00E15ED5" w:rsidRDefault="00E15ED5" w:rsidP="00E15ED5">
      <w:r>
        <w:t>Publications presenting new biosensors often include biophysical spectral data, as well as empirically-determined chemical properties, such as midpoint potential. […]</w:t>
      </w:r>
    </w:p>
    <w:p w:rsidR="00E15ED5" w:rsidRDefault="00E15ED5" w:rsidP="00E15ED5">
      <w:r>
        <w:t>Our analysis was subject to limitations […]. Nevertheless, our approach allows for the comparison across many published biosensors. This methodology highlights the need for new biosensors that target specific cellular environments while providing a standardized scale on which new sensors can be put in context of existing tools.</w:t>
      </w:r>
    </w:p>
    <w:p w:rsidR="00E15ED5" w:rsidRDefault="00E15ED5" w:rsidP="00E15ED5"/>
    <w:p w:rsidR="000C65C2" w:rsidRDefault="000C65C2"/>
    <w:p w:rsidR="000C65C2" w:rsidRDefault="000C65C2"/>
    <w:p w:rsidR="000C65C2" w:rsidRDefault="000C65C2"/>
    <w:p w:rsidR="000C65C2" w:rsidRDefault="000C65C2" w:rsidP="000C65C2">
      <w:pPr>
        <w:jc w:val="center"/>
      </w:pPr>
      <w:bookmarkStart w:id="0" w:name="_GoBack"/>
      <w:bookmarkEnd w:id="0"/>
    </w:p>
    <w:p w:rsidR="000C65C2" w:rsidRDefault="000C65C2" w:rsidP="000C65C2">
      <w:pPr>
        <w:jc w:val="center"/>
      </w:pPr>
      <w:r>
        <w:rPr>
          <w:noProof/>
        </w:rPr>
        <w:lastRenderedPageBreak/>
        <w:drawing>
          <wp:inline distT="0" distB="0" distL="0" distR="0" wp14:anchorId="6C5173BD" wp14:editId="0BD209E8">
            <wp:extent cx="5183674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7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0C65C2" w:rsidRDefault="000C65C2" w:rsidP="000C65C2">
      <w:pPr>
        <w:jc w:val="center"/>
      </w:pPr>
    </w:p>
    <w:p w:rsidR="004410E8" w:rsidRDefault="000C65C2" w:rsidP="000C65C2">
      <w:pPr>
        <w:jc w:val="center"/>
      </w:pPr>
      <w:r>
        <w:rPr>
          <w:noProof/>
        </w:rPr>
        <w:lastRenderedPageBreak/>
        <w:drawing>
          <wp:inline distT="0" distB="0" distL="0" distR="0">
            <wp:extent cx="4728754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5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C2" w:rsidRDefault="000C65C2"/>
    <w:p w:rsidR="000C65C2" w:rsidRPr="004410E8" w:rsidRDefault="000C65C2" w:rsidP="000C65C2">
      <w:pPr>
        <w:jc w:val="center"/>
      </w:pPr>
      <w:r>
        <w:rPr>
          <w:noProof/>
        </w:rPr>
        <w:drawing>
          <wp:inline distT="0" distB="0" distL="0" distR="0">
            <wp:extent cx="4563533" cy="3657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5C2" w:rsidRPr="00441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8C"/>
    <w:rsid w:val="000C65C2"/>
    <w:rsid w:val="00133B68"/>
    <w:rsid w:val="001A42D0"/>
    <w:rsid w:val="004410E8"/>
    <w:rsid w:val="004D0678"/>
    <w:rsid w:val="007A0C12"/>
    <w:rsid w:val="0090736F"/>
    <w:rsid w:val="00963014"/>
    <w:rsid w:val="00986116"/>
    <w:rsid w:val="00A11E8C"/>
    <w:rsid w:val="00E1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087360"/>
  <w14:defaultImageDpi w14:val="32767"/>
  <w15:chartTrackingRefBased/>
  <w15:docId w15:val="{8DBE33D1-27B3-4D91-86EB-92701E877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E8C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stanley</dc:creator>
  <cp:keywords/>
  <dc:description/>
  <cp:lastModifiedBy>julian stanley</cp:lastModifiedBy>
  <cp:revision>5</cp:revision>
  <dcterms:created xsi:type="dcterms:W3CDTF">2019-05-01T14:18:00Z</dcterms:created>
  <dcterms:modified xsi:type="dcterms:W3CDTF">2019-05-01T17:10:00Z</dcterms:modified>
</cp:coreProperties>
</file>