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 La computación moderna es el resultado de siglos de evolución, desde dispositivos mecánicos como la Pascalina (1642) y la máquina de Leibniz (1673) hasta el diseño de la Máquina Analítica de Babbage (1837).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 Hitos clave incluyen el primer algoritmo escrito por Ada Lovelace y el desarrollo del ENIAC (1945), la primera máquina electrónica de propósito general.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 La tecnología ha avanzado a través de generaciones: tubos de vacío, transistores, circuitos integrados y microprocesadores, estos últimos vigentes desde 1972.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 El hardware constituye los componentes físicos tangibles, mientras que el software representa las instrucciones lógicas que permiten realizar tareas útiles.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 Los elementos internos esenciales son el procesador (CPU) para la ejecución de instrucciones, la memoria RAM para datos temporales y la tarjeta madre para la interconexión.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 Los equipos se categorizan según su uso: PC de escritorio por su alto rendimiento, laptops por su portabilidad y servidores para disponibilidad continua 24/7.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 Los dispositivos móviles, como smartphones y tablets, integran sensores avanzados y son el principal medio de conectividad en países como Colombia.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 Para el desarrollo de software (ADSO), el computador es el entorno indispensable para codificar soluciones que posteriormente se despliegan en servidores.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Fuentes consultadas: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Ceruzzi, P. E. (2003).  A history of modern computing.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Laudon, K. C., y Laudon, J. P. (2024).  Sistemas de información gerencial.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Norton, P. (2006).  Introducción a la computación.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Stallings, W. (2006).  Organización y arquitectura de computadores.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Tanenbaum, A. S. (2000).  Organización de computadoras.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SENA (s.f.).  Tecnología en Análisis y Desarrollo de Software (ADSO)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