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302B49" w:rsidRDefault="00302B49">
      <w:pPr>
        <w:spacing w:line="480" w:lineRule="auto"/>
      </w:pPr>
    </w:p>
    <w:p w:rsidR="00302B49" w:rsidRDefault="00302B49">
      <w:pPr>
        <w:spacing w:line="480" w:lineRule="auto"/>
      </w:pPr>
    </w:p>
    <w:p w:rsidR="00302B49" w:rsidRDefault="00302B49">
      <w:pPr>
        <w:spacing w:line="480" w:lineRule="auto"/>
      </w:pPr>
    </w:p>
    <w:p w:rsidR="00302B49" w:rsidRDefault="00ED5C98" w:rsidP="00A56D82">
      <w:pPr>
        <w:spacing w:line="720" w:lineRule="auto"/>
        <w:jc w:val="center"/>
        <w:rPr>
          <w:b/>
          <w:bCs/>
          <w:sz w:val="40"/>
          <w:szCs w:val="40"/>
        </w:rPr>
      </w:pPr>
      <w:proofErr w:type="spellStart"/>
      <w:r w:rsidRPr="00A56D82">
        <w:rPr>
          <w:b/>
          <w:bCs/>
          <w:sz w:val="40"/>
          <w:szCs w:val="40"/>
        </w:rPr>
        <w:t>AuthentiBank</w:t>
      </w:r>
      <w:proofErr w:type="spellEnd"/>
    </w:p>
    <w:p w:rsidR="00A56D82" w:rsidRDefault="00A56D82" w:rsidP="00A56D82">
      <w:pPr>
        <w:spacing w:line="720" w:lineRule="auto"/>
        <w:jc w:val="center"/>
      </w:pPr>
    </w:p>
    <w:p w:rsidR="00302B49" w:rsidRDefault="00302B49">
      <w:pPr>
        <w:spacing w:line="480" w:lineRule="auto"/>
      </w:pPr>
    </w:p>
    <w:p w:rsidR="00302B49" w:rsidRDefault="00ED5C98">
      <w:pPr>
        <w:spacing w:line="480" w:lineRule="auto"/>
        <w:jc w:val="center"/>
      </w:pPr>
      <w:r>
        <w:t>Julián Mateo Tovar Rojas, Sebastián Torres Ochoa y Kevin Santiago Carreño Giraldo</w:t>
      </w:r>
    </w:p>
    <w:p w:rsidR="00A56D82" w:rsidRDefault="00A56D82">
      <w:pPr>
        <w:spacing w:line="480" w:lineRule="auto"/>
        <w:jc w:val="center"/>
      </w:pPr>
    </w:p>
    <w:p w:rsidR="00A56D82" w:rsidRDefault="00A56D82">
      <w:pPr>
        <w:spacing w:line="480" w:lineRule="auto"/>
        <w:jc w:val="center"/>
      </w:pPr>
    </w:p>
    <w:p w:rsidR="00302B49" w:rsidRDefault="00ED5C98">
      <w:pPr>
        <w:spacing w:line="480" w:lineRule="auto"/>
        <w:jc w:val="center"/>
      </w:pPr>
      <w:r>
        <w:t>Corporación Unificada Nacional de Educación Superior (CUN)</w:t>
      </w:r>
    </w:p>
    <w:p w:rsidR="00A56D82" w:rsidRDefault="00A56D82">
      <w:pPr>
        <w:spacing w:line="480" w:lineRule="auto"/>
        <w:jc w:val="center"/>
      </w:pPr>
    </w:p>
    <w:p w:rsidR="00A56D82" w:rsidRDefault="00A56D82">
      <w:pPr>
        <w:spacing w:line="480" w:lineRule="auto"/>
        <w:jc w:val="center"/>
      </w:pPr>
    </w:p>
    <w:p w:rsidR="00302B49" w:rsidRDefault="00ED5C98">
      <w:pPr>
        <w:spacing w:line="480" w:lineRule="auto"/>
        <w:jc w:val="center"/>
      </w:pPr>
      <w:r>
        <w:t>Programación Orientada a Objetos</w:t>
      </w:r>
    </w:p>
    <w:p w:rsidR="00A56D82" w:rsidRDefault="00A56D82">
      <w:pPr>
        <w:spacing w:line="480" w:lineRule="auto"/>
        <w:jc w:val="center"/>
      </w:pPr>
    </w:p>
    <w:p w:rsidR="00302B49" w:rsidRDefault="00A56D82">
      <w:pPr>
        <w:spacing w:line="480" w:lineRule="auto"/>
        <w:jc w:val="center"/>
      </w:pPr>
      <w:proofErr w:type="spellStart"/>
      <w:r>
        <w:t>Victor</w:t>
      </w:r>
      <w:proofErr w:type="spellEnd"/>
      <w:r>
        <w:t xml:space="preserve"> Manuel Castro </w:t>
      </w:r>
    </w:p>
    <w:p w:rsidR="00A56D82" w:rsidRDefault="00A56D82">
      <w:pPr>
        <w:spacing w:line="480" w:lineRule="auto"/>
        <w:jc w:val="center"/>
      </w:pPr>
    </w:p>
    <w:p w:rsidR="00A56D82" w:rsidRDefault="00A56D82">
      <w:pPr>
        <w:spacing w:line="480" w:lineRule="auto"/>
        <w:jc w:val="center"/>
      </w:pPr>
    </w:p>
    <w:p w:rsidR="00302B49" w:rsidRDefault="00A56D82">
      <w:pPr>
        <w:spacing w:line="480" w:lineRule="auto"/>
        <w:jc w:val="center"/>
      </w:pPr>
      <w:r>
        <w:t>19 de octubre de 2026</w:t>
      </w:r>
    </w:p>
    <w:p w:rsidR="00A56D82" w:rsidRDefault="00A56D82">
      <w:pPr>
        <w:spacing w:line="480" w:lineRule="auto"/>
        <w:jc w:val="center"/>
      </w:pPr>
    </w:p>
    <w:p w:rsidR="00A56D82" w:rsidRDefault="00A56D82">
      <w:pPr>
        <w:spacing w:line="480" w:lineRule="auto"/>
        <w:jc w:val="center"/>
      </w:pPr>
      <w:r>
        <w:t>Bogotá D.C.</w:t>
      </w:r>
    </w:p>
    <w:p w:rsidR="00302B49" w:rsidRDefault="00ED5C98">
      <w:pPr>
        <w:pageBreakBefore/>
        <w:spacing w:line="480" w:lineRule="auto"/>
        <w:jc w:val="center"/>
      </w:pPr>
      <w:proofErr w:type="spellStart"/>
      <w:r>
        <w:rPr>
          <w:b/>
          <w:bCs/>
        </w:rPr>
        <w:lastRenderedPageBreak/>
        <w:t>AuthentiBank</w:t>
      </w:r>
      <w:proofErr w:type="spellEnd"/>
      <w:r>
        <w:rPr>
          <w:b/>
          <w:bCs/>
        </w:rPr>
        <w:t>: caje</w:t>
      </w:r>
      <w:r>
        <w:rPr>
          <w:b/>
          <w:bCs/>
        </w:rPr>
        <w:t>ro automático con autenticación de doble factor (RFID y PIN) y Programación Orientada a Objetos en Java</w:t>
      </w:r>
    </w:p>
    <w:p w:rsidR="00302B49" w:rsidRDefault="00ED5C98">
      <w:pPr>
        <w:spacing w:line="480" w:lineRule="auto"/>
        <w:ind w:firstLine="720"/>
      </w:pPr>
      <w:r>
        <w:t>Los cajeros automáticos reúnen dos necesidades que rara vez se trabajan juntas en un entorno académico: la interacción con un dispositivo físico que ide</w:t>
      </w:r>
      <w:r>
        <w:t xml:space="preserve">ntifica al cliente y un conjunto de reglas de negocio que protege el dinero de las cuentas. </w:t>
      </w:r>
      <w:proofErr w:type="spellStart"/>
      <w:r>
        <w:t>AuthentiBank</w:t>
      </w:r>
      <w:proofErr w:type="spellEnd"/>
      <w:r>
        <w:t xml:space="preserve"> es un proyecto de la asignatura Programación Orientada a Objetos que aborda ambas necesidades mediante un cajero automático con autenticación de doble </w:t>
      </w:r>
      <w:r>
        <w:t>factor: una tarjeta o llavero RFID como primer factor y un PIN como segundo factor.</w:t>
      </w:r>
    </w:p>
    <w:p w:rsidR="00302B49" w:rsidRDefault="00ED5C98">
      <w:pPr>
        <w:spacing w:line="480" w:lineRule="auto"/>
        <w:ind w:firstLine="720"/>
      </w:pPr>
      <w:r>
        <w:t>El diseño original contemplaba un prototipo físico basado en un lector MFRC522 conectado a una placa Arduino, que enviaría el identificador único (UID) de la tarjeta a un p</w:t>
      </w:r>
      <w:r>
        <w:t>rograma en Java por comunicación serial. Por razones de costos y tiempo, ese prototipo físico no pudo construirse. En su lugar, el equipo desarrolló una aplicación web interactiva que replica la lógica del diseño en Java y simula el lector RFID, de modo qu</w:t>
      </w:r>
      <w:r>
        <w:t>e todo el flujo de autenticación y las operaciones bancarias pueden demostrarse y probarse sin hardware.</w:t>
      </w:r>
    </w:p>
    <w:p w:rsidR="00302B49" w:rsidRDefault="00ED5C98">
      <w:pPr>
        <w:spacing w:line="480" w:lineRule="auto"/>
        <w:ind w:firstLine="720"/>
      </w:pPr>
      <w:r>
        <w:t>Este documento describe el problema que motivó el proyecto, sus objetivos, los fundamentos teóricos, el diseño y la implementación de la aplicación, la</w:t>
      </w:r>
      <w:r>
        <w:t>s pruebas realizadas, y las conclusiones y recomendaciones para la siguiente etapa.</w:t>
      </w:r>
    </w:p>
    <w:p w:rsidR="00302B49" w:rsidRDefault="00ED5C98">
      <w:pPr>
        <w:pStyle w:val="Ttulo1"/>
      </w:pPr>
      <w:r>
        <w:t>Planteamiento del problema</w:t>
      </w:r>
    </w:p>
    <w:p w:rsidR="00302B49" w:rsidRDefault="00ED5C98">
      <w:pPr>
        <w:spacing w:line="480" w:lineRule="auto"/>
        <w:ind w:firstLine="720"/>
      </w:pPr>
      <w:r>
        <w:t>Los simuladores académicos de cajeros automáticos suelen limitarse a un usuario y una contraseña en pantalla, lo que deja por fuera la identifica</w:t>
      </w:r>
      <w:r>
        <w:t>ción física del cliente y reduce la experiencia a un formulario. Además, cuando el código no incorpora controles rigurosos pueden aparecer operaciones no autorizadas, saldos negativos o sobregiros que el sistema nunca debió permitir.</w:t>
      </w:r>
    </w:p>
    <w:p w:rsidR="00302B49" w:rsidRDefault="00ED5C98">
      <w:pPr>
        <w:spacing w:line="480" w:lineRule="auto"/>
        <w:ind w:firstLine="720"/>
      </w:pPr>
      <w:r>
        <w:t>La necesidad que atien</w:t>
      </w:r>
      <w:r>
        <w:t xml:space="preserve">de </w:t>
      </w:r>
      <w:proofErr w:type="spellStart"/>
      <w:r>
        <w:t>AuthentiBank</w:t>
      </w:r>
      <w:proofErr w:type="spellEnd"/>
      <w:r>
        <w:t xml:space="preserve"> es, por tanto, doble: acercar la experiencia académica a un sistema real, en el que la tarjeta participa en la identificación del usuario, y garantizar mediante Programación Orientada a Objetos (POO) que las reglas bancarias y la seguridad </w:t>
      </w:r>
      <w:r>
        <w:t>de las transacciones se cumplan siempre.</w:t>
      </w:r>
    </w:p>
    <w:p w:rsidR="00302B49" w:rsidRDefault="00ED5C98">
      <w:pPr>
        <w:pStyle w:val="Ttulo1"/>
      </w:pPr>
      <w:r>
        <w:t>Objetivos</w:t>
      </w:r>
    </w:p>
    <w:p w:rsidR="00302B49" w:rsidRDefault="00ED5C98">
      <w:pPr>
        <w:pStyle w:val="Ttulo2"/>
      </w:pPr>
      <w:r>
        <w:t>Objetivo general</w:t>
      </w:r>
    </w:p>
    <w:p w:rsidR="00302B49" w:rsidRDefault="00ED5C98">
      <w:pPr>
        <w:spacing w:line="480" w:lineRule="auto"/>
        <w:ind w:firstLine="720"/>
      </w:pPr>
      <w:r>
        <w:t>Desarrollar un prototipo de cajero automático que integre autenticación RFID de doble factor con lógica de negocio en Java, aplicando Programación Orientada a Objetos y garantizando la seg</w:t>
      </w:r>
      <w:r>
        <w:t>uridad e integridad de las transacciones.</w:t>
      </w:r>
    </w:p>
    <w:p w:rsidR="00302B49" w:rsidRDefault="00ED5C98">
      <w:pPr>
        <w:pStyle w:val="Ttulo2"/>
      </w:pPr>
      <w:r>
        <w:t>Objetivos específicos</w:t>
      </w:r>
    </w:p>
    <w:p w:rsidR="00302B49" w:rsidRDefault="00ED5C98">
      <w:pPr>
        <w:pStyle w:val="Prrafodelista"/>
        <w:numPr>
          <w:ilvl w:val="0"/>
          <w:numId w:val="2"/>
        </w:numPr>
        <w:spacing w:line="480" w:lineRule="auto"/>
      </w:pPr>
      <w:r>
        <w:t>Autenticar al usuario con la tarjeta RFID (UID) como primer factor y el PIN como segundo factor.</w:t>
      </w:r>
    </w:p>
    <w:p w:rsidR="00302B49" w:rsidRDefault="00ED5C98">
      <w:pPr>
        <w:pStyle w:val="Prrafodelista"/>
        <w:numPr>
          <w:ilvl w:val="0"/>
          <w:numId w:val="2"/>
        </w:numPr>
        <w:spacing w:line="480" w:lineRule="auto"/>
      </w:pPr>
      <w:r>
        <w:t>Controlar las operaciones mediante reglas bancarias propias de cada tipo de cuenta, ahorros y c</w:t>
      </w:r>
      <w:r>
        <w:t>orriente.</w:t>
      </w:r>
    </w:p>
    <w:p w:rsidR="00302B49" w:rsidRDefault="00ED5C98">
      <w:pPr>
        <w:pStyle w:val="Prrafodelista"/>
        <w:numPr>
          <w:ilvl w:val="0"/>
          <w:numId w:val="2"/>
        </w:numPr>
        <w:spacing w:line="480" w:lineRule="auto"/>
      </w:pPr>
      <w:r>
        <w:t>Proteger la integridad de las transacciones mediante encapsulamiento, excepciones y el bloqueo de la cuenta tras tres intentos fallidos de PIN.</w:t>
      </w:r>
    </w:p>
    <w:p w:rsidR="00302B49" w:rsidRDefault="00ED5C98">
      <w:pPr>
        <w:pStyle w:val="Ttulo1"/>
      </w:pPr>
      <w:r>
        <w:t>Marco teórico</w:t>
      </w:r>
    </w:p>
    <w:p w:rsidR="00302B49" w:rsidRDefault="00ED5C98">
      <w:pPr>
        <w:pStyle w:val="Ttulo2"/>
      </w:pPr>
      <w:r>
        <w:t>Identificación por radiofrecuencia (RFID)</w:t>
      </w:r>
    </w:p>
    <w:p w:rsidR="00302B49" w:rsidRDefault="00ED5C98">
      <w:pPr>
        <w:spacing w:line="480" w:lineRule="auto"/>
        <w:ind w:firstLine="720"/>
      </w:pPr>
      <w:r>
        <w:t>La identificación por radiofrecuencia permite reconocer una tarjeta o un llavero mediante un lector que se comunica con ella sin contacto. En este proyecto el elemento clave es el UID, el identificador único que el lector obtiene de la tarjeta y que el sis</w:t>
      </w:r>
      <w:r>
        <w:t>tema consulta para saber a qué usuario corresponde. El circuito integrado MFRC522, previsto para el prototipo físico, es un lector y escritor para comunicación sin contacto a 13,56 MHz, compatible con ISO/IEC 14443 A/MIFARE, con una distancia típica de ope</w:t>
      </w:r>
      <w:r>
        <w:t xml:space="preserve">ración de hasta 50 mm y con interfaces de conexión al microcontrolador como SPI, I²C y UART serial (NXP </w:t>
      </w:r>
      <w:proofErr w:type="spellStart"/>
      <w:r>
        <w:t>Semiconductors</w:t>
      </w:r>
      <w:proofErr w:type="spellEnd"/>
      <w:r>
        <w:t>, 2016).</w:t>
      </w:r>
    </w:p>
    <w:p w:rsidR="00302B49" w:rsidRDefault="00ED5C98">
      <w:pPr>
        <w:spacing w:line="480" w:lineRule="auto"/>
        <w:ind w:firstLine="720"/>
      </w:pPr>
      <w:r>
        <w:t xml:space="preserve">Como el UID por sí solo no debe considerarse un secreto, un sistema que dependa únicamente de la tarjeta sería débil. Por eso se </w:t>
      </w:r>
      <w:r>
        <w:t>exige además un segundo factor.</w:t>
      </w:r>
    </w:p>
    <w:p w:rsidR="00302B49" w:rsidRDefault="00ED5C98">
      <w:pPr>
        <w:pStyle w:val="Ttulo2"/>
      </w:pPr>
      <w:r>
        <w:t>Autenticación de doble factor</w:t>
      </w:r>
    </w:p>
    <w:p w:rsidR="00302B49" w:rsidRDefault="00ED5C98">
      <w:pPr>
        <w:spacing w:line="480" w:lineRule="auto"/>
        <w:ind w:firstLine="720"/>
      </w:pPr>
      <w:r>
        <w:t xml:space="preserve">Autenticar consiste en comprobar que quien intenta acceder es quien dice ser. Las guías de identidad digital del Instituto Nacional de Estándares y Tecnología de Estados Unidos (NIST) tratan la </w:t>
      </w:r>
      <w:r>
        <w:t xml:space="preserve">autenticación </w:t>
      </w:r>
      <w:proofErr w:type="spellStart"/>
      <w:r>
        <w:t>multifactor</w:t>
      </w:r>
      <w:proofErr w:type="spellEnd"/>
      <w:r>
        <w:t xml:space="preserve"> como aquella que combina factores de distinto tipo (</w:t>
      </w:r>
      <w:proofErr w:type="spellStart"/>
      <w:r>
        <w:t>Temoshok</w:t>
      </w:r>
      <w:proofErr w:type="spellEnd"/>
      <w:r>
        <w:t xml:space="preserve"> et al., 2025). En </w:t>
      </w:r>
      <w:proofErr w:type="spellStart"/>
      <w:r>
        <w:t>AuthentiBank</w:t>
      </w:r>
      <w:proofErr w:type="spellEnd"/>
      <w:r>
        <w:t xml:space="preserve"> la tarjeta RFID es el factor de posesión, algo que el usuario tiene, y el PIN es el factor de conocimiento, algo que el usuario sabe.</w:t>
      </w:r>
    </w:p>
    <w:p w:rsidR="00302B49" w:rsidRDefault="00ED5C98">
      <w:pPr>
        <w:pStyle w:val="Ttulo2"/>
      </w:pPr>
      <w:r>
        <w:t>Prog</w:t>
      </w:r>
      <w:r>
        <w:t>ramación Orientada a Objetos</w:t>
      </w:r>
    </w:p>
    <w:p w:rsidR="00302B49" w:rsidRDefault="00ED5C98">
      <w:pPr>
        <w:spacing w:line="480" w:lineRule="auto"/>
        <w:ind w:firstLine="720"/>
      </w:pPr>
      <w:r>
        <w:t xml:space="preserve">La POO organiza un programa en objetos que combinan datos y comportamiento (Oracle, s. f.). Cuatro ideas sostienen el diseño de </w:t>
      </w:r>
      <w:proofErr w:type="spellStart"/>
      <w:r>
        <w:t>AuthentiBank</w:t>
      </w:r>
      <w:proofErr w:type="spellEnd"/>
      <w:r>
        <w:t xml:space="preserve">. El </w:t>
      </w:r>
      <w:r>
        <w:rPr>
          <w:i/>
          <w:iCs/>
        </w:rPr>
        <w:t>encapsulamiento</w:t>
      </w:r>
      <w:r>
        <w:t xml:space="preserve"> oculta el estado interno de un objeto y solo permite modificarlo m</w:t>
      </w:r>
      <w:r>
        <w:t xml:space="preserve">ediante métodos controlados; en el proyecto, el saldo y el PIN no son accesibles directamente. La </w:t>
      </w:r>
      <w:r>
        <w:rPr>
          <w:i/>
          <w:iCs/>
        </w:rPr>
        <w:t>herencia</w:t>
      </w:r>
      <w:r>
        <w:t xml:space="preserve"> permite que una clase reutilice y especialice a otra: </w:t>
      </w:r>
      <w:proofErr w:type="spellStart"/>
      <w:r>
        <w:rPr>
          <w:rFonts w:ascii="Courier New" w:eastAsia="Courier New" w:hAnsi="Courier New" w:cs="Courier New"/>
          <w:sz w:val="22"/>
          <w:szCs w:val="22"/>
        </w:rPr>
        <w:t>CuentaAhorros</w:t>
      </w:r>
      <w:proofErr w:type="spellEnd"/>
      <w:r>
        <w:t xml:space="preserve"> y </w:t>
      </w:r>
      <w:proofErr w:type="spellStart"/>
      <w:r>
        <w:rPr>
          <w:rFonts w:ascii="Courier New" w:eastAsia="Courier New" w:hAnsi="Courier New" w:cs="Courier New"/>
          <w:sz w:val="22"/>
          <w:szCs w:val="22"/>
        </w:rPr>
        <w:t>CuentaCorriente</w:t>
      </w:r>
      <w:proofErr w:type="spellEnd"/>
      <w:r>
        <w:t xml:space="preserve"> heredan de </w:t>
      </w:r>
      <w:r>
        <w:rPr>
          <w:rFonts w:ascii="Courier New" w:eastAsia="Courier New" w:hAnsi="Courier New" w:cs="Courier New"/>
          <w:sz w:val="22"/>
          <w:szCs w:val="22"/>
        </w:rPr>
        <w:t>Cuenta</w:t>
      </w:r>
      <w:r>
        <w:t xml:space="preserve">. El </w:t>
      </w:r>
      <w:r>
        <w:rPr>
          <w:i/>
          <w:iCs/>
        </w:rPr>
        <w:t>polimorfismo</w:t>
      </w:r>
      <w:r>
        <w:t xml:space="preserve"> hace que una misma operación</w:t>
      </w:r>
      <w:r>
        <w:t xml:space="preserve"> se comporte de forma distinta según el objeto que la recibe: cada tipo de cuenta aplica su propia regla de retiro. Por último, las </w:t>
      </w:r>
      <w:r>
        <w:rPr>
          <w:i/>
          <w:iCs/>
        </w:rPr>
        <w:t>excepciones</w:t>
      </w:r>
      <w:r>
        <w:t xml:space="preserve"> separan el flujo normal del tratamiento de errores y permiten expresar las reglas de negocio como condiciones qu</w:t>
      </w:r>
      <w:r>
        <w:t>e se señalan y se atienden de forma explícita (Bloch, 2018; Oracle, s. f.).</w:t>
      </w:r>
    </w:p>
    <w:p w:rsidR="00302B49" w:rsidRDefault="00ED5C98">
      <w:pPr>
        <w:pStyle w:val="Ttulo1"/>
      </w:pPr>
      <w:r>
        <w:t>Metodología y desarrollo</w:t>
      </w:r>
    </w:p>
    <w:p w:rsidR="00302B49" w:rsidRDefault="00ED5C98">
      <w:pPr>
        <w:pStyle w:val="Ttulo2"/>
      </w:pPr>
      <w:r>
        <w:t>Alcance y adaptación del prototipo</w:t>
      </w:r>
    </w:p>
    <w:p w:rsidR="00302B49" w:rsidRDefault="00ED5C98">
      <w:pPr>
        <w:spacing w:line="480" w:lineRule="auto"/>
        <w:ind w:firstLine="720"/>
      </w:pPr>
      <w:r>
        <w:t>Dado que el prototipo físico no pudo construirse por costos y tiempo, el sistema se implementó como una aplicación web d</w:t>
      </w:r>
      <w:r>
        <w:t xml:space="preserve">e un solo archivo, escrita en HTML, CSS y JavaScript. La lógica de negocio se programó con clases equivalentes a las del diseño en Java, de modo que el diseño orientado a objetos se conserva. El lector RFID se representa con la clase </w:t>
      </w:r>
      <w:proofErr w:type="spellStart"/>
      <w:r>
        <w:rPr>
          <w:rFonts w:ascii="Courier New" w:eastAsia="Courier New" w:hAnsi="Courier New" w:cs="Courier New"/>
          <w:sz w:val="22"/>
          <w:szCs w:val="22"/>
        </w:rPr>
        <w:t>LectorSimulado</w:t>
      </w:r>
      <w:proofErr w:type="spellEnd"/>
      <w:r>
        <w:t>, que he</w:t>
      </w:r>
      <w:r>
        <w:t xml:space="preserve">reda de una base común </w:t>
      </w:r>
      <w:proofErr w:type="spellStart"/>
      <w:r>
        <w:rPr>
          <w:rFonts w:ascii="Courier New" w:eastAsia="Courier New" w:hAnsi="Courier New" w:cs="Courier New"/>
          <w:sz w:val="22"/>
          <w:szCs w:val="22"/>
        </w:rPr>
        <w:t>LectorTarjeta</w:t>
      </w:r>
      <w:proofErr w:type="spellEnd"/>
      <w:r>
        <w:t>; esta base permite reemplazar el lector simulado por un lector serial con Arduino sin modificar el resto del programa.</w:t>
      </w:r>
    </w:p>
    <w:p w:rsidR="00302B49" w:rsidRDefault="00ED5C98">
      <w:pPr>
        <w:spacing w:line="480" w:lineRule="auto"/>
        <w:ind w:firstLine="720"/>
      </w:pPr>
      <w:r>
        <w:t>Es importante precisar el alcance: la aplicación demuestra y permite probar la lógica de autenticaci</w:t>
      </w:r>
      <w:r>
        <w:t>ón y las operaciones bancarias, pero no realiza lectura real de tarjetas ni comunicación serial con un microcontrolador. Esos componentes quedan como trabajo pendiente.</w:t>
      </w:r>
    </w:p>
    <w:p w:rsidR="00302B49" w:rsidRDefault="00ED5C98">
      <w:pPr>
        <w:pStyle w:val="Ttulo2"/>
      </w:pPr>
      <w:r>
        <w:t>Arquitectura de clases</w:t>
      </w:r>
    </w:p>
    <w:p w:rsidR="00302B49" w:rsidRDefault="00ED5C98">
      <w:pPr>
        <w:spacing w:line="480" w:lineRule="auto"/>
        <w:ind w:firstLine="720"/>
      </w:pPr>
      <w:r>
        <w:t xml:space="preserve">El sistema se organizó en las clases que muestra la Tabla 1. La </w:t>
      </w:r>
      <w:r>
        <w:t xml:space="preserve">clase </w:t>
      </w:r>
      <w:r>
        <w:rPr>
          <w:rFonts w:ascii="Courier New" w:eastAsia="Courier New" w:hAnsi="Courier New" w:cs="Courier New"/>
          <w:sz w:val="22"/>
          <w:szCs w:val="22"/>
        </w:rPr>
        <w:t>Cuenta</w:t>
      </w:r>
      <w:r>
        <w:t xml:space="preserve"> es abstracta y guarda el número, el saldo y los movimientos en atributos privados; las reglas de retiro se delegan en las subclases.</w:t>
      </w:r>
    </w:p>
    <w:p w:rsidR="00302B49" w:rsidRDefault="00ED5C98">
      <w:pPr>
        <w:keepNext/>
        <w:spacing w:line="480" w:lineRule="auto"/>
      </w:pPr>
      <w:r>
        <w:rPr>
          <w:b/>
          <w:bCs/>
        </w:rPr>
        <w:t>Tabla 1</w:t>
      </w:r>
    </w:p>
    <w:p w:rsidR="00302B49" w:rsidRDefault="00ED5C98">
      <w:pPr>
        <w:keepNext/>
        <w:spacing w:line="480" w:lineRule="auto"/>
      </w:pPr>
      <w:r>
        <w:rPr>
          <w:i/>
          <w:iCs/>
        </w:rPr>
        <w:t xml:space="preserve">Clases principales de </w:t>
      </w:r>
      <w:proofErr w:type="spellStart"/>
      <w:r>
        <w:rPr>
          <w:i/>
          <w:iCs/>
        </w:rPr>
        <w:t>AuthentiBank</w:t>
      </w:r>
      <w:proofErr w:type="spellEnd"/>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500"/>
        <w:gridCol w:w="1900"/>
        <w:gridCol w:w="4960"/>
      </w:tblGrid>
      <w:tr w:rsidR="00302B49">
        <w:tblPrEx>
          <w:tblCellMar>
            <w:top w:w="0" w:type="dxa"/>
            <w:bottom w:w="0" w:type="dxa"/>
          </w:tblCellMar>
        </w:tblPrEx>
        <w:trPr>
          <w:cantSplit/>
          <w:tblHeader/>
        </w:trPr>
        <w:tc>
          <w:tcPr>
            <w:tcW w:w="2500" w:type="dxa"/>
            <w:tcBorders>
              <w:top w:val="single" w:sz="6" w:space="0" w:color="000000"/>
              <w:left w:val="none" w:sz="0" w:space="0" w:color="FFFFFF"/>
              <w:bottom w:val="single" w:sz="6" w:space="0" w:color="000000"/>
              <w:right w:val="none" w:sz="0" w:space="0" w:color="FFFFFF"/>
            </w:tcBorders>
            <w:tcMar>
              <w:top w:w="70" w:type="dxa"/>
              <w:left w:w="100" w:type="dxa"/>
              <w:bottom w:w="70" w:type="dxa"/>
              <w:right w:w="100" w:type="dxa"/>
            </w:tcMar>
          </w:tcPr>
          <w:p w:rsidR="00302B49" w:rsidRDefault="00ED5C98">
            <w:pPr>
              <w:keepNext/>
            </w:pPr>
            <w:r>
              <w:rPr>
                <w:b/>
                <w:bCs/>
                <w:sz w:val="22"/>
                <w:szCs w:val="22"/>
              </w:rPr>
              <w:t>Clase</w:t>
            </w:r>
          </w:p>
        </w:tc>
        <w:tc>
          <w:tcPr>
            <w:tcW w:w="1900" w:type="dxa"/>
            <w:tcBorders>
              <w:top w:val="single" w:sz="6" w:space="0" w:color="000000"/>
              <w:left w:val="none" w:sz="0" w:space="0" w:color="FFFFFF"/>
              <w:bottom w:val="single" w:sz="6" w:space="0" w:color="000000"/>
              <w:right w:val="none" w:sz="0" w:space="0" w:color="FFFFFF"/>
            </w:tcBorders>
            <w:tcMar>
              <w:top w:w="70" w:type="dxa"/>
              <w:left w:w="100" w:type="dxa"/>
              <w:bottom w:w="70" w:type="dxa"/>
              <w:right w:w="100" w:type="dxa"/>
            </w:tcMar>
          </w:tcPr>
          <w:p w:rsidR="00302B49" w:rsidRDefault="00ED5C98">
            <w:pPr>
              <w:keepNext/>
            </w:pPr>
            <w:r>
              <w:rPr>
                <w:b/>
                <w:bCs/>
                <w:sz w:val="22"/>
                <w:szCs w:val="22"/>
              </w:rPr>
              <w:t>Rol</w:t>
            </w:r>
          </w:p>
        </w:tc>
        <w:tc>
          <w:tcPr>
            <w:tcW w:w="4960" w:type="dxa"/>
            <w:tcBorders>
              <w:top w:val="single" w:sz="6" w:space="0" w:color="000000"/>
              <w:left w:val="none" w:sz="0" w:space="0" w:color="FFFFFF"/>
              <w:bottom w:val="single" w:sz="6" w:space="0" w:color="000000"/>
              <w:right w:val="none" w:sz="0" w:space="0" w:color="FFFFFF"/>
            </w:tcBorders>
            <w:tcMar>
              <w:top w:w="70" w:type="dxa"/>
              <w:left w:w="100" w:type="dxa"/>
              <w:bottom w:w="70" w:type="dxa"/>
              <w:right w:w="100" w:type="dxa"/>
            </w:tcMar>
          </w:tcPr>
          <w:p w:rsidR="00302B49" w:rsidRDefault="00ED5C98">
            <w:pPr>
              <w:keepNext/>
            </w:pPr>
            <w:r>
              <w:rPr>
                <w:b/>
                <w:bCs/>
                <w:sz w:val="22"/>
                <w:szCs w:val="22"/>
              </w:rPr>
              <w:t>Responsabilidad</w:t>
            </w:r>
          </w:p>
        </w:tc>
      </w:tr>
      <w:tr w:rsidR="00302B49">
        <w:tblPrEx>
          <w:tblCellMar>
            <w:top w:w="0" w:type="dxa"/>
            <w:bottom w:w="0" w:type="dxa"/>
          </w:tblCellMar>
        </w:tblPrEx>
        <w:trPr>
          <w:cantSplit/>
        </w:trPr>
        <w:tc>
          <w:tcPr>
            <w:tcW w:w="25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r>
              <w:rPr>
                <w:rFonts w:ascii="Courier New" w:eastAsia="Courier New" w:hAnsi="Courier New" w:cs="Courier New"/>
                <w:sz w:val="20"/>
                <w:szCs w:val="20"/>
              </w:rPr>
              <w:t>Cuenta</w:t>
            </w:r>
          </w:p>
        </w:tc>
        <w:tc>
          <w:tcPr>
            <w:tcW w:w="19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r>
              <w:rPr>
                <w:sz w:val="22"/>
                <w:szCs w:val="22"/>
              </w:rPr>
              <w:t>Clase abstracta</w:t>
            </w:r>
          </w:p>
        </w:tc>
        <w:tc>
          <w:tcPr>
            <w:tcW w:w="49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r>
              <w:rPr>
                <w:sz w:val="22"/>
                <w:szCs w:val="22"/>
              </w:rPr>
              <w:t>Mantiene número, saldo y movimientos encapsulados; define depositar, retirar y el método abstracto de validación de fondos.</w:t>
            </w:r>
          </w:p>
        </w:tc>
      </w:tr>
      <w:tr w:rsidR="00302B49">
        <w:tblPrEx>
          <w:tblCellMar>
            <w:top w:w="0" w:type="dxa"/>
            <w:bottom w:w="0" w:type="dxa"/>
          </w:tblCellMar>
        </w:tblPrEx>
        <w:trPr>
          <w:cantSplit/>
        </w:trPr>
        <w:tc>
          <w:tcPr>
            <w:tcW w:w="25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proofErr w:type="spellStart"/>
            <w:r>
              <w:rPr>
                <w:rFonts w:ascii="Courier New" w:eastAsia="Courier New" w:hAnsi="Courier New" w:cs="Courier New"/>
                <w:sz w:val="20"/>
                <w:szCs w:val="20"/>
              </w:rPr>
              <w:t>CuentaAhorros</w:t>
            </w:r>
            <w:proofErr w:type="spellEnd"/>
          </w:p>
        </w:tc>
        <w:tc>
          <w:tcPr>
            <w:tcW w:w="19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r>
              <w:rPr>
                <w:sz w:val="22"/>
                <w:szCs w:val="22"/>
              </w:rPr>
              <w:t xml:space="preserve">Subclase de </w:t>
            </w:r>
            <w:r>
              <w:rPr>
                <w:rFonts w:ascii="Courier New" w:eastAsia="Courier New" w:hAnsi="Courier New" w:cs="Courier New"/>
                <w:sz w:val="20"/>
                <w:szCs w:val="20"/>
              </w:rPr>
              <w:t>Cuenta</w:t>
            </w:r>
          </w:p>
        </w:tc>
        <w:tc>
          <w:tcPr>
            <w:tcW w:w="49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r>
              <w:rPr>
                <w:sz w:val="22"/>
                <w:szCs w:val="22"/>
              </w:rPr>
              <w:t>No permite saldo negativo; rechaza retiros superiores al saldo.</w:t>
            </w:r>
          </w:p>
        </w:tc>
      </w:tr>
      <w:tr w:rsidR="00302B49">
        <w:tblPrEx>
          <w:tblCellMar>
            <w:top w:w="0" w:type="dxa"/>
            <w:bottom w:w="0" w:type="dxa"/>
          </w:tblCellMar>
        </w:tblPrEx>
        <w:trPr>
          <w:cantSplit/>
        </w:trPr>
        <w:tc>
          <w:tcPr>
            <w:tcW w:w="25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proofErr w:type="spellStart"/>
            <w:r>
              <w:rPr>
                <w:rFonts w:ascii="Courier New" w:eastAsia="Courier New" w:hAnsi="Courier New" w:cs="Courier New"/>
                <w:sz w:val="20"/>
                <w:szCs w:val="20"/>
              </w:rPr>
              <w:t>CuentaCorriente</w:t>
            </w:r>
            <w:proofErr w:type="spellEnd"/>
          </w:p>
        </w:tc>
        <w:tc>
          <w:tcPr>
            <w:tcW w:w="19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r>
              <w:rPr>
                <w:sz w:val="22"/>
                <w:szCs w:val="22"/>
              </w:rPr>
              <w:t xml:space="preserve">Subclase de </w:t>
            </w:r>
            <w:r>
              <w:rPr>
                <w:rFonts w:ascii="Courier New" w:eastAsia="Courier New" w:hAnsi="Courier New" w:cs="Courier New"/>
                <w:sz w:val="20"/>
                <w:szCs w:val="20"/>
              </w:rPr>
              <w:t>Cuenta</w:t>
            </w:r>
          </w:p>
        </w:tc>
        <w:tc>
          <w:tcPr>
            <w:tcW w:w="49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r>
              <w:rPr>
                <w:sz w:val="22"/>
                <w:szCs w:val="22"/>
              </w:rPr>
              <w:t>Permite sobregiro hasta un cupo fijo; los fondos disponibles son el saldo más el cupo.</w:t>
            </w:r>
          </w:p>
        </w:tc>
      </w:tr>
      <w:tr w:rsidR="00302B49">
        <w:tblPrEx>
          <w:tblCellMar>
            <w:top w:w="0" w:type="dxa"/>
            <w:bottom w:w="0" w:type="dxa"/>
          </w:tblCellMar>
        </w:tblPrEx>
        <w:trPr>
          <w:cantSplit/>
        </w:trPr>
        <w:tc>
          <w:tcPr>
            <w:tcW w:w="25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r>
              <w:rPr>
                <w:rFonts w:ascii="Courier New" w:eastAsia="Courier New" w:hAnsi="Courier New" w:cs="Courier New"/>
                <w:sz w:val="20"/>
                <w:szCs w:val="20"/>
              </w:rPr>
              <w:t>Usuario</w:t>
            </w:r>
          </w:p>
        </w:tc>
        <w:tc>
          <w:tcPr>
            <w:tcW w:w="19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r>
              <w:rPr>
                <w:sz w:val="22"/>
                <w:szCs w:val="22"/>
              </w:rPr>
              <w:t>Titular</w:t>
            </w:r>
          </w:p>
        </w:tc>
        <w:tc>
          <w:tcPr>
            <w:tcW w:w="49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r>
              <w:rPr>
                <w:sz w:val="22"/>
                <w:szCs w:val="22"/>
              </w:rPr>
              <w:t>Guarda nombre, PIN y cuenta; verifica el PIN, cuenta</w:t>
            </w:r>
            <w:r>
              <w:rPr>
                <w:sz w:val="22"/>
                <w:szCs w:val="22"/>
              </w:rPr>
              <w:t xml:space="preserve"> los intentos fallidos (máximo tres), bloquea la cuenta y permite cambiar el PIN.</w:t>
            </w:r>
          </w:p>
        </w:tc>
      </w:tr>
      <w:tr w:rsidR="00302B49">
        <w:tblPrEx>
          <w:tblCellMar>
            <w:top w:w="0" w:type="dxa"/>
            <w:bottom w:w="0" w:type="dxa"/>
          </w:tblCellMar>
        </w:tblPrEx>
        <w:trPr>
          <w:cantSplit/>
        </w:trPr>
        <w:tc>
          <w:tcPr>
            <w:tcW w:w="25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proofErr w:type="spellStart"/>
            <w:r>
              <w:rPr>
                <w:rFonts w:ascii="Courier New" w:eastAsia="Courier New" w:hAnsi="Courier New" w:cs="Courier New"/>
                <w:sz w:val="20"/>
                <w:szCs w:val="20"/>
              </w:rPr>
              <w:t>Transaccion</w:t>
            </w:r>
            <w:proofErr w:type="spellEnd"/>
          </w:p>
        </w:tc>
        <w:tc>
          <w:tcPr>
            <w:tcW w:w="19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r>
              <w:rPr>
                <w:sz w:val="22"/>
                <w:szCs w:val="22"/>
              </w:rPr>
              <w:t>Registro</w:t>
            </w:r>
          </w:p>
        </w:tc>
        <w:tc>
          <w:tcPr>
            <w:tcW w:w="49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r>
              <w:rPr>
                <w:sz w:val="22"/>
                <w:szCs w:val="22"/>
              </w:rPr>
              <w:t>Almacena tipo, monto, saldo resultante y fecha de cada movimiento.</w:t>
            </w:r>
          </w:p>
        </w:tc>
      </w:tr>
      <w:tr w:rsidR="00302B49">
        <w:tblPrEx>
          <w:tblCellMar>
            <w:top w:w="0" w:type="dxa"/>
            <w:bottom w:w="0" w:type="dxa"/>
          </w:tblCellMar>
        </w:tblPrEx>
        <w:trPr>
          <w:cantSplit/>
        </w:trPr>
        <w:tc>
          <w:tcPr>
            <w:tcW w:w="25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proofErr w:type="spellStart"/>
            <w:r>
              <w:rPr>
                <w:rFonts w:ascii="Courier New" w:eastAsia="Courier New" w:hAnsi="Courier New" w:cs="Courier New"/>
                <w:sz w:val="20"/>
                <w:szCs w:val="20"/>
              </w:rPr>
              <w:t>AutenticadorRFID</w:t>
            </w:r>
            <w:proofErr w:type="spellEnd"/>
          </w:p>
        </w:tc>
        <w:tc>
          <w:tcPr>
            <w:tcW w:w="19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r>
              <w:rPr>
                <w:sz w:val="22"/>
                <w:szCs w:val="22"/>
              </w:rPr>
              <w:t>Servicio</w:t>
            </w:r>
          </w:p>
        </w:tc>
        <w:tc>
          <w:tcPr>
            <w:tcW w:w="49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r>
              <w:rPr>
                <w:sz w:val="22"/>
                <w:szCs w:val="22"/>
              </w:rPr>
              <w:t>Asocia cada UID con un usuario; valida la tarjeta (primer factor) y el PIN (segundo factor).</w:t>
            </w:r>
          </w:p>
        </w:tc>
      </w:tr>
      <w:tr w:rsidR="00302B49">
        <w:tblPrEx>
          <w:tblCellMar>
            <w:top w:w="0" w:type="dxa"/>
            <w:bottom w:w="0" w:type="dxa"/>
          </w:tblCellMar>
        </w:tblPrEx>
        <w:trPr>
          <w:cantSplit/>
        </w:trPr>
        <w:tc>
          <w:tcPr>
            <w:tcW w:w="25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proofErr w:type="spellStart"/>
            <w:r>
              <w:rPr>
                <w:rFonts w:ascii="Courier New" w:eastAsia="Courier New" w:hAnsi="Courier New" w:cs="Courier New"/>
                <w:sz w:val="20"/>
                <w:szCs w:val="20"/>
              </w:rPr>
              <w:t>LectorTarjeta</w:t>
            </w:r>
            <w:proofErr w:type="spellEnd"/>
            <w:r>
              <w:rPr>
                <w:sz w:val="22"/>
                <w:szCs w:val="22"/>
              </w:rPr>
              <w:t xml:space="preserve"> y </w:t>
            </w:r>
            <w:proofErr w:type="spellStart"/>
            <w:r>
              <w:rPr>
                <w:rFonts w:ascii="Courier New" w:eastAsia="Courier New" w:hAnsi="Courier New" w:cs="Courier New"/>
                <w:sz w:val="20"/>
                <w:szCs w:val="20"/>
              </w:rPr>
              <w:t>LectorSimulado</w:t>
            </w:r>
            <w:proofErr w:type="spellEnd"/>
          </w:p>
        </w:tc>
        <w:tc>
          <w:tcPr>
            <w:tcW w:w="19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r>
              <w:rPr>
                <w:sz w:val="22"/>
                <w:szCs w:val="22"/>
              </w:rPr>
              <w:t>Lector</w:t>
            </w:r>
          </w:p>
        </w:tc>
        <w:tc>
          <w:tcPr>
            <w:tcW w:w="49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r>
              <w:rPr>
                <w:sz w:val="22"/>
                <w:szCs w:val="22"/>
              </w:rPr>
              <w:t>Base intercambiable que emite el UID cuando se detecta una tarjeta; la versión simulada sustituye al lector físico.</w:t>
            </w:r>
          </w:p>
        </w:tc>
      </w:tr>
      <w:tr w:rsidR="00302B49">
        <w:tblPrEx>
          <w:tblCellMar>
            <w:top w:w="0" w:type="dxa"/>
            <w:bottom w:w="0" w:type="dxa"/>
          </w:tblCellMar>
        </w:tblPrEx>
        <w:trPr>
          <w:cantSplit/>
        </w:trPr>
        <w:tc>
          <w:tcPr>
            <w:tcW w:w="2500" w:type="dxa"/>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302B49" w:rsidRDefault="00ED5C98">
            <w:pPr>
              <w:keepNext/>
            </w:pPr>
            <w:r>
              <w:rPr>
                <w:rFonts w:ascii="Courier New" w:eastAsia="Courier New" w:hAnsi="Courier New" w:cs="Courier New"/>
                <w:sz w:val="20"/>
                <w:szCs w:val="20"/>
              </w:rPr>
              <w:t>Cajero</w:t>
            </w:r>
          </w:p>
        </w:tc>
        <w:tc>
          <w:tcPr>
            <w:tcW w:w="1900" w:type="dxa"/>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302B49" w:rsidRDefault="00ED5C98">
            <w:pPr>
              <w:keepNext/>
            </w:pPr>
            <w:r>
              <w:rPr>
                <w:sz w:val="22"/>
                <w:szCs w:val="22"/>
              </w:rPr>
              <w:t>Reglas del cajero</w:t>
            </w:r>
          </w:p>
        </w:tc>
        <w:tc>
          <w:tcPr>
            <w:tcW w:w="4960" w:type="dxa"/>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302B49" w:rsidRDefault="00ED5C98">
            <w:pPr>
              <w:keepNext/>
            </w:pPr>
            <w:r>
              <w:rPr>
                <w:sz w:val="22"/>
                <w:szCs w:val="22"/>
              </w:rPr>
              <w:t>Valida los montos y exige que los retiros sean múltiplos de $10.000.</w:t>
            </w:r>
          </w:p>
        </w:tc>
      </w:tr>
    </w:tbl>
    <w:p w:rsidR="00302B49" w:rsidRDefault="00ED5C98">
      <w:pPr>
        <w:spacing w:before="80" w:after="360"/>
      </w:pPr>
      <w:r>
        <w:rPr>
          <w:i/>
          <w:iCs/>
          <w:sz w:val="22"/>
          <w:szCs w:val="22"/>
        </w:rPr>
        <w:t>Nota.</w:t>
      </w:r>
      <w:r>
        <w:rPr>
          <w:sz w:val="22"/>
          <w:szCs w:val="22"/>
        </w:rPr>
        <w:t xml:space="preserve"> Elaboración propia a partir del código de la aplicación.</w:t>
      </w:r>
    </w:p>
    <w:p w:rsidR="00302B49" w:rsidRDefault="00ED5C98">
      <w:pPr>
        <w:pStyle w:val="Ttulo2"/>
      </w:pPr>
      <w:r>
        <w:t>Flujo de autenticación</w:t>
      </w:r>
    </w:p>
    <w:p w:rsidR="00302B49" w:rsidRDefault="00ED5C98">
      <w:pPr>
        <w:spacing w:line="480" w:lineRule="auto"/>
        <w:ind w:firstLine="720"/>
      </w:pPr>
      <w:r>
        <w:t xml:space="preserve">El acceso se concede únicamente si se superan los dos factores. Primero, el usuario acerca la tarjeta y el lector emite su UID. Segundo, </w:t>
      </w:r>
      <w:proofErr w:type="spellStart"/>
      <w:r>
        <w:rPr>
          <w:rFonts w:ascii="Courier New" w:eastAsia="Courier New" w:hAnsi="Courier New" w:cs="Courier New"/>
          <w:sz w:val="22"/>
          <w:szCs w:val="22"/>
        </w:rPr>
        <w:t>AutenticadorRFID</w:t>
      </w:r>
      <w:proofErr w:type="spellEnd"/>
      <w:r>
        <w:t xml:space="preserve"> busca el UID entre las tarjetas registradas; si no existe, lanza </w:t>
      </w:r>
      <w:proofErr w:type="spellStart"/>
      <w:r>
        <w:rPr>
          <w:rFonts w:ascii="Courier New" w:eastAsia="Courier New" w:hAnsi="Courier New" w:cs="Courier New"/>
          <w:sz w:val="22"/>
          <w:szCs w:val="22"/>
        </w:rPr>
        <w:t>TarjetaNoRegistradaException</w:t>
      </w:r>
      <w:proofErr w:type="spellEnd"/>
      <w:r>
        <w:t xml:space="preserve"> y el acc</w:t>
      </w:r>
      <w:r>
        <w:t>eso se deniega. Tercero, si la tarjeta pertenece a una cuenta que ya está bloqueada, el sistema muestra la pantalla de bloqueo y no solicita el PIN. Cuarto, en caso contrario se pide el PIN de cuatro dígitos: si es correcto, se abre el menú de operaciones;</w:t>
      </w:r>
      <w:r>
        <w:t xml:space="preserve"> si es incorrecto, el sistema informa cuántos intentos quedan, y al tercer error consecutivo la cuenta se bloquea.</w:t>
      </w:r>
    </w:p>
    <w:p w:rsidR="00302B49" w:rsidRDefault="00ED5C98">
      <w:pPr>
        <w:spacing w:line="480" w:lineRule="auto"/>
        <w:ind w:firstLine="720"/>
      </w:pPr>
      <w:r>
        <w:t>Cada evento relevante (tarjeta reconocida, acceso concedido, PIN incorrecto, bloqueo, operaciones aprobadas o rechazadas) se anota en un regi</w:t>
      </w:r>
      <w:r>
        <w:t>stro de seguridad con tres niveles: OK, AVISO y ALERTA.</w:t>
      </w:r>
    </w:p>
    <w:p w:rsidR="00302B49" w:rsidRDefault="00ED5C98">
      <w:pPr>
        <w:pStyle w:val="Ttulo2"/>
      </w:pPr>
      <w:r>
        <w:t>Reglas de las cuentas</w:t>
      </w:r>
    </w:p>
    <w:p w:rsidR="00302B49" w:rsidRDefault="00ED5C98">
      <w:pPr>
        <w:spacing w:line="480" w:lineRule="auto"/>
        <w:ind w:firstLine="720"/>
      </w:pPr>
      <w:r>
        <w:t>Las dos clases de cuenta aplican reglas distintas, como se resume en la Tabla 2. Además, el cajero exige que todo monto sea mayor a cero y que los retiros sean múltiplos de $10.0</w:t>
      </w:r>
      <w:r>
        <w:t>00, porque dispensa billetes de $10.000, $20.000 y $50.000. La pantalla ofrece retiros rápidos de $50.000, $100.000, $200.000 y $500.000, además de la opción de digitar otro valor.</w:t>
      </w:r>
    </w:p>
    <w:p w:rsidR="00302B49" w:rsidRDefault="00ED5C98">
      <w:pPr>
        <w:keepNext/>
        <w:spacing w:line="480" w:lineRule="auto"/>
      </w:pPr>
      <w:r>
        <w:rPr>
          <w:b/>
          <w:bCs/>
        </w:rPr>
        <w:t>Tabla 2</w:t>
      </w:r>
    </w:p>
    <w:p w:rsidR="00302B49" w:rsidRDefault="00ED5C98">
      <w:pPr>
        <w:keepNext/>
        <w:spacing w:line="480" w:lineRule="auto"/>
      </w:pPr>
      <w:r>
        <w:rPr>
          <w:i/>
          <w:iCs/>
        </w:rPr>
        <w:t>Reglas de retiro según el tipo de cuenta</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00"/>
        <w:gridCol w:w="3400"/>
        <w:gridCol w:w="3760"/>
      </w:tblGrid>
      <w:tr w:rsidR="00302B49">
        <w:tblPrEx>
          <w:tblCellMar>
            <w:top w:w="0" w:type="dxa"/>
            <w:bottom w:w="0" w:type="dxa"/>
          </w:tblCellMar>
        </w:tblPrEx>
        <w:trPr>
          <w:cantSplit/>
          <w:tblHeader/>
        </w:trPr>
        <w:tc>
          <w:tcPr>
            <w:tcW w:w="2200" w:type="dxa"/>
            <w:tcBorders>
              <w:top w:val="single" w:sz="6" w:space="0" w:color="000000"/>
              <w:left w:val="none" w:sz="0" w:space="0" w:color="FFFFFF"/>
              <w:bottom w:val="single" w:sz="6" w:space="0" w:color="000000"/>
              <w:right w:val="none" w:sz="0" w:space="0" w:color="FFFFFF"/>
            </w:tcBorders>
            <w:tcMar>
              <w:top w:w="70" w:type="dxa"/>
              <w:left w:w="100" w:type="dxa"/>
              <w:bottom w:w="70" w:type="dxa"/>
              <w:right w:w="100" w:type="dxa"/>
            </w:tcMar>
          </w:tcPr>
          <w:p w:rsidR="00302B49" w:rsidRDefault="00ED5C98">
            <w:pPr>
              <w:keepNext/>
            </w:pPr>
            <w:r>
              <w:rPr>
                <w:b/>
                <w:bCs/>
                <w:sz w:val="22"/>
                <w:szCs w:val="22"/>
              </w:rPr>
              <w:t>Característica</w:t>
            </w:r>
          </w:p>
        </w:tc>
        <w:tc>
          <w:tcPr>
            <w:tcW w:w="3400" w:type="dxa"/>
            <w:tcBorders>
              <w:top w:val="single" w:sz="6" w:space="0" w:color="000000"/>
              <w:left w:val="none" w:sz="0" w:space="0" w:color="FFFFFF"/>
              <w:bottom w:val="single" w:sz="6" w:space="0" w:color="000000"/>
              <w:right w:val="none" w:sz="0" w:space="0" w:color="FFFFFF"/>
            </w:tcBorders>
            <w:tcMar>
              <w:top w:w="70" w:type="dxa"/>
              <w:left w:w="100" w:type="dxa"/>
              <w:bottom w:w="70" w:type="dxa"/>
              <w:right w:w="100" w:type="dxa"/>
            </w:tcMar>
          </w:tcPr>
          <w:p w:rsidR="00302B49" w:rsidRDefault="00ED5C98">
            <w:pPr>
              <w:keepNext/>
            </w:pPr>
            <w:r>
              <w:rPr>
                <w:b/>
                <w:bCs/>
                <w:sz w:val="22"/>
                <w:szCs w:val="22"/>
              </w:rPr>
              <w:t>Cuenta de ahorros</w:t>
            </w:r>
          </w:p>
        </w:tc>
        <w:tc>
          <w:tcPr>
            <w:tcW w:w="3760" w:type="dxa"/>
            <w:tcBorders>
              <w:top w:val="single" w:sz="6" w:space="0" w:color="000000"/>
              <w:left w:val="none" w:sz="0" w:space="0" w:color="FFFFFF"/>
              <w:bottom w:val="single" w:sz="6" w:space="0" w:color="000000"/>
              <w:right w:val="none" w:sz="0" w:space="0" w:color="FFFFFF"/>
            </w:tcBorders>
            <w:tcMar>
              <w:top w:w="70" w:type="dxa"/>
              <w:left w:w="100" w:type="dxa"/>
              <w:bottom w:w="70" w:type="dxa"/>
              <w:right w:w="100" w:type="dxa"/>
            </w:tcMar>
          </w:tcPr>
          <w:p w:rsidR="00302B49" w:rsidRDefault="00ED5C98">
            <w:pPr>
              <w:keepNext/>
            </w:pPr>
            <w:r>
              <w:rPr>
                <w:b/>
                <w:bCs/>
                <w:sz w:val="22"/>
                <w:szCs w:val="22"/>
              </w:rPr>
              <w:t>Cuenta corriente</w:t>
            </w:r>
          </w:p>
        </w:tc>
      </w:tr>
      <w:tr w:rsidR="00302B49">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r>
              <w:rPr>
                <w:sz w:val="22"/>
                <w:szCs w:val="22"/>
              </w:rPr>
              <w:t>Saldo negativo</w:t>
            </w:r>
          </w:p>
        </w:tc>
        <w:tc>
          <w:tcPr>
            <w:tcW w:w="34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r>
              <w:rPr>
                <w:sz w:val="22"/>
                <w:szCs w:val="22"/>
              </w:rPr>
              <w:t>No permitido</w:t>
            </w:r>
          </w:p>
        </w:tc>
        <w:tc>
          <w:tcPr>
            <w:tcW w:w="37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r>
              <w:rPr>
                <w:sz w:val="22"/>
                <w:szCs w:val="22"/>
              </w:rPr>
              <w:t>Permitido hasta el cupo de sobregiro</w:t>
            </w:r>
          </w:p>
        </w:tc>
      </w:tr>
      <w:tr w:rsidR="00302B49">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r>
              <w:rPr>
                <w:sz w:val="22"/>
                <w:szCs w:val="22"/>
              </w:rPr>
              <w:t>Condición para aprobar un retiro</w:t>
            </w:r>
          </w:p>
        </w:tc>
        <w:tc>
          <w:tcPr>
            <w:tcW w:w="34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r>
              <w:rPr>
                <w:sz w:val="22"/>
                <w:szCs w:val="22"/>
              </w:rPr>
              <w:t>Monto menor o igual al saldo</w:t>
            </w:r>
          </w:p>
        </w:tc>
        <w:tc>
          <w:tcPr>
            <w:tcW w:w="37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r>
              <w:rPr>
                <w:sz w:val="22"/>
                <w:szCs w:val="22"/>
              </w:rPr>
              <w:t>Saldo menos monto mayor o igual a menos el cupo</w:t>
            </w:r>
          </w:p>
        </w:tc>
      </w:tr>
      <w:tr w:rsidR="00302B49">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r>
              <w:rPr>
                <w:sz w:val="22"/>
                <w:szCs w:val="22"/>
              </w:rPr>
              <w:t>Fondos disponibles</w:t>
            </w:r>
          </w:p>
        </w:tc>
        <w:tc>
          <w:tcPr>
            <w:tcW w:w="34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r>
              <w:rPr>
                <w:sz w:val="22"/>
                <w:szCs w:val="22"/>
              </w:rPr>
              <w:t>Saldo</w:t>
            </w:r>
          </w:p>
        </w:tc>
        <w:tc>
          <w:tcPr>
            <w:tcW w:w="37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r>
              <w:rPr>
                <w:sz w:val="22"/>
                <w:szCs w:val="22"/>
              </w:rPr>
              <w:t>Saldo más cupo de sobregiro</w:t>
            </w:r>
          </w:p>
        </w:tc>
      </w:tr>
      <w:tr w:rsidR="00302B49">
        <w:tblPrEx>
          <w:tblCellMar>
            <w:top w:w="0" w:type="dxa"/>
            <w:bottom w:w="0" w:type="dxa"/>
          </w:tblCellMar>
        </w:tblPrEx>
        <w:trPr>
          <w:cantSplit/>
        </w:trPr>
        <w:tc>
          <w:tcPr>
            <w:tcW w:w="2200" w:type="dxa"/>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302B49" w:rsidRDefault="00ED5C98">
            <w:pPr>
              <w:keepNext/>
            </w:pPr>
            <w:r>
              <w:rPr>
                <w:sz w:val="22"/>
                <w:szCs w:val="22"/>
              </w:rPr>
              <w:t>Si no se cumple la condición</w:t>
            </w:r>
          </w:p>
        </w:tc>
        <w:tc>
          <w:tcPr>
            <w:tcW w:w="3400" w:type="dxa"/>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302B49" w:rsidRDefault="00ED5C98">
            <w:pPr>
              <w:keepNext/>
            </w:pPr>
            <w:proofErr w:type="spellStart"/>
            <w:r>
              <w:rPr>
                <w:rFonts w:ascii="Courier New" w:eastAsia="Courier New" w:hAnsi="Courier New" w:cs="Courier New"/>
                <w:sz w:val="20"/>
                <w:szCs w:val="20"/>
              </w:rPr>
              <w:t>SaldoInsuficienteException</w:t>
            </w:r>
            <w:proofErr w:type="spellEnd"/>
          </w:p>
        </w:tc>
        <w:tc>
          <w:tcPr>
            <w:tcW w:w="3760" w:type="dxa"/>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302B49" w:rsidRDefault="00ED5C98">
            <w:pPr>
              <w:keepNext/>
            </w:pPr>
            <w:proofErr w:type="spellStart"/>
            <w:r>
              <w:rPr>
                <w:rFonts w:ascii="Courier New" w:eastAsia="Courier New" w:hAnsi="Courier New" w:cs="Courier New"/>
                <w:sz w:val="20"/>
                <w:szCs w:val="20"/>
              </w:rPr>
              <w:t>SaldoInsuficienteException</w:t>
            </w:r>
            <w:proofErr w:type="spellEnd"/>
          </w:p>
        </w:tc>
      </w:tr>
    </w:tbl>
    <w:p w:rsidR="00302B49" w:rsidRDefault="00ED5C98">
      <w:pPr>
        <w:spacing w:before="80" w:after="360"/>
      </w:pPr>
      <w:r>
        <w:rPr>
          <w:i/>
          <w:iCs/>
          <w:sz w:val="22"/>
          <w:szCs w:val="22"/>
        </w:rPr>
        <w:t>Nota.</w:t>
      </w:r>
      <w:r>
        <w:rPr>
          <w:sz w:val="22"/>
          <w:szCs w:val="22"/>
        </w:rPr>
        <w:t xml:space="preserve"> Elaboración propia a partir del código de la aplicación.</w:t>
      </w:r>
    </w:p>
    <w:p w:rsidR="00302B49" w:rsidRDefault="00ED5C98">
      <w:pPr>
        <w:pStyle w:val="Ttulo2"/>
      </w:pPr>
      <w:r>
        <w:t>Seguridad y excepciones</w:t>
      </w:r>
    </w:p>
    <w:p w:rsidR="00302B49" w:rsidRDefault="00ED5C98">
      <w:pPr>
        <w:spacing w:line="480" w:lineRule="auto"/>
        <w:ind w:firstLine="720"/>
      </w:pPr>
      <w:r>
        <w:t xml:space="preserve">Todas las excepciones del sistema extienden una clase base común, </w:t>
      </w:r>
      <w:proofErr w:type="spellStart"/>
      <w:r>
        <w:rPr>
          <w:rFonts w:ascii="Courier New" w:eastAsia="Courier New" w:hAnsi="Courier New" w:cs="Courier New"/>
          <w:sz w:val="22"/>
          <w:szCs w:val="22"/>
        </w:rPr>
        <w:t>BancoError</w:t>
      </w:r>
      <w:proofErr w:type="spellEnd"/>
      <w:r>
        <w:t>, lo que permite distinguir los errores de negocio de los errores de programación. El diseño origi</w:t>
      </w:r>
      <w:r>
        <w:t xml:space="preserve">nal preveía cuatro excepciones; la aplicación incorpora además </w:t>
      </w:r>
      <w:proofErr w:type="spellStart"/>
      <w:r>
        <w:rPr>
          <w:rFonts w:ascii="Courier New" w:eastAsia="Courier New" w:hAnsi="Courier New" w:cs="Courier New"/>
          <w:sz w:val="22"/>
          <w:szCs w:val="22"/>
        </w:rPr>
        <w:t>MontoInvalidoException</w:t>
      </w:r>
      <w:proofErr w:type="spellEnd"/>
      <w:r>
        <w:t xml:space="preserve"> y </w:t>
      </w:r>
      <w:proofErr w:type="spellStart"/>
      <w:r>
        <w:rPr>
          <w:rFonts w:ascii="Courier New" w:eastAsia="Courier New" w:hAnsi="Courier New" w:cs="Courier New"/>
          <w:sz w:val="22"/>
          <w:szCs w:val="22"/>
        </w:rPr>
        <w:t>PinInvalidoException</w:t>
      </w:r>
      <w:proofErr w:type="spellEnd"/>
      <w:r>
        <w:t>, como se detalla en la Tabla 3.</w:t>
      </w:r>
    </w:p>
    <w:p w:rsidR="00302B49" w:rsidRDefault="00ED5C98">
      <w:pPr>
        <w:keepNext/>
        <w:spacing w:line="480" w:lineRule="auto"/>
      </w:pPr>
      <w:r>
        <w:rPr>
          <w:b/>
          <w:bCs/>
        </w:rPr>
        <w:t>Tabla 3</w:t>
      </w:r>
    </w:p>
    <w:p w:rsidR="00302B49" w:rsidRDefault="00ED5C98">
      <w:pPr>
        <w:keepNext/>
        <w:spacing w:line="480" w:lineRule="auto"/>
      </w:pPr>
      <w:r>
        <w:rPr>
          <w:i/>
          <w:iCs/>
        </w:rPr>
        <w:t>Excepciones personalizadas y condición que las genera</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800"/>
        <w:gridCol w:w="5560"/>
      </w:tblGrid>
      <w:tr w:rsidR="00302B49">
        <w:tblPrEx>
          <w:tblCellMar>
            <w:top w:w="0" w:type="dxa"/>
            <w:bottom w:w="0" w:type="dxa"/>
          </w:tblCellMar>
        </w:tblPrEx>
        <w:trPr>
          <w:cantSplit/>
          <w:tblHeader/>
        </w:trPr>
        <w:tc>
          <w:tcPr>
            <w:tcW w:w="3800" w:type="dxa"/>
            <w:tcBorders>
              <w:top w:val="single" w:sz="6" w:space="0" w:color="000000"/>
              <w:left w:val="none" w:sz="0" w:space="0" w:color="FFFFFF"/>
              <w:bottom w:val="single" w:sz="6" w:space="0" w:color="000000"/>
              <w:right w:val="none" w:sz="0" w:space="0" w:color="FFFFFF"/>
            </w:tcBorders>
            <w:tcMar>
              <w:top w:w="70" w:type="dxa"/>
              <w:left w:w="100" w:type="dxa"/>
              <w:bottom w:w="70" w:type="dxa"/>
              <w:right w:w="100" w:type="dxa"/>
            </w:tcMar>
          </w:tcPr>
          <w:p w:rsidR="00302B49" w:rsidRDefault="00ED5C98">
            <w:pPr>
              <w:keepNext/>
            </w:pPr>
            <w:r>
              <w:rPr>
                <w:b/>
                <w:bCs/>
                <w:sz w:val="22"/>
                <w:szCs w:val="22"/>
              </w:rPr>
              <w:t>Excepción</w:t>
            </w:r>
          </w:p>
        </w:tc>
        <w:tc>
          <w:tcPr>
            <w:tcW w:w="5560" w:type="dxa"/>
            <w:tcBorders>
              <w:top w:val="single" w:sz="6" w:space="0" w:color="000000"/>
              <w:left w:val="none" w:sz="0" w:space="0" w:color="FFFFFF"/>
              <w:bottom w:val="single" w:sz="6" w:space="0" w:color="000000"/>
              <w:right w:val="none" w:sz="0" w:space="0" w:color="FFFFFF"/>
            </w:tcBorders>
            <w:tcMar>
              <w:top w:w="70" w:type="dxa"/>
              <w:left w:w="100" w:type="dxa"/>
              <w:bottom w:w="70" w:type="dxa"/>
              <w:right w:w="100" w:type="dxa"/>
            </w:tcMar>
          </w:tcPr>
          <w:p w:rsidR="00302B49" w:rsidRDefault="00ED5C98">
            <w:pPr>
              <w:keepNext/>
            </w:pPr>
            <w:r>
              <w:rPr>
                <w:b/>
                <w:bCs/>
                <w:sz w:val="22"/>
                <w:szCs w:val="22"/>
              </w:rPr>
              <w:t>Condición</w:t>
            </w:r>
          </w:p>
        </w:tc>
      </w:tr>
      <w:tr w:rsidR="00302B49">
        <w:tblPrEx>
          <w:tblCellMar>
            <w:top w:w="0" w:type="dxa"/>
            <w:bottom w:w="0" w:type="dxa"/>
          </w:tblCellMar>
        </w:tblPrEx>
        <w:trPr>
          <w:cantSplit/>
        </w:trPr>
        <w:tc>
          <w:tcPr>
            <w:tcW w:w="38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proofErr w:type="spellStart"/>
            <w:r>
              <w:rPr>
                <w:rFonts w:ascii="Courier New" w:eastAsia="Courier New" w:hAnsi="Courier New" w:cs="Courier New"/>
                <w:sz w:val="20"/>
                <w:szCs w:val="20"/>
              </w:rPr>
              <w:t>TarjetaNoRegistradaException</w:t>
            </w:r>
            <w:proofErr w:type="spellEnd"/>
          </w:p>
        </w:tc>
        <w:tc>
          <w:tcPr>
            <w:tcW w:w="55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r>
              <w:rPr>
                <w:sz w:val="22"/>
                <w:szCs w:val="22"/>
              </w:rPr>
              <w:t>El UID leído no está registrado en el sistema.</w:t>
            </w:r>
          </w:p>
        </w:tc>
      </w:tr>
      <w:tr w:rsidR="00302B49">
        <w:tblPrEx>
          <w:tblCellMar>
            <w:top w:w="0" w:type="dxa"/>
            <w:bottom w:w="0" w:type="dxa"/>
          </w:tblCellMar>
        </w:tblPrEx>
        <w:trPr>
          <w:cantSplit/>
        </w:trPr>
        <w:tc>
          <w:tcPr>
            <w:tcW w:w="38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proofErr w:type="spellStart"/>
            <w:r>
              <w:rPr>
                <w:rFonts w:ascii="Courier New" w:eastAsia="Courier New" w:hAnsi="Courier New" w:cs="Courier New"/>
                <w:sz w:val="20"/>
                <w:szCs w:val="20"/>
              </w:rPr>
              <w:t>PinIncorrectoException</w:t>
            </w:r>
            <w:proofErr w:type="spellEnd"/>
          </w:p>
        </w:tc>
        <w:tc>
          <w:tcPr>
            <w:tcW w:w="55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r>
              <w:rPr>
                <w:sz w:val="22"/>
                <w:szCs w:val="22"/>
              </w:rPr>
              <w:t>El PIN digitado es incorrecto y aún quedan intentos.</w:t>
            </w:r>
          </w:p>
        </w:tc>
      </w:tr>
      <w:tr w:rsidR="00302B49">
        <w:tblPrEx>
          <w:tblCellMar>
            <w:top w:w="0" w:type="dxa"/>
            <w:bottom w:w="0" w:type="dxa"/>
          </w:tblCellMar>
        </w:tblPrEx>
        <w:trPr>
          <w:cantSplit/>
        </w:trPr>
        <w:tc>
          <w:tcPr>
            <w:tcW w:w="38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proofErr w:type="spellStart"/>
            <w:r>
              <w:rPr>
                <w:rFonts w:ascii="Courier New" w:eastAsia="Courier New" w:hAnsi="Courier New" w:cs="Courier New"/>
                <w:sz w:val="20"/>
                <w:szCs w:val="20"/>
              </w:rPr>
              <w:t>CuentaBloqueadaException</w:t>
            </w:r>
            <w:proofErr w:type="spellEnd"/>
          </w:p>
        </w:tc>
        <w:tc>
          <w:tcPr>
            <w:tcW w:w="55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r>
              <w:rPr>
                <w:sz w:val="22"/>
                <w:szCs w:val="22"/>
              </w:rPr>
              <w:t>Se alcanzan tres PIN incorrectos, o se intenta acceder a una cuenta ya bloqueada.</w:t>
            </w:r>
          </w:p>
        </w:tc>
      </w:tr>
      <w:tr w:rsidR="00302B49">
        <w:tblPrEx>
          <w:tblCellMar>
            <w:top w:w="0" w:type="dxa"/>
            <w:bottom w:w="0" w:type="dxa"/>
          </w:tblCellMar>
        </w:tblPrEx>
        <w:trPr>
          <w:cantSplit/>
        </w:trPr>
        <w:tc>
          <w:tcPr>
            <w:tcW w:w="38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proofErr w:type="spellStart"/>
            <w:r>
              <w:rPr>
                <w:rFonts w:ascii="Courier New" w:eastAsia="Courier New" w:hAnsi="Courier New" w:cs="Courier New"/>
                <w:sz w:val="20"/>
                <w:szCs w:val="20"/>
              </w:rPr>
              <w:t>SaldoInsuficienteException</w:t>
            </w:r>
            <w:proofErr w:type="spellEnd"/>
          </w:p>
        </w:tc>
        <w:tc>
          <w:tcPr>
            <w:tcW w:w="55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r>
              <w:rPr>
                <w:sz w:val="22"/>
                <w:szCs w:val="22"/>
              </w:rPr>
              <w:t>El retiro incumple la regla de saldo o de sobregiro de la cuenta.</w:t>
            </w:r>
          </w:p>
        </w:tc>
      </w:tr>
      <w:tr w:rsidR="00302B49">
        <w:tblPrEx>
          <w:tblCellMar>
            <w:top w:w="0" w:type="dxa"/>
            <w:bottom w:w="0" w:type="dxa"/>
          </w:tblCellMar>
        </w:tblPrEx>
        <w:trPr>
          <w:cantSplit/>
        </w:trPr>
        <w:tc>
          <w:tcPr>
            <w:tcW w:w="38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proofErr w:type="spellStart"/>
            <w:r>
              <w:rPr>
                <w:rFonts w:ascii="Courier New" w:eastAsia="Courier New" w:hAnsi="Courier New" w:cs="Courier New"/>
                <w:sz w:val="20"/>
                <w:szCs w:val="20"/>
              </w:rPr>
              <w:t>MontoInvalidoException</w:t>
            </w:r>
            <w:proofErr w:type="spellEnd"/>
          </w:p>
        </w:tc>
        <w:tc>
          <w:tcPr>
            <w:tcW w:w="55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r>
              <w:rPr>
                <w:sz w:val="22"/>
                <w:szCs w:val="22"/>
              </w:rPr>
              <w:t>El monto es menor o igual a cero, o un retiro no es múlt</w:t>
            </w:r>
            <w:r>
              <w:rPr>
                <w:sz w:val="22"/>
                <w:szCs w:val="22"/>
              </w:rPr>
              <w:t>iplo de $10.000.</w:t>
            </w:r>
          </w:p>
        </w:tc>
      </w:tr>
      <w:tr w:rsidR="00302B49">
        <w:tblPrEx>
          <w:tblCellMar>
            <w:top w:w="0" w:type="dxa"/>
            <w:bottom w:w="0" w:type="dxa"/>
          </w:tblCellMar>
        </w:tblPrEx>
        <w:trPr>
          <w:cantSplit/>
        </w:trPr>
        <w:tc>
          <w:tcPr>
            <w:tcW w:w="3800" w:type="dxa"/>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302B49" w:rsidRDefault="00ED5C98">
            <w:pPr>
              <w:keepNext/>
            </w:pPr>
            <w:proofErr w:type="spellStart"/>
            <w:r>
              <w:rPr>
                <w:rFonts w:ascii="Courier New" w:eastAsia="Courier New" w:hAnsi="Courier New" w:cs="Courier New"/>
                <w:sz w:val="20"/>
                <w:szCs w:val="20"/>
              </w:rPr>
              <w:t>PinInvalidoException</w:t>
            </w:r>
            <w:proofErr w:type="spellEnd"/>
          </w:p>
        </w:tc>
        <w:tc>
          <w:tcPr>
            <w:tcW w:w="5560" w:type="dxa"/>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302B49" w:rsidRDefault="00ED5C98">
            <w:pPr>
              <w:keepNext/>
            </w:pPr>
            <w:r>
              <w:rPr>
                <w:sz w:val="22"/>
                <w:szCs w:val="22"/>
              </w:rPr>
              <w:t>El PIN nuevo no tiene exactamente cuatro dígitos o es igual al actual.</w:t>
            </w:r>
          </w:p>
        </w:tc>
      </w:tr>
    </w:tbl>
    <w:p w:rsidR="00302B49" w:rsidRDefault="00ED5C98">
      <w:pPr>
        <w:spacing w:before="80" w:after="360"/>
      </w:pPr>
      <w:r>
        <w:rPr>
          <w:i/>
          <w:iCs/>
          <w:sz w:val="22"/>
          <w:szCs w:val="22"/>
        </w:rPr>
        <w:t>Nota.</w:t>
      </w:r>
      <w:r>
        <w:rPr>
          <w:sz w:val="22"/>
          <w:szCs w:val="22"/>
        </w:rPr>
        <w:t xml:space="preserve"> Elaboración propia a partir del código de la aplicación.</w:t>
      </w:r>
    </w:p>
    <w:p w:rsidR="00302B49" w:rsidRDefault="00ED5C98">
      <w:pPr>
        <w:pStyle w:val="Ttulo2"/>
      </w:pPr>
      <w:r>
        <w:t>Operaciones disponibles</w:t>
      </w:r>
    </w:p>
    <w:p w:rsidR="00302B49" w:rsidRDefault="00ED5C98">
      <w:pPr>
        <w:spacing w:line="480" w:lineRule="auto"/>
        <w:ind w:firstLine="720"/>
      </w:pPr>
      <w:r>
        <w:t xml:space="preserve">Tras la autenticación, el usuario puede consultar el saldo, retirar dinero, depositar, ver los últimos seis movimientos y cambiar el PIN. El cambio de PIN se hace en tres pasos: se verifica el PIN actual, se digita el PIN nuevo y se confirma repitiéndolo. </w:t>
      </w:r>
      <w:r>
        <w:t>Un error en el PIN actual cuenta como intento fallido, igual que en el acceso inicial.</w:t>
      </w:r>
    </w:p>
    <w:p w:rsidR="00302B49" w:rsidRDefault="00ED5C98">
      <w:pPr>
        <w:pStyle w:val="Ttulo2"/>
      </w:pPr>
      <w:r>
        <w:t>Datos de prueba</w:t>
      </w:r>
    </w:p>
    <w:p w:rsidR="00302B49" w:rsidRDefault="00ED5C98">
      <w:pPr>
        <w:spacing w:line="480" w:lineRule="auto"/>
        <w:ind w:firstLine="720"/>
      </w:pPr>
      <w:r>
        <w:t>Para probar la aplicación se registraron tres tarjetas con cuentas de ejemplo y una tarjeta sin registrar, como se muestra en la Tabla 4.</w:t>
      </w:r>
    </w:p>
    <w:p w:rsidR="00302B49" w:rsidRDefault="00ED5C98">
      <w:pPr>
        <w:keepNext/>
        <w:spacing w:line="480" w:lineRule="auto"/>
      </w:pPr>
      <w:r>
        <w:rPr>
          <w:b/>
          <w:bCs/>
        </w:rPr>
        <w:t>Tabla 4</w:t>
      </w:r>
    </w:p>
    <w:p w:rsidR="00302B49" w:rsidRDefault="00ED5C98">
      <w:pPr>
        <w:keepNext/>
        <w:spacing w:line="480" w:lineRule="auto"/>
      </w:pPr>
      <w:r>
        <w:rPr>
          <w:i/>
          <w:iCs/>
        </w:rPr>
        <w:t>Tarjeta</w:t>
      </w:r>
      <w:r>
        <w:rPr>
          <w:i/>
          <w:iCs/>
        </w:rPr>
        <w:t>s y cuentas de prueba</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700"/>
        <w:gridCol w:w="1500"/>
        <w:gridCol w:w="2060"/>
        <w:gridCol w:w="1500"/>
        <w:gridCol w:w="2600"/>
      </w:tblGrid>
      <w:tr w:rsidR="00302B49">
        <w:tblPrEx>
          <w:tblCellMar>
            <w:top w:w="0" w:type="dxa"/>
            <w:bottom w:w="0" w:type="dxa"/>
          </w:tblCellMar>
        </w:tblPrEx>
        <w:trPr>
          <w:cantSplit/>
          <w:tblHeader/>
        </w:trPr>
        <w:tc>
          <w:tcPr>
            <w:tcW w:w="1700" w:type="dxa"/>
            <w:tcBorders>
              <w:top w:val="single" w:sz="6" w:space="0" w:color="000000"/>
              <w:left w:val="none" w:sz="0" w:space="0" w:color="FFFFFF"/>
              <w:bottom w:val="single" w:sz="6" w:space="0" w:color="000000"/>
              <w:right w:val="none" w:sz="0" w:space="0" w:color="FFFFFF"/>
            </w:tcBorders>
            <w:tcMar>
              <w:top w:w="70" w:type="dxa"/>
              <w:left w:w="100" w:type="dxa"/>
              <w:bottom w:w="70" w:type="dxa"/>
              <w:right w:w="100" w:type="dxa"/>
            </w:tcMar>
          </w:tcPr>
          <w:p w:rsidR="00302B49" w:rsidRDefault="00ED5C98">
            <w:pPr>
              <w:keepNext/>
            </w:pPr>
            <w:r>
              <w:rPr>
                <w:b/>
                <w:bCs/>
                <w:sz w:val="22"/>
                <w:szCs w:val="22"/>
              </w:rPr>
              <w:t>UID</w:t>
            </w:r>
          </w:p>
        </w:tc>
        <w:tc>
          <w:tcPr>
            <w:tcW w:w="1500" w:type="dxa"/>
            <w:tcBorders>
              <w:top w:val="single" w:sz="6" w:space="0" w:color="000000"/>
              <w:left w:val="none" w:sz="0" w:space="0" w:color="FFFFFF"/>
              <w:bottom w:val="single" w:sz="6" w:space="0" w:color="000000"/>
              <w:right w:val="none" w:sz="0" w:space="0" w:color="FFFFFF"/>
            </w:tcBorders>
            <w:tcMar>
              <w:top w:w="70" w:type="dxa"/>
              <w:left w:w="100" w:type="dxa"/>
              <w:bottom w:w="70" w:type="dxa"/>
              <w:right w:w="100" w:type="dxa"/>
            </w:tcMar>
          </w:tcPr>
          <w:p w:rsidR="00302B49" w:rsidRDefault="00ED5C98">
            <w:pPr>
              <w:keepNext/>
            </w:pPr>
            <w:r>
              <w:rPr>
                <w:b/>
                <w:bCs/>
                <w:sz w:val="22"/>
                <w:szCs w:val="22"/>
              </w:rPr>
              <w:t>Titular</w:t>
            </w:r>
          </w:p>
        </w:tc>
        <w:tc>
          <w:tcPr>
            <w:tcW w:w="2060" w:type="dxa"/>
            <w:tcBorders>
              <w:top w:val="single" w:sz="6" w:space="0" w:color="000000"/>
              <w:left w:val="none" w:sz="0" w:space="0" w:color="FFFFFF"/>
              <w:bottom w:val="single" w:sz="6" w:space="0" w:color="000000"/>
              <w:right w:val="none" w:sz="0" w:space="0" w:color="FFFFFF"/>
            </w:tcBorders>
            <w:tcMar>
              <w:top w:w="70" w:type="dxa"/>
              <w:left w:w="100" w:type="dxa"/>
              <w:bottom w:w="70" w:type="dxa"/>
              <w:right w:w="100" w:type="dxa"/>
            </w:tcMar>
          </w:tcPr>
          <w:p w:rsidR="00302B49" w:rsidRDefault="00ED5C98">
            <w:pPr>
              <w:keepNext/>
            </w:pPr>
            <w:r>
              <w:rPr>
                <w:b/>
                <w:bCs/>
                <w:sz w:val="22"/>
                <w:szCs w:val="22"/>
              </w:rPr>
              <w:t>Cuenta</w:t>
            </w:r>
          </w:p>
        </w:tc>
        <w:tc>
          <w:tcPr>
            <w:tcW w:w="1500" w:type="dxa"/>
            <w:tcBorders>
              <w:top w:val="single" w:sz="6" w:space="0" w:color="000000"/>
              <w:left w:val="none" w:sz="0" w:space="0" w:color="FFFFFF"/>
              <w:bottom w:val="single" w:sz="6" w:space="0" w:color="000000"/>
              <w:right w:val="none" w:sz="0" w:space="0" w:color="FFFFFF"/>
            </w:tcBorders>
            <w:tcMar>
              <w:top w:w="70" w:type="dxa"/>
              <w:left w:w="100" w:type="dxa"/>
              <w:bottom w:w="70" w:type="dxa"/>
              <w:right w:w="100" w:type="dxa"/>
            </w:tcMar>
          </w:tcPr>
          <w:p w:rsidR="00302B49" w:rsidRDefault="00ED5C98">
            <w:pPr>
              <w:keepNext/>
              <w:jc w:val="right"/>
            </w:pPr>
            <w:r>
              <w:rPr>
                <w:b/>
                <w:bCs/>
                <w:sz w:val="22"/>
                <w:szCs w:val="22"/>
              </w:rPr>
              <w:t>Saldo inicial</w:t>
            </w:r>
          </w:p>
        </w:tc>
        <w:tc>
          <w:tcPr>
            <w:tcW w:w="2600" w:type="dxa"/>
            <w:tcBorders>
              <w:top w:val="single" w:sz="6" w:space="0" w:color="000000"/>
              <w:left w:val="none" w:sz="0" w:space="0" w:color="FFFFFF"/>
              <w:bottom w:val="single" w:sz="6" w:space="0" w:color="000000"/>
              <w:right w:val="none" w:sz="0" w:space="0" w:color="FFFFFF"/>
            </w:tcBorders>
            <w:tcMar>
              <w:top w:w="70" w:type="dxa"/>
              <w:left w:w="100" w:type="dxa"/>
              <w:bottom w:w="70" w:type="dxa"/>
              <w:right w:w="100" w:type="dxa"/>
            </w:tcMar>
          </w:tcPr>
          <w:p w:rsidR="00302B49" w:rsidRDefault="00ED5C98">
            <w:pPr>
              <w:keepNext/>
            </w:pPr>
            <w:r>
              <w:rPr>
                <w:b/>
                <w:bCs/>
                <w:sz w:val="22"/>
                <w:szCs w:val="22"/>
              </w:rPr>
              <w:t>Condición</w:t>
            </w:r>
          </w:p>
        </w:tc>
      </w:tr>
      <w:tr w:rsidR="00302B49">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proofErr w:type="gramStart"/>
            <w:r>
              <w:rPr>
                <w:sz w:val="22"/>
                <w:szCs w:val="22"/>
              </w:rPr>
              <w:t>A3:4F:12:8</w:t>
            </w:r>
            <w:proofErr w:type="gramEnd"/>
            <w:r>
              <w:rPr>
                <w:sz w:val="22"/>
                <w:szCs w:val="22"/>
              </w:rPr>
              <w:t>B</w:t>
            </w:r>
          </w:p>
        </w:tc>
        <w:tc>
          <w:tcPr>
            <w:tcW w:w="15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r>
              <w:rPr>
                <w:sz w:val="22"/>
                <w:szCs w:val="22"/>
              </w:rPr>
              <w:t>Sebas</w:t>
            </w:r>
          </w:p>
        </w:tc>
        <w:tc>
          <w:tcPr>
            <w:tcW w:w="20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r>
              <w:rPr>
                <w:sz w:val="22"/>
                <w:szCs w:val="22"/>
              </w:rPr>
              <w:t>Ahorros (AH-001)</w:t>
            </w:r>
          </w:p>
        </w:tc>
        <w:tc>
          <w:tcPr>
            <w:tcW w:w="15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jc w:val="right"/>
            </w:pPr>
            <w:r>
              <w:rPr>
                <w:sz w:val="22"/>
                <w:szCs w:val="22"/>
              </w:rPr>
              <w:t>$500.000</w:t>
            </w:r>
          </w:p>
        </w:tc>
        <w:tc>
          <w:tcPr>
            <w:tcW w:w="26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r>
              <w:rPr>
                <w:sz w:val="22"/>
                <w:szCs w:val="22"/>
              </w:rPr>
              <w:t>Sin condiciones especiales</w:t>
            </w:r>
          </w:p>
        </w:tc>
      </w:tr>
      <w:tr w:rsidR="00302B49">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r>
              <w:rPr>
                <w:sz w:val="22"/>
                <w:szCs w:val="22"/>
              </w:rPr>
              <w:t>11:22:33:44</w:t>
            </w:r>
          </w:p>
        </w:tc>
        <w:tc>
          <w:tcPr>
            <w:tcW w:w="15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r>
              <w:rPr>
                <w:sz w:val="22"/>
                <w:szCs w:val="22"/>
              </w:rPr>
              <w:t>Laura</w:t>
            </w:r>
          </w:p>
        </w:tc>
        <w:tc>
          <w:tcPr>
            <w:tcW w:w="20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r>
              <w:rPr>
                <w:sz w:val="22"/>
                <w:szCs w:val="22"/>
              </w:rPr>
              <w:t>Corriente (CO-001)</w:t>
            </w:r>
          </w:p>
        </w:tc>
        <w:tc>
          <w:tcPr>
            <w:tcW w:w="15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jc w:val="right"/>
            </w:pPr>
            <w:r>
              <w:rPr>
                <w:sz w:val="22"/>
                <w:szCs w:val="22"/>
              </w:rPr>
              <w:t>$200.000</w:t>
            </w:r>
          </w:p>
        </w:tc>
        <w:tc>
          <w:tcPr>
            <w:tcW w:w="26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r>
              <w:rPr>
                <w:sz w:val="22"/>
                <w:szCs w:val="22"/>
              </w:rPr>
              <w:t>Cupo de sobregiro de $100.000</w:t>
            </w:r>
          </w:p>
        </w:tc>
      </w:tr>
      <w:tr w:rsidR="00302B49">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r>
              <w:rPr>
                <w:sz w:val="22"/>
                <w:szCs w:val="22"/>
              </w:rPr>
              <w:t>55:66:77:88</w:t>
            </w:r>
          </w:p>
        </w:tc>
        <w:tc>
          <w:tcPr>
            <w:tcW w:w="15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r>
              <w:rPr>
                <w:sz w:val="22"/>
                <w:szCs w:val="22"/>
              </w:rPr>
              <w:t>Carlos</w:t>
            </w:r>
          </w:p>
        </w:tc>
        <w:tc>
          <w:tcPr>
            <w:tcW w:w="20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r>
              <w:rPr>
                <w:sz w:val="22"/>
                <w:szCs w:val="22"/>
              </w:rPr>
              <w:t>Ahorros (AH-002)</w:t>
            </w:r>
          </w:p>
        </w:tc>
        <w:tc>
          <w:tcPr>
            <w:tcW w:w="15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jc w:val="right"/>
            </w:pPr>
            <w:r>
              <w:rPr>
                <w:sz w:val="22"/>
                <w:szCs w:val="22"/>
              </w:rPr>
              <w:t>$80.000</w:t>
            </w:r>
          </w:p>
        </w:tc>
        <w:tc>
          <w:tcPr>
            <w:tcW w:w="26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keepNext/>
            </w:pPr>
            <w:r>
              <w:rPr>
                <w:sz w:val="22"/>
                <w:szCs w:val="22"/>
              </w:rPr>
              <w:t>Pensada para probar el bloqueo</w:t>
            </w:r>
          </w:p>
        </w:tc>
      </w:tr>
      <w:tr w:rsidR="00302B49">
        <w:tblPrEx>
          <w:tblCellMar>
            <w:top w:w="0" w:type="dxa"/>
            <w:bottom w:w="0" w:type="dxa"/>
          </w:tblCellMar>
        </w:tblPrEx>
        <w:trPr>
          <w:cantSplit/>
        </w:trPr>
        <w:tc>
          <w:tcPr>
            <w:tcW w:w="1700" w:type="dxa"/>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302B49" w:rsidRDefault="00ED5C98">
            <w:pPr>
              <w:keepNext/>
            </w:pPr>
            <w:proofErr w:type="gramStart"/>
            <w:r>
              <w:rPr>
                <w:sz w:val="22"/>
                <w:szCs w:val="22"/>
              </w:rPr>
              <w:t>FF:FF</w:t>
            </w:r>
            <w:proofErr w:type="gramEnd"/>
            <w:r>
              <w:rPr>
                <w:sz w:val="22"/>
                <w:szCs w:val="22"/>
              </w:rPr>
              <w:t>:FF:FF</w:t>
            </w:r>
          </w:p>
        </w:tc>
        <w:tc>
          <w:tcPr>
            <w:tcW w:w="1500" w:type="dxa"/>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302B49" w:rsidRDefault="00ED5C98">
            <w:pPr>
              <w:keepNext/>
            </w:pPr>
            <w:r>
              <w:rPr>
                <w:sz w:val="22"/>
                <w:szCs w:val="22"/>
              </w:rPr>
              <w:t>Tarjeta desconocida</w:t>
            </w:r>
          </w:p>
        </w:tc>
        <w:tc>
          <w:tcPr>
            <w:tcW w:w="2060" w:type="dxa"/>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302B49" w:rsidRDefault="00ED5C98">
            <w:pPr>
              <w:keepNext/>
            </w:pPr>
            <w:r>
              <w:rPr>
                <w:sz w:val="22"/>
                <w:szCs w:val="22"/>
              </w:rPr>
              <w:t>Sin cuenta</w:t>
            </w:r>
          </w:p>
        </w:tc>
        <w:tc>
          <w:tcPr>
            <w:tcW w:w="1500" w:type="dxa"/>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302B49" w:rsidRDefault="00ED5C98">
            <w:pPr>
              <w:keepNext/>
              <w:jc w:val="right"/>
            </w:pPr>
            <w:r>
              <w:rPr>
                <w:sz w:val="22"/>
                <w:szCs w:val="22"/>
              </w:rPr>
              <w:t>—</w:t>
            </w:r>
          </w:p>
        </w:tc>
        <w:tc>
          <w:tcPr>
            <w:tcW w:w="2600" w:type="dxa"/>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302B49" w:rsidRDefault="00ED5C98">
            <w:pPr>
              <w:keepNext/>
            </w:pPr>
            <w:r>
              <w:rPr>
                <w:sz w:val="22"/>
                <w:szCs w:val="22"/>
              </w:rPr>
              <w:t>UID no registrado</w:t>
            </w:r>
          </w:p>
        </w:tc>
      </w:tr>
    </w:tbl>
    <w:p w:rsidR="00302B49" w:rsidRDefault="00ED5C98">
      <w:pPr>
        <w:spacing w:before="80" w:after="360"/>
      </w:pPr>
      <w:r>
        <w:rPr>
          <w:i/>
          <w:iCs/>
          <w:sz w:val="22"/>
          <w:szCs w:val="22"/>
        </w:rPr>
        <w:t>Nota.</w:t>
      </w:r>
      <w:r>
        <w:rPr>
          <w:sz w:val="22"/>
          <w:szCs w:val="22"/>
        </w:rPr>
        <w:t xml:space="preserve"> Datos definidos en la aplicación para la demostración.</w:t>
      </w:r>
    </w:p>
    <w:p w:rsidR="00302B49" w:rsidRDefault="00ED5C98">
      <w:pPr>
        <w:pStyle w:val="Ttulo1"/>
      </w:pPr>
      <w:r>
        <w:t>Resultados</w:t>
      </w:r>
    </w:p>
    <w:p w:rsidR="00302B49" w:rsidRDefault="00ED5C98">
      <w:pPr>
        <w:spacing w:line="480" w:lineRule="auto"/>
        <w:ind w:firstLine="720"/>
      </w:pPr>
      <w:r>
        <w:t>Para verificar las reglas se ejecutaron escenarios de prueba sobre la lógica de la aplicación, usando los datos de la Tabla 4. Los resultados, que se presentan en la Tabla 5, coinciden con el comportamiento previsto en el diseño.</w:t>
      </w:r>
    </w:p>
    <w:p w:rsidR="00302B49" w:rsidRDefault="00ED5C98">
      <w:pPr>
        <w:keepNext/>
        <w:spacing w:line="480" w:lineRule="auto"/>
      </w:pPr>
      <w:r>
        <w:rPr>
          <w:b/>
          <w:bCs/>
        </w:rPr>
        <w:t>Tabla 5</w:t>
      </w:r>
    </w:p>
    <w:p w:rsidR="00302B49" w:rsidRDefault="00ED5C98">
      <w:pPr>
        <w:keepNext/>
        <w:spacing w:line="480" w:lineRule="auto"/>
      </w:pPr>
      <w:r>
        <w:rPr>
          <w:i/>
          <w:iCs/>
        </w:rPr>
        <w:t>Escenarios de prue</w:t>
      </w:r>
      <w:r>
        <w:rPr>
          <w:i/>
          <w:iCs/>
        </w:rPr>
        <w:t>ba y resultados obtenidos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00"/>
        <w:gridCol w:w="4160"/>
        <w:gridCol w:w="4600"/>
      </w:tblGrid>
      <w:tr w:rsidR="00302B49">
        <w:tblPrEx>
          <w:tblCellMar>
            <w:top w:w="0" w:type="dxa"/>
            <w:bottom w:w="0" w:type="dxa"/>
          </w:tblCellMar>
        </w:tblPrEx>
        <w:trPr>
          <w:cantSplit/>
          <w:tblHeader/>
        </w:trPr>
        <w:tc>
          <w:tcPr>
            <w:tcW w:w="600" w:type="dxa"/>
            <w:tcBorders>
              <w:top w:val="single" w:sz="6" w:space="0" w:color="000000"/>
              <w:left w:val="none" w:sz="0" w:space="0" w:color="FFFFFF"/>
              <w:bottom w:val="single" w:sz="6" w:space="0" w:color="000000"/>
              <w:right w:val="none" w:sz="0" w:space="0" w:color="FFFFFF"/>
            </w:tcBorders>
            <w:tcMar>
              <w:top w:w="70" w:type="dxa"/>
              <w:left w:w="100" w:type="dxa"/>
              <w:bottom w:w="70" w:type="dxa"/>
              <w:right w:w="100" w:type="dxa"/>
            </w:tcMar>
          </w:tcPr>
          <w:p w:rsidR="00302B49" w:rsidRDefault="00ED5C98">
            <w:pPr>
              <w:jc w:val="center"/>
            </w:pPr>
            <w:r>
              <w:rPr>
                <w:b/>
                <w:bCs/>
                <w:sz w:val="22"/>
                <w:szCs w:val="22"/>
              </w:rPr>
              <w:t>N.º</w:t>
            </w:r>
          </w:p>
        </w:tc>
        <w:tc>
          <w:tcPr>
            <w:tcW w:w="4160" w:type="dxa"/>
            <w:tcBorders>
              <w:top w:val="single" w:sz="6" w:space="0" w:color="000000"/>
              <w:left w:val="none" w:sz="0" w:space="0" w:color="FFFFFF"/>
              <w:bottom w:val="single" w:sz="6" w:space="0" w:color="000000"/>
              <w:right w:val="none" w:sz="0" w:space="0" w:color="FFFFFF"/>
            </w:tcBorders>
            <w:tcMar>
              <w:top w:w="70" w:type="dxa"/>
              <w:left w:w="100" w:type="dxa"/>
              <w:bottom w:w="70" w:type="dxa"/>
              <w:right w:w="100" w:type="dxa"/>
            </w:tcMar>
          </w:tcPr>
          <w:p w:rsidR="00302B49" w:rsidRDefault="00ED5C98">
            <w:r>
              <w:rPr>
                <w:b/>
                <w:bCs/>
                <w:sz w:val="22"/>
                <w:szCs w:val="22"/>
              </w:rPr>
              <w:t>Escenario</w:t>
            </w:r>
          </w:p>
        </w:tc>
        <w:tc>
          <w:tcPr>
            <w:tcW w:w="4600" w:type="dxa"/>
            <w:tcBorders>
              <w:top w:val="single" w:sz="6" w:space="0" w:color="000000"/>
              <w:left w:val="none" w:sz="0" w:space="0" w:color="FFFFFF"/>
              <w:bottom w:val="single" w:sz="6" w:space="0" w:color="000000"/>
              <w:right w:val="none" w:sz="0" w:space="0" w:color="FFFFFF"/>
            </w:tcBorders>
            <w:tcMar>
              <w:top w:w="70" w:type="dxa"/>
              <w:left w:w="100" w:type="dxa"/>
              <w:bottom w:w="70" w:type="dxa"/>
              <w:right w:w="100" w:type="dxa"/>
            </w:tcMar>
          </w:tcPr>
          <w:p w:rsidR="00302B49" w:rsidRDefault="00ED5C98">
            <w:r>
              <w:rPr>
                <w:b/>
                <w:bCs/>
                <w:sz w:val="22"/>
                <w:szCs w:val="22"/>
              </w:rPr>
              <w:t>Resultado obtenido</w:t>
            </w:r>
          </w:p>
        </w:tc>
      </w:tr>
      <w:tr w:rsidR="00302B49">
        <w:tblPrEx>
          <w:tblCellMar>
            <w:top w:w="0" w:type="dxa"/>
            <w:bottom w:w="0" w:type="dxa"/>
          </w:tblCellMar>
        </w:tblPrEx>
        <w:trPr>
          <w:cantSplit/>
        </w:trPr>
        <w:tc>
          <w:tcPr>
            <w:tcW w:w="6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jc w:val="center"/>
            </w:pPr>
            <w:r>
              <w:rPr>
                <w:sz w:val="22"/>
                <w:szCs w:val="22"/>
              </w:rPr>
              <w:t>1</w:t>
            </w:r>
          </w:p>
        </w:tc>
        <w:tc>
          <w:tcPr>
            <w:tcW w:w="41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r>
              <w:rPr>
                <w:sz w:val="22"/>
                <w:szCs w:val="22"/>
              </w:rPr>
              <w:t xml:space="preserve">Se presenta la tarjeta con UID </w:t>
            </w:r>
            <w:proofErr w:type="gramStart"/>
            <w:r>
              <w:rPr>
                <w:sz w:val="22"/>
                <w:szCs w:val="22"/>
              </w:rPr>
              <w:t>FF:FF</w:t>
            </w:r>
            <w:proofErr w:type="gramEnd"/>
            <w:r>
              <w:rPr>
                <w:sz w:val="22"/>
                <w:szCs w:val="22"/>
              </w:rPr>
              <w:t>:FF:FF.</w:t>
            </w:r>
          </w:p>
        </w:tc>
        <w:tc>
          <w:tcPr>
            <w:tcW w:w="46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roofErr w:type="spellStart"/>
            <w:r>
              <w:rPr>
                <w:rFonts w:ascii="Courier New" w:eastAsia="Courier New" w:hAnsi="Courier New" w:cs="Courier New"/>
                <w:sz w:val="20"/>
                <w:szCs w:val="20"/>
              </w:rPr>
              <w:t>TarjetaNoRegistradaException</w:t>
            </w:r>
            <w:proofErr w:type="spellEnd"/>
            <w:r>
              <w:rPr>
                <w:sz w:val="22"/>
                <w:szCs w:val="22"/>
              </w:rPr>
              <w:t>; acceso denegado.</w:t>
            </w:r>
          </w:p>
        </w:tc>
      </w:tr>
      <w:tr w:rsidR="00302B49">
        <w:tblPrEx>
          <w:tblCellMar>
            <w:top w:w="0" w:type="dxa"/>
            <w:bottom w:w="0" w:type="dxa"/>
          </w:tblCellMar>
        </w:tblPrEx>
        <w:trPr>
          <w:cantSplit/>
        </w:trPr>
        <w:tc>
          <w:tcPr>
            <w:tcW w:w="6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jc w:val="center"/>
            </w:pPr>
            <w:r>
              <w:rPr>
                <w:sz w:val="22"/>
                <w:szCs w:val="22"/>
              </w:rPr>
              <w:t>2</w:t>
            </w:r>
          </w:p>
        </w:tc>
        <w:tc>
          <w:tcPr>
            <w:tcW w:w="41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r>
              <w:rPr>
                <w:sz w:val="22"/>
                <w:szCs w:val="22"/>
              </w:rPr>
              <w:t xml:space="preserve">Se presenta la tarjeta </w:t>
            </w:r>
            <w:proofErr w:type="gramStart"/>
            <w:r>
              <w:rPr>
                <w:sz w:val="22"/>
                <w:szCs w:val="22"/>
              </w:rPr>
              <w:t>A3:4F:12:8</w:t>
            </w:r>
            <w:proofErr w:type="gramEnd"/>
            <w:r>
              <w:rPr>
                <w:sz w:val="22"/>
                <w:szCs w:val="22"/>
              </w:rPr>
              <w:t>B escrita en minúsculas.</w:t>
            </w:r>
          </w:p>
        </w:tc>
        <w:tc>
          <w:tcPr>
            <w:tcW w:w="46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r>
              <w:rPr>
                <w:sz w:val="22"/>
                <w:szCs w:val="22"/>
              </w:rPr>
              <w:t>Reconocida como Sebas; el UID se normaliza a mayúsculas.</w:t>
            </w:r>
          </w:p>
        </w:tc>
      </w:tr>
      <w:tr w:rsidR="00302B49">
        <w:tblPrEx>
          <w:tblCellMar>
            <w:top w:w="0" w:type="dxa"/>
            <w:bottom w:w="0" w:type="dxa"/>
          </w:tblCellMar>
        </w:tblPrEx>
        <w:trPr>
          <w:cantSplit/>
        </w:trPr>
        <w:tc>
          <w:tcPr>
            <w:tcW w:w="6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jc w:val="center"/>
            </w:pPr>
            <w:r>
              <w:rPr>
                <w:sz w:val="22"/>
                <w:szCs w:val="22"/>
              </w:rPr>
              <w:t>3</w:t>
            </w:r>
          </w:p>
        </w:tc>
        <w:tc>
          <w:tcPr>
            <w:tcW w:w="41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r>
              <w:rPr>
                <w:sz w:val="22"/>
                <w:szCs w:val="22"/>
              </w:rPr>
              <w:t>Sebas retira $100.000 con saldo de $500.000.</w:t>
            </w:r>
          </w:p>
        </w:tc>
        <w:tc>
          <w:tcPr>
            <w:tcW w:w="46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r>
              <w:rPr>
                <w:sz w:val="22"/>
                <w:szCs w:val="22"/>
              </w:rPr>
              <w:t>Retiro aprobado; saldo de $400.000.</w:t>
            </w:r>
          </w:p>
        </w:tc>
      </w:tr>
      <w:tr w:rsidR="00302B49">
        <w:tblPrEx>
          <w:tblCellMar>
            <w:top w:w="0" w:type="dxa"/>
            <w:bottom w:w="0" w:type="dxa"/>
          </w:tblCellMar>
        </w:tblPrEx>
        <w:trPr>
          <w:cantSplit/>
        </w:trPr>
        <w:tc>
          <w:tcPr>
            <w:tcW w:w="6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jc w:val="center"/>
            </w:pPr>
            <w:r>
              <w:rPr>
                <w:sz w:val="22"/>
                <w:szCs w:val="22"/>
              </w:rPr>
              <w:t>4</w:t>
            </w:r>
          </w:p>
        </w:tc>
        <w:tc>
          <w:tcPr>
            <w:tcW w:w="41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r>
              <w:rPr>
                <w:sz w:val="22"/>
                <w:szCs w:val="22"/>
              </w:rPr>
              <w:t>Sebas intenta retirar $600.000 con saldo de $400.000.</w:t>
            </w:r>
          </w:p>
        </w:tc>
        <w:tc>
          <w:tcPr>
            <w:tcW w:w="46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roofErr w:type="spellStart"/>
            <w:r>
              <w:rPr>
                <w:rFonts w:ascii="Courier New" w:eastAsia="Courier New" w:hAnsi="Courier New" w:cs="Courier New"/>
                <w:sz w:val="20"/>
                <w:szCs w:val="20"/>
              </w:rPr>
              <w:t>SaldoInsuficienteException</w:t>
            </w:r>
            <w:proofErr w:type="spellEnd"/>
            <w:r>
              <w:rPr>
                <w:sz w:val="22"/>
                <w:szCs w:val="22"/>
              </w:rPr>
              <w:t>; el saldo no cambia.</w:t>
            </w:r>
          </w:p>
        </w:tc>
      </w:tr>
      <w:tr w:rsidR="00302B49">
        <w:tblPrEx>
          <w:tblCellMar>
            <w:top w:w="0" w:type="dxa"/>
            <w:bottom w:w="0" w:type="dxa"/>
          </w:tblCellMar>
        </w:tblPrEx>
        <w:trPr>
          <w:cantSplit/>
        </w:trPr>
        <w:tc>
          <w:tcPr>
            <w:tcW w:w="6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jc w:val="center"/>
            </w:pPr>
            <w:r>
              <w:rPr>
                <w:sz w:val="22"/>
                <w:szCs w:val="22"/>
              </w:rPr>
              <w:t>5</w:t>
            </w:r>
          </w:p>
        </w:tc>
        <w:tc>
          <w:tcPr>
            <w:tcW w:w="41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r>
              <w:rPr>
                <w:sz w:val="22"/>
                <w:szCs w:val="22"/>
              </w:rPr>
              <w:t>Sebas intenta retirar $15.000.</w:t>
            </w:r>
          </w:p>
        </w:tc>
        <w:tc>
          <w:tcPr>
            <w:tcW w:w="46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roofErr w:type="spellStart"/>
            <w:r>
              <w:rPr>
                <w:rFonts w:ascii="Courier New" w:eastAsia="Courier New" w:hAnsi="Courier New" w:cs="Courier New"/>
                <w:sz w:val="20"/>
                <w:szCs w:val="20"/>
              </w:rPr>
              <w:t>MontoInvalidoException</w:t>
            </w:r>
            <w:proofErr w:type="spellEnd"/>
            <w:r>
              <w:rPr>
                <w:sz w:val="22"/>
                <w:szCs w:val="22"/>
              </w:rPr>
              <w:t>; el monto no es múltiplo de $10.000.</w:t>
            </w:r>
          </w:p>
        </w:tc>
      </w:tr>
      <w:tr w:rsidR="00302B49">
        <w:tblPrEx>
          <w:tblCellMar>
            <w:top w:w="0" w:type="dxa"/>
            <w:bottom w:w="0" w:type="dxa"/>
          </w:tblCellMar>
        </w:tblPrEx>
        <w:trPr>
          <w:cantSplit/>
        </w:trPr>
        <w:tc>
          <w:tcPr>
            <w:tcW w:w="6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jc w:val="center"/>
            </w:pPr>
            <w:r>
              <w:rPr>
                <w:sz w:val="22"/>
                <w:szCs w:val="22"/>
              </w:rPr>
              <w:t>6</w:t>
            </w:r>
          </w:p>
        </w:tc>
        <w:tc>
          <w:tcPr>
            <w:tcW w:w="41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r>
              <w:rPr>
                <w:sz w:val="22"/>
                <w:szCs w:val="22"/>
              </w:rPr>
              <w:t>Sebas deposita $50.000 y luego intenta depositar $0.</w:t>
            </w:r>
          </w:p>
        </w:tc>
        <w:tc>
          <w:tcPr>
            <w:tcW w:w="46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r>
              <w:rPr>
                <w:sz w:val="22"/>
                <w:szCs w:val="22"/>
              </w:rPr>
              <w:t xml:space="preserve">Depósito aprobado (saldo de $450.000); el depósito de $0 lanza </w:t>
            </w:r>
            <w:proofErr w:type="spellStart"/>
            <w:r>
              <w:rPr>
                <w:rFonts w:ascii="Courier New" w:eastAsia="Courier New" w:hAnsi="Courier New" w:cs="Courier New"/>
                <w:sz w:val="20"/>
                <w:szCs w:val="20"/>
              </w:rPr>
              <w:t>MontoInvalidoException</w:t>
            </w:r>
            <w:proofErr w:type="spellEnd"/>
            <w:r>
              <w:rPr>
                <w:sz w:val="22"/>
                <w:szCs w:val="22"/>
              </w:rPr>
              <w:t>.</w:t>
            </w:r>
          </w:p>
        </w:tc>
      </w:tr>
      <w:tr w:rsidR="00302B49">
        <w:tblPrEx>
          <w:tblCellMar>
            <w:top w:w="0" w:type="dxa"/>
            <w:bottom w:w="0" w:type="dxa"/>
          </w:tblCellMar>
        </w:tblPrEx>
        <w:trPr>
          <w:cantSplit/>
        </w:trPr>
        <w:tc>
          <w:tcPr>
            <w:tcW w:w="6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jc w:val="center"/>
            </w:pPr>
            <w:r>
              <w:rPr>
                <w:sz w:val="22"/>
                <w:szCs w:val="22"/>
              </w:rPr>
              <w:t>7</w:t>
            </w:r>
          </w:p>
        </w:tc>
        <w:tc>
          <w:tcPr>
            <w:tcW w:w="41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r>
              <w:rPr>
                <w:sz w:val="22"/>
                <w:szCs w:val="22"/>
              </w:rPr>
              <w:t>Laura retira $250.000 con saldo de $200.000.</w:t>
            </w:r>
          </w:p>
        </w:tc>
        <w:tc>
          <w:tcPr>
            <w:tcW w:w="46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r>
              <w:rPr>
                <w:sz w:val="22"/>
                <w:szCs w:val="22"/>
              </w:rPr>
              <w:t>Retiro aprobado por sobregiro; saldo de −$50.000 y disponible de $50.000.</w:t>
            </w:r>
          </w:p>
        </w:tc>
      </w:tr>
      <w:tr w:rsidR="00302B49">
        <w:tblPrEx>
          <w:tblCellMar>
            <w:top w:w="0" w:type="dxa"/>
            <w:bottom w:w="0" w:type="dxa"/>
          </w:tblCellMar>
        </w:tblPrEx>
        <w:trPr>
          <w:cantSplit/>
        </w:trPr>
        <w:tc>
          <w:tcPr>
            <w:tcW w:w="6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jc w:val="center"/>
            </w:pPr>
            <w:r>
              <w:rPr>
                <w:sz w:val="22"/>
                <w:szCs w:val="22"/>
              </w:rPr>
              <w:t>8</w:t>
            </w:r>
          </w:p>
        </w:tc>
        <w:tc>
          <w:tcPr>
            <w:tcW w:w="41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r>
              <w:rPr>
                <w:sz w:val="22"/>
                <w:szCs w:val="22"/>
              </w:rPr>
              <w:t xml:space="preserve">Laura intenta retirar $100.000 con saldo de </w:t>
            </w:r>
            <w:r>
              <w:rPr>
                <w:sz w:val="22"/>
                <w:szCs w:val="22"/>
              </w:rPr>
              <w:t>−$50.000.</w:t>
            </w:r>
          </w:p>
        </w:tc>
        <w:tc>
          <w:tcPr>
            <w:tcW w:w="46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roofErr w:type="spellStart"/>
            <w:r>
              <w:rPr>
                <w:rFonts w:ascii="Courier New" w:eastAsia="Courier New" w:hAnsi="Courier New" w:cs="Courier New"/>
                <w:sz w:val="20"/>
                <w:szCs w:val="20"/>
              </w:rPr>
              <w:t>SaldoInsuficienteException</w:t>
            </w:r>
            <w:proofErr w:type="spellEnd"/>
            <w:r>
              <w:rPr>
                <w:sz w:val="22"/>
                <w:szCs w:val="22"/>
              </w:rPr>
              <w:t>; supera el cupo de sobregiro y el saldo no cambia.</w:t>
            </w:r>
          </w:p>
        </w:tc>
      </w:tr>
      <w:tr w:rsidR="00302B49">
        <w:tblPrEx>
          <w:tblCellMar>
            <w:top w:w="0" w:type="dxa"/>
            <w:bottom w:w="0" w:type="dxa"/>
          </w:tblCellMar>
        </w:tblPrEx>
        <w:trPr>
          <w:cantSplit/>
        </w:trPr>
        <w:tc>
          <w:tcPr>
            <w:tcW w:w="6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jc w:val="center"/>
            </w:pPr>
            <w:r>
              <w:rPr>
                <w:sz w:val="22"/>
                <w:szCs w:val="22"/>
              </w:rPr>
              <w:t>9</w:t>
            </w:r>
          </w:p>
        </w:tc>
        <w:tc>
          <w:tcPr>
            <w:tcW w:w="41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r>
              <w:rPr>
                <w:sz w:val="22"/>
                <w:szCs w:val="22"/>
              </w:rPr>
              <w:t>Laura retira $50.000 (límite exacto) y luego intenta retirar $10.000 más.</w:t>
            </w:r>
          </w:p>
        </w:tc>
        <w:tc>
          <w:tcPr>
            <w:tcW w:w="46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r>
              <w:rPr>
                <w:sz w:val="22"/>
                <w:szCs w:val="22"/>
              </w:rPr>
              <w:t>El primer retiro se aprueba (saldo de −$100.000, disponible de $0); el segundo se rechaza.</w:t>
            </w:r>
          </w:p>
        </w:tc>
      </w:tr>
      <w:tr w:rsidR="00302B49">
        <w:tblPrEx>
          <w:tblCellMar>
            <w:top w:w="0" w:type="dxa"/>
            <w:bottom w:w="0" w:type="dxa"/>
          </w:tblCellMar>
        </w:tblPrEx>
        <w:trPr>
          <w:cantSplit/>
        </w:trPr>
        <w:tc>
          <w:tcPr>
            <w:tcW w:w="6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jc w:val="center"/>
            </w:pPr>
            <w:r>
              <w:rPr>
                <w:sz w:val="22"/>
                <w:szCs w:val="22"/>
              </w:rPr>
              <w:t>10</w:t>
            </w:r>
          </w:p>
        </w:tc>
        <w:tc>
          <w:tcPr>
            <w:tcW w:w="41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r>
              <w:rPr>
                <w:sz w:val="22"/>
                <w:szCs w:val="22"/>
              </w:rPr>
              <w:t>Carlos digita los PIN incorrectos 1111, 2222 y 3333.</w:t>
            </w:r>
          </w:p>
        </w:tc>
        <w:tc>
          <w:tcPr>
            <w:tcW w:w="46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roofErr w:type="spellStart"/>
            <w:r>
              <w:rPr>
                <w:rFonts w:ascii="Courier New" w:eastAsia="Courier New" w:hAnsi="Courier New" w:cs="Courier New"/>
                <w:sz w:val="20"/>
                <w:szCs w:val="20"/>
              </w:rPr>
              <w:t>PinIncorrectoException</w:t>
            </w:r>
            <w:proofErr w:type="spellEnd"/>
            <w:r>
              <w:rPr>
                <w:sz w:val="22"/>
                <w:szCs w:val="22"/>
              </w:rPr>
              <w:t xml:space="preserve"> en los dos primeros (intentos 1 y 2 de 3); en el tercero, </w:t>
            </w:r>
            <w:proofErr w:type="spellStart"/>
            <w:r>
              <w:rPr>
                <w:rFonts w:ascii="Courier New" w:eastAsia="Courier New" w:hAnsi="Courier New" w:cs="Courier New"/>
                <w:sz w:val="20"/>
                <w:szCs w:val="20"/>
              </w:rPr>
              <w:t>CuentaBloqueadaException</w:t>
            </w:r>
            <w:proofErr w:type="spellEnd"/>
            <w:r>
              <w:rPr>
                <w:sz w:val="22"/>
                <w:szCs w:val="22"/>
              </w:rPr>
              <w:t xml:space="preserve"> y </w:t>
            </w:r>
            <w:r>
              <w:rPr>
                <w:sz w:val="22"/>
                <w:szCs w:val="22"/>
              </w:rPr>
              <w:t>la cuenta queda bloqueada.</w:t>
            </w:r>
          </w:p>
        </w:tc>
      </w:tr>
      <w:tr w:rsidR="00302B49">
        <w:tblPrEx>
          <w:tblCellMar>
            <w:top w:w="0" w:type="dxa"/>
            <w:bottom w:w="0" w:type="dxa"/>
          </w:tblCellMar>
        </w:tblPrEx>
        <w:trPr>
          <w:cantSplit/>
        </w:trPr>
        <w:tc>
          <w:tcPr>
            <w:tcW w:w="6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jc w:val="center"/>
            </w:pPr>
            <w:r>
              <w:rPr>
                <w:sz w:val="22"/>
                <w:szCs w:val="22"/>
              </w:rPr>
              <w:t>11</w:t>
            </w:r>
          </w:p>
        </w:tc>
        <w:tc>
          <w:tcPr>
            <w:tcW w:w="41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r>
              <w:rPr>
                <w:sz w:val="22"/>
                <w:szCs w:val="22"/>
              </w:rPr>
              <w:t>Carlos digita su PIN correcto después del bloqueo.</w:t>
            </w:r>
          </w:p>
        </w:tc>
        <w:tc>
          <w:tcPr>
            <w:tcW w:w="46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roofErr w:type="spellStart"/>
            <w:r>
              <w:rPr>
                <w:rFonts w:ascii="Courier New" w:eastAsia="Courier New" w:hAnsi="Courier New" w:cs="Courier New"/>
                <w:sz w:val="20"/>
                <w:szCs w:val="20"/>
              </w:rPr>
              <w:t>CuentaBloqueadaException</w:t>
            </w:r>
            <w:proofErr w:type="spellEnd"/>
            <w:r>
              <w:rPr>
                <w:sz w:val="22"/>
                <w:szCs w:val="22"/>
              </w:rPr>
              <w:t>; la cuenta no se desbloquea.</w:t>
            </w:r>
          </w:p>
        </w:tc>
      </w:tr>
      <w:tr w:rsidR="00302B49">
        <w:tblPrEx>
          <w:tblCellMar>
            <w:top w:w="0" w:type="dxa"/>
            <w:bottom w:w="0" w:type="dxa"/>
          </w:tblCellMar>
        </w:tblPrEx>
        <w:trPr>
          <w:cantSplit/>
        </w:trPr>
        <w:tc>
          <w:tcPr>
            <w:tcW w:w="6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pPr>
              <w:jc w:val="center"/>
            </w:pPr>
            <w:r>
              <w:rPr>
                <w:sz w:val="22"/>
                <w:szCs w:val="22"/>
              </w:rPr>
              <w:t>12</w:t>
            </w:r>
          </w:p>
        </w:tc>
        <w:tc>
          <w:tcPr>
            <w:tcW w:w="41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r>
              <w:rPr>
                <w:sz w:val="22"/>
                <w:szCs w:val="22"/>
              </w:rPr>
              <w:t>Laura cambia su PIN: nuevo igual al actual, nuevo de dos dígitos y nuevo válido.</w:t>
            </w:r>
          </w:p>
        </w:tc>
        <w:tc>
          <w:tcPr>
            <w:tcW w:w="46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rsidR="00302B49" w:rsidRDefault="00ED5C98">
            <w:r>
              <w:rPr>
                <w:sz w:val="22"/>
                <w:szCs w:val="22"/>
              </w:rPr>
              <w:t xml:space="preserve">Los dos primeros lanzan </w:t>
            </w:r>
            <w:proofErr w:type="spellStart"/>
            <w:r>
              <w:rPr>
                <w:rFonts w:ascii="Courier New" w:eastAsia="Courier New" w:hAnsi="Courier New" w:cs="Courier New"/>
                <w:sz w:val="20"/>
                <w:szCs w:val="20"/>
              </w:rPr>
              <w:t>PinInvalido</w:t>
            </w:r>
            <w:r>
              <w:rPr>
                <w:rFonts w:ascii="Courier New" w:eastAsia="Courier New" w:hAnsi="Courier New" w:cs="Courier New"/>
                <w:sz w:val="20"/>
                <w:szCs w:val="20"/>
              </w:rPr>
              <w:t>Exception</w:t>
            </w:r>
            <w:proofErr w:type="spellEnd"/>
            <w:r>
              <w:rPr>
                <w:sz w:val="22"/>
                <w:szCs w:val="22"/>
              </w:rPr>
              <w:t>; el tercero se acepta. El PIN anterior deja de funcionar y el nuevo funciona.</w:t>
            </w:r>
          </w:p>
        </w:tc>
      </w:tr>
      <w:tr w:rsidR="00302B49">
        <w:tblPrEx>
          <w:tblCellMar>
            <w:top w:w="0" w:type="dxa"/>
            <w:bottom w:w="0" w:type="dxa"/>
          </w:tblCellMar>
        </w:tblPrEx>
        <w:trPr>
          <w:cantSplit/>
        </w:trPr>
        <w:tc>
          <w:tcPr>
            <w:tcW w:w="600" w:type="dxa"/>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302B49" w:rsidRDefault="00ED5C98">
            <w:pPr>
              <w:keepNext/>
              <w:jc w:val="center"/>
            </w:pPr>
            <w:r>
              <w:rPr>
                <w:sz w:val="22"/>
                <w:szCs w:val="22"/>
              </w:rPr>
              <w:t>13</w:t>
            </w:r>
          </w:p>
        </w:tc>
        <w:tc>
          <w:tcPr>
            <w:tcW w:w="4160" w:type="dxa"/>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302B49" w:rsidRDefault="00ED5C98">
            <w:pPr>
              <w:keepNext/>
            </w:pPr>
            <w:r>
              <w:rPr>
                <w:sz w:val="22"/>
                <w:szCs w:val="22"/>
              </w:rPr>
              <w:t xml:space="preserve">Se intenta crear directamente un objeto de la clase </w:t>
            </w:r>
            <w:r>
              <w:rPr>
                <w:rFonts w:ascii="Courier New" w:eastAsia="Courier New" w:hAnsi="Courier New" w:cs="Courier New"/>
                <w:sz w:val="20"/>
                <w:szCs w:val="20"/>
              </w:rPr>
              <w:t>Cuenta</w:t>
            </w:r>
            <w:r>
              <w:rPr>
                <w:sz w:val="22"/>
                <w:szCs w:val="22"/>
              </w:rPr>
              <w:t>.</w:t>
            </w:r>
          </w:p>
        </w:tc>
        <w:tc>
          <w:tcPr>
            <w:tcW w:w="4600" w:type="dxa"/>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302B49" w:rsidRDefault="00ED5C98">
            <w:pPr>
              <w:keepNext/>
            </w:pPr>
            <w:r>
              <w:rPr>
                <w:sz w:val="22"/>
                <w:szCs w:val="22"/>
              </w:rPr>
              <w:t xml:space="preserve">Error de tipo: </w:t>
            </w:r>
            <w:r>
              <w:rPr>
                <w:rFonts w:ascii="Courier New" w:eastAsia="Courier New" w:hAnsi="Courier New" w:cs="Courier New"/>
                <w:sz w:val="20"/>
                <w:szCs w:val="20"/>
              </w:rPr>
              <w:t>Cuenta</w:t>
            </w:r>
            <w:r>
              <w:rPr>
                <w:sz w:val="22"/>
                <w:szCs w:val="22"/>
              </w:rPr>
              <w:t xml:space="preserve"> es una clase abstracta.</w:t>
            </w:r>
          </w:p>
        </w:tc>
      </w:tr>
    </w:tbl>
    <w:p w:rsidR="00302B49" w:rsidRDefault="00ED5C98">
      <w:pPr>
        <w:spacing w:before="80" w:after="360"/>
      </w:pPr>
      <w:r>
        <w:rPr>
          <w:i/>
          <w:iCs/>
          <w:sz w:val="22"/>
          <w:szCs w:val="22"/>
        </w:rPr>
        <w:t>Nota.</w:t>
      </w:r>
      <w:r>
        <w:rPr>
          <w:sz w:val="22"/>
          <w:szCs w:val="22"/>
        </w:rPr>
        <w:t xml:space="preserve"> Resultados de la ejecución de los escenarios sobre las clases de la aplicación.</w:t>
      </w:r>
    </w:p>
    <w:p w:rsidR="00302B49" w:rsidRDefault="00ED5C98">
      <w:pPr>
        <w:spacing w:line="480" w:lineRule="auto"/>
        <w:ind w:firstLine="720"/>
      </w:pPr>
      <w:r>
        <w:t>Los resultados muestran que la cuenta de ahorros nunca queda en negativo, que la cuenta corriente respeta su cupo de sobregiro hasta el valor exacto del límite, y que el bloqu</w:t>
      </w:r>
      <w:r>
        <w:t>eo tras tres intentos fallidos es definitivo dentro de la sesión: ni siquiera el PIN correcto lo revierte. También confirman que las operaciones rechazadas no alteran el saldo ni dejan movimientos registrados.</w:t>
      </w:r>
    </w:p>
    <w:p w:rsidR="00302B49" w:rsidRDefault="00ED5C98">
      <w:pPr>
        <w:pStyle w:val="Ttulo1"/>
      </w:pPr>
      <w:r>
        <w:t>Conclusiones</w:t>
      </w:r>
    </w:p>
    <w:p w:rsidR="00302B49" w:rsidRDefault="00ED5C98">
      <w:pPr>
        <w:spacing w:line="480" w:lineRule="auto"/>
        <w:ind w:firstLine="720"/>
      </w:pPr>
      <w:proofErr w:type="spellStart"/>
      <w:r>
        <w:t>AuthentiBank</w:t>
      </w:r>
      <w:proofErr w:type="spellEnd"/>
      <w:r>
        <w:t xml:space="preserve"> logró integrar una a</w:t>
      </w:r>
      <w:r>
        <w:t>utenticación de doble factor, tarjeta RFID y PIN, con una lógica bancaria orientada a objetos que cumple las reglas definidas para cada tipo de cuenta. Las pruebas realizadas confirman que el sistema rechaza las tarjetas no registradas, los PIN incorrectos</w:t>
      </w:r>
      <w:r>
        <w:t>, los retiros que incumplen la regla de saldo y los montos inválidos.</w:t>
      </w:r>
    </w:p>
    <w:p w:rsidR="00302B49" w:rsidRDefault="00ED5C98">
      <w:pPr>
        <w:spacing w:line="480" w:lineRule="auto"/>
        <w:ind w:firstLine="720"/>
      </w:pPr>
      <w:r>
        <w:t>La aplicación de los principios de la POO fue determinante: el encapsulamiento protege el saldo y el PIN, la herencia evita repetir código entre los tipos de cuenta, el polimorfismo perm</w:t>
      </w:r>
      <w:r>
        <w:t>ite que cada cuenta aplique su propia regla de retiro y las excepciones expresan los errores de negocio de forma clara.</w:t>
      </w:r>
    </w:p>
    <w:p w:rsidR="00302B49" w:rsidRDefault="00ED5C98">
      <w:pPr>
        <w:spacing w:line="480" w:lineRule="auto"/>
        <w:ind w:firstLine="720"/>
      </w:pPr>
      <w:r>
        <w:t xml:space="preserve">Aunque el prototipo físico no pudo construirse por costos y tiempo, la separación entre </w:t>
      </w:r>
      <w:proofErr w:type="spellStart"/>
      <w:r>
        <w:rPr>
          <w:rFonts w:ascii="Courier New" w:eastAsia="Courier New" w:hAnsi="Courier New" w:cs="Courier New"/>
          <w:sz w:val="22"/>
          <w:szCs w:val="22"/>
        </w:rPr>
        <w:t>LectorTarjeta</w:t>
      </w:r>
      <w:proofErr w:type="spellEnd"/>
      <w:r>
        <w:t xml:space="preserve"> y </w:t>
      </w:r>
      <w:proofErr w:type="spellStart"/>
      <w:r>
        <w:rPr>
          <w:rFonts w:ascii="Courier New" w:eastAsia="Courier New" w:hAnsi="Courier New" w:cs="Courier New"/>
          <w:sz w:val="22"/>
          <w:szCs w:val="22"/>
        </w:rPr>
        <w:t>LectorSimulado</w:t>
      </w:r>
      <w:proofErr w:type="spellEnd"/>
      <w:r>
        <w:t xml:space="preserve"> deja definido el </w:t>
      </w:r>
      <w:r>
        <w:t>punto de integración para incorporar más adelante un lector real sin reescribir la lógica del cajero.</w:t>
      </w:r>
    </w:p>
    <w:p w:rsidR="00302B49" w:rsidRDefault="00ED5C98">
      <w:pPr>
        <w:pStyle w:val="Ttulo1"/>
      </w:pPr>
      <w:r>
        <w:t>Limitaciones y recomendaciones</w:t>
      </w:r>
    </w:p>
    <w:p w:rsidR="00302B49" w:rsidRDefault="00ED5C98">
      <w:pPr>
        <w:spacing w:line="480" w:lineRule="auto"/>
        <w:ind w:firstLine="720"/>
      </w:pPr>
      <w:r>
        <w:t>La principal limitación es que la lectura de tarjetas y la comunicación serial con Arduino no están implementadas ni probadas; los datos de la aplicación, además, viven solo en memoria y se pierden al reiniciar la demostración. Como siguiente etapa se reco</w:t>
      </w:r>
      <w:r>
        <w:t>mienda completar el prototipo con el lector MFRC522 y la comunicación serial, almacenar las cuentas y los movimientos en una base de datos, guardar el PIN como un resumen criptográfico con sal en lugar de texto plano, y realizar pruebas de seguridad más am</w:t>
      </w:r>
      <w:r>
        <w:t>plias, incluida la consideración de que el UID de una tarjeta puede ser copiado.</w:t>
      </w:r>
    </w:p>
    <w:p w:rsidR="00302B49" w:rsidRDefault="00ED5C98">
      <w:pPr>
        <w:pStyle w:val="Ttulo1"/>
        <w:pageBreakBefore/>
      </w:pPr>
      <w:r>
        <w:t>Referencias</w:t>
      </w:r>
    </w:p>
    <w:p w:rsidR="00302B49" w:rsidRDefault="00ED5C98">
      <w:pPr>
        <w:spacing w:line="480" w:lineRule="auto"/>
        <w:ind w:left="720" w:hanging="720"/>
      </w:pPr>
      <w:r>
        <w:t xml:space="preserve">Bloch, J. (2018). </w:t>
      </w:r>
      <w:proofErr w:type="spellStart"/>
      <w:r>
        <w:rPr>
          <w:i/>
          <w:iCs/>
        </w:rPr>
        <w:t>Effective</w:t>
      </w:r>
      <w:proofErr w:type="spellEnd"/>
      <w:r>
        <w:rPr>
          <w:i/>
          <w:iCs/>
        </w:rPr>
        <w:t xml:space="preserve"> Java</w:t>
      </w:r>
      <w:r>
        <w:t xml:space="preserve"> (3.ª ed.). Addison-Wesley.</w:t>
      </w:r>
    </w:p>
    <w:p w:rsidR="00302B49" w:rsidRDefault="00ED5C98">
      <w:pPr>
        <w:spacing w:line="480" w:lineRule="auto"/>
        <w:ind w:left="720" w:hanging="720"/>
      </w:pPr>
      <w:r>
        <w:t xml:space="preserve">NXP </w:t>
      </w:r>
      <w:proofErr w:type="spellStart"/>
      <w:r>
        <w:t>Semiconductors</w:t>
      </w:r>
      <w:proofErr w:type="spellEnd"/>
      <w:r>
        <w:t xml:space="preserve">. (2016). </w:t>
      </w:r>
      <w:r>
        <w:rPr>
          <w:i/>
          <w:iCs/>
        </w:rPr>
        <w:t xml:space="preserve">MFRC522: Standard performance MIFARE and NTAG </w:t>
      </w:r>
      <w:proofErr w:type="spellStart"/>
      <w:r>
        <w:rPr>
          <w:i/>
          <w:iCs/>
        </w:rPr>
        <w:t>frontend</w:t>
      </w:r>
      <w:proofErr w:type="spellEnd"/>
      <w:r>
        <w:t xml:space="preserve"> (Rev. 3.9) [Hoja de </w:t>
      </w:r>
      <w:r>
        <w:t xml:space="preserve">datos]. </w:t>
      </w:r>
      <w:hyperlink r:id="rId7" w:history="1">
        <w:r>
          <w:rPr>
            <w:color w:val="0563C1"/>
            <w:u w:val="single"/>
          </w:rPr>
          <w:t>https://www.nxp.com/docs/en/data-sheet/MFRC522.pdf</w:t>
        </w:r>
      </w:hyperlink>
    </w:p>
    <w:p w:rsidR="00302B49" w:rsidRDefault="00ED5C98">
      <w:pPr>
        <w:spacing w:line="480" w:lineRule="auto"/>
        <w:ind w:left="720" w:hanging="720"/>
      </w:pPr>
      <w:r>
        <w:t xml:space="preserve">Oracle. (s. f.). </w:t>
      </w:r>
      <w:proofErr w:type="spellStart"/>
      <w:r>
        <w:rPr>
          <w:i/>
          <w:iCs/>
        </w:rPr>
        <w:t>Lesson</w:t>
      </w:r>
      <w:proofErr w:type="spellEnd"/>
      <w:r>
        <w:rPr>
          <w:i/>
          <w:iCs/>
        </w:rPr>
        <w:t xml:space="preserve">: </w:t>
      </w:r>
      <w:proofErr w:type="spellStart"/>
      <w:r>
        <w:rPr>
          <w:i/>
          <w:iCs/>
        </w:rPr>
        <w:t>Object-oriented</w:t>
      </w:r>
      <w:proofErr w:type="spellEnd"/>
      <w:r>
        <w:rPr>
          <w:i/>
          <w:iCs/>
        </w:rPr>
        <w:t xml:space="preserve"> </w:t>
      </w:r>
      <w:proofErr w:type="spellStart"/>
      <w:r>
        <w:rPr>
          <w:i/>
          <w:iCs/>
        </w:rPr>
        <w:t>programming</w:t>
      </w:r>
      <w:proofErr w:type="spellEnd"/>
      <w:r>
        <w:rPr>
          <w:i/>
          <w:iCs/>
        </w:rPr>
        <w:t xml:space="preserve"> </w:t>
      </w:r>
      <w:proofErr w:type="spellStart"/>
      <w:r>
        <w:rPr>
          <w:i/>
          <w:iCs/>
        </w:rPr>
        <w:t>concepts</w:t>
      </w:r>
      <w:proofErr w:type="spellEnd"/>
      <w:r>
        <w:t xml:space="preserve">. </w:t>
      </w:r>
      <w:proofErr w:type="spellStart"/>
      <w:r>
        <w:t>The</w:t>
      </w:r>
      <w:proofErr w:type="spellEnd"/>
      <w:r>
        <w:t xml:space="preserve"> Java </w:t>
      </w:r>
      <w:proofErr w:type="spellStart"/>
      <w:r>
        <w:t>Tutorials</w:t>
      </w:r>
      <w:proofErr w:type="spellEnd"/>
      <w:r>
        <w:t xml:space="preserve">. </w:t>
      </w:r>
      <w:hyperlink r:id="rId8" w:history="1">
        <w:r>
          <w:rPr>
            <w:color w:val="0563C1"/>
            <w:u w:val="single"/>
          </w:rPr>
          <w:t>https://docs.oracle.com/javase/tutorial/java/concepts/index.html</w:t>
        </w:r>
      </w:hyperlink>
    </w:p>
    <w:p w:rsidR="00302B49" w:rsidRDefault="00ED5C98">
      <w:pPr>
        <w:spacing w:line="480" w:lineRule="auto"/>
        <w:ind w:left="720" w:hanging="720"/>
      </w:pPr>
      <w:proofErr w:type="spellStart"/>
      <w:r>
        <w:t>Temoshok</w:t>
      </w:r>
      <w:proofErr w:type="spellEnd"/>
      <w:r>
        <w:t xml:space="preserve">, D., </w:t>
      </w:r>
      <w:proofErr w:type="spellStart"/>
      <w:r>
        <w:t>Galluzzo</w:t>
      </w:r>
      <w:proofErr w:type="spellEnd"/>
      <w:r>
        <w:t xml:space="preserve">, R., </w:t>
      </w:r>
      <w:proofErr w:type="spellStart"/>
      <w:r>
        <w:t>LaSalle</w:t>
      </w:r>
      <w:proofErr w:type="spellEnd"/>
      <w:r>
        <w:t xml:space="preserve">, C., </w:t>
      </w:r>
      <w:proofErr w:type="spellStart"/>
      <w:r>
        <w:t>Lefkovitz</w:t>
      </w:r>
      <w:proofErr w:type="spellEnd"/>
      <w:r>
        <w:t xml:space="preserve">, N., </w:t>
      </w:r>
      <w:proofErr w:type="spellStart"/>
      <w:r>
        <w:t>Regenscheid</w:t>
      </w:r>
      <w:proofErr w:type="spellEnd"/>
      <w:r>
        <w:t xml:space="preserve">, A., </w:t>
      </w:r>
      <w:proofErr w:type="spellStart"/>
      <w:r>
        <w:t>Choong</w:t>
      </w:r>
      <w:proofErr w:type="spellEnd"/>
      <w:r>
        <w:t xml:space="preserve">, Y.-Y., </w:t>
      </w:r>
      <w:proofErr w:type="spellStart"/>
      <w:r>
        <w:t>Proud</w:t>
      </w:r>
      <w:proofErr w:type="spellEnd"/>
      <w:r>
        <w:t xml:space="preserve">-Madruga, D., &amp; Gupta, S. (2025). </w:t>
      </w:r>
      <w:r>
        <w:rPr>
          <w:i/>
          <w:iCs/>
        </w:rPr>
        <w:t xml:space="preserve">Digital </w:t>
      </w:r>
      <w:proofErr w:type="spellStart"/>
      <w:r>
        <w:rPr>
          <w:i/>
          <w:iCs/>
        </w:rPr>
        <w:t>identity</w:t>
      </w:r>
      <w:proofErr w:type="spellEnd"/>
      <w:r>
        <w:rPr>
          <w:i/>
          <w:iCs/>
        </w:rPr>
        <w:t xml:space="preserve"> </w:t>
      </w:r>
      <w:proofErr w:type="spellStart"/>
      <w:r>
        <w:rPr>
          <w:i/>
          <w:iCs/>
        </w:rPr>
        <w:t>guidelines</w:t>
      </w:r>
      <w:proofErr w:type="spellEnd"/>
      <w:r>
        <w:t xml:space="preserve"> (N</w:t>
      </w:r>
      <w:r>
        <w:t xml:space="preserve">IST </w:t>
      </w:r>
      <w:proofErr w:type="spellStart"/>
      <w:r>
        <w:t>Special</w:t>
      </w:r>
      <w:proofErr w:type="spellEnd"/>
      <w:r>
        <w:t xml:space="preserve"> </w:t>
      </w:r>
      <w:proofErr w:type="spellStart"/>
      <w:r>
        <w:t>Publication</w:t>
      </w:r>
      <w:proofErr w:type="spellEnd"/>
      <w:r>
        <w:t xml:space="preserve"> 800-63-4). </w:t>
      </w: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w:t>
      </w:r>
      <w:proofErr w:type="spellStart"/>
      <w:r>
        <w:t>Standards</w:t>
      </w:r>
      <w:proofErr w:type="spellEnd"/>
      <w:r>
        <w:t xml:space="preserve"> and </w:t>
      </w:r>
      <w:proofErr w:type="spellStart"/>
      <w:r>
        <w:t>Technology</w:t>
      </w:r>
      <w:proofErr w:type="spellEnd"/>
      <w:r>
        <w:t xml:space="preserve">. </w:t>
      </w:r>
      <w:hyperlink r:id="rId9" w:history="1">
        <w:r>
          <w:rPr>
            <w:color w:val="0563C1"/>
            <w:u w:val="single"/>
          </w:rPr>
          <w:t>https://doi.org/10.6028/NIST.SP.800-63-4</w:t>
        </w:r>
      </w:hyperlink>
    </w:p>
    <w:sectPr w:rsidR="00302B49">
      <w:head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ED5C98" w:rsidRDefault="00ED5C98">
      <w:r>
        <w:separator/>
      </w:r>
    </w:p>
  </w:endnote>
  <w:endnote w:type="continuationSeparator" w:id="0">
    <w:p w:rsidR="00ED5C98" w:rsidRDefault="00ED5C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ED5C98" w:rsidRDefault="00ED5C98">
      <w:r>
        <w:separator/>
      </w:r>
    </w:p>
  </w:footnote>
  <w:footnote w:type="continuationSeparator" w:id="0">
    <w:p w:rsidR="00ED5C98" w:rsidRDefault="00ED5C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302B49" w:rsidRDefault="00ED5C98">
    <w:pPr>
      <w:jc w:val="right"/>
    </w:pPr>
    <w:r>
      <w:fldChar w:fldCharType="begin"/>
    </w:r>
    <w:r>
      <w:instrText>PAGE</w:instrText>
    </w:r>
    <w:r w:rsidR="00A56D82">
      <w:fldChar w:fldCharType="separate"/>
    </w:r>
    <w:r w:rsidR="00A56D82">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7FE5AF2"/>
    <w:multiLevelType w:val="hybridMultilevel"/>
    <w:tmpl w:val="8C24C60A"/>
    <w:lvl w:ilvl="0" w:tplc="F4DA128E">
      <w:start w:val="1"/>
      <w:numFmt w:val="bullet"/>
      <w:lvlText w:val="●"/>
      <w:lvlJc w:val="left"/>
      <w:pPr>
        <w:ind w:left="720" w:hanging="360"/>
      </w:pPr>
    </w:lvl>
    <w:lvl w:ilvl="1" w:tplc="1EC497E4">
      <w:start w:val="1"/>
      <w:numFmt w:val="bullet"/>
      <w:lvlText w:val="○"/>
      <w:lvlJc w:val="left"/>
      <w:pPr>
        <w:ind w:left="1440" w:hanging="360"/>
      </w:pPr>
    </w:lvl>
    <w:lvl w:ilvl="2" w:tplc="7F682C7C">
      <w:start w:val="1"/>
      <w:numFmt w:val="bullet"/>
      <w:lvlText w:val="■"/>
      <w:lvlJc w:val="left"/>
      <w:pPr>
        <w:ind w:left="2160" w:hanging="360"/>
      </w:pPr>
    </w:lvl>
    <w:lvl w:ilvl="3" w:tplc="1820C88A">
      <w:start w:val="1"/>
      <w:numFmt w:val="bullet"/>
      <w:lvlText w:val="●"/>
      <w:lvlJc w:val="left"/>
      <w:pPr>
        <w:ind w:left="2880" w:hanging="360"/>
      </w:pPr>
    </w:lvl>
    <w:lvl w:ilvl="4" w:tplc="F2E26CCA">
      <w:start w:val="1"/>
      <w:numFmt w:val="bullet"/>
      <w:lvlText w:val="○"/>
      <w:lvlJc w:val="left"/>
      <w:pPr>
        <w:ind w:left="3600" w:hanging="360"/>
      </w:pPr>
    </w:lvl>
    <w:lvl w:ilvl="5" w:tplc="05F0388A">
      <w:start w:val="1"/>
      <w:numFmt w:val="bullet"/>
      <w:lvlText w:val="■"/>
      <w:lvlJc w:val="left"/>
      <w:pPr>
        <w:ind w:left="4320" w:hanging="360"/>
      </w:pPr>
    </w:lvl>
    <w:lvl w:ilvl="6" w:tplc="57A85282">
      <w:start w:val="1"/>
      <w:numFmt w:val="bullet"/>
      <w:lvlText w:val="●"/>
      <w:lvlJc w:val="left"/>
      <w:pPr>
        <w:ind w:left="5040" w:hanging="360"/>
      </w:pPr>
    </w:lvl>
    <w:lvl w:ilvl="7" w:tplc="B98CAFE4">
      <w:start w:val="1"/>
      <w:numFmt w:val="bullet"/>
      <w:lvlText w:val="●"/>
      <w:lvlJc w:val="left"/>
      <w:pPr>
        <w:ind w:left="5760" w:hanging="360"/>
      </w:pPr>
    </w:lvl>
    <w:lvl w:ilvl="8" w:tplc="53AC52CC">
      <w:start w:val="1"/>
      <w:numFmt w:val="bullet"/>
      <w:lvlText w:val="●"/>
      <w:lvlJc w:val="left"/>
      <w:pPr>
        <w:ind w:left="6480" w:hanging="360"/>
      </w:pPr>
    </w:lvl>
  </w:abstractNum>
  <w:abstractNum w:abstractNumId="1" w15:restartNumberingAfterBreak="0">
    <w:nsid w:val="56A77EED"/>
    <w:multiLevelType w:val="hybridMultilevel"/>
    <w:tmpl w:val="1D4E973E"/>
    <w:lvl w:ilvl="0" w:tplc="C66A8DF6">
      <w:start w:val="1"/>
      <w:numFmt w:val="decimal"/>
      <w:lvlText w:val="%1."/>
      <w:lvlJc w:val="left"/>
      <w:pPr>
        <w:ind w:left="720" w:hanging="360"/>
      </w:pPr>
    </w:lvl>
    <w:lvl w:ilvl="1" w:tplc="9E048E80">
      <w:numFmt w:val="decimal"/>
      <w:lvlText w:val=""/>
      <w:lvlJc w:val="left"/>
    </w:lvl>
    <w:lvl w:ilvl="2" w:tplc="71589846">
      <w:numFmt w:val="decimal"/>
      <w:lvlText w:val=""/>
      <w:lvlJc w:val="left"/>
    </w:lvl>
    <w:lvl w:ilvl="3" w:tplc="381A961E">
      <w:numFmt w:val="decimal"/>
      <w:lvlText w:val=""/>
      <w:lvlJc w:val="left"/>
    </w:lvl>
    <w:lvl w:ilvl="4" w:tplc="6B007AA8">
      <w:numFmt w:val="decimal"/>
      <w:lvlText w:val=""/>
      <w:lvlJc w:val="left"/>
    </w:lvl>
    <w:lvl w:ilvl="5" w:tplc="DCEE5326">
      <w:numFmt w:val="decimal"/>
      <w:lvlText w:val=""/>
      <w:lvlJc w:val="left"/>
    </w:lvl>
    <w:lvl w:ilvl="6" w:tplc="6E0AE566">
      <w:numFmt w:val="decimal"/>
      <w:lvlText w:val=""/>
      <w:lvlJc w:val="left"/>
    </w:lvl>
    <w:lvl w:ilvl="7" w:tplc="194E38E4">
      <w:numFmt w:val="decimal"/>
      <w:lvlText w:val=""/>
      <w:lvlJc w:val="left"/>
    </w:lvl>
    <w:lvl w:ilvl="8" w:tplc="D0B07E3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B49"/>
    <w:rsid w:val="00302B49"/>
    <w:rsid w:val="00A56D82"/>
    <w:rsid w:val="00ED5C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C027B"/>
  <w15:docId w15:val="{7EF64DA3-A531-48B2-85B8-1011CFB60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line="480" w:lineRule="auto"/>
      <w:jc w:val="center"/>
      <w:outlineLvl w:val="0"/>
    </w:pPr>
    <w:rPr>
      <w:b/>
      <w:bCs/>
      <w:color w:val="000000"/>
    </w:rPr>
  </w:style>
  <w:style w:type="paragraph" w:styleId="Ttulo2">
    <w:name w:val="heading 2"/>
    <w:uiPriority w:val="9"/>
    <w:unhideWhenUsed/>
    <w:qFormat/>
    <w:pPr>
      <w:keepNext/>
      <w:spacing w:line="480" w:lineRule="auto"/>
      <w:outlineLvl w:val="1"/>
    </w:pPr>
    <w:rPr>
      <w:b/>
      <w:bCs/>
      <w:color w:val="000000"/>
    </w:rPr>
  </w:style>
  <w:style w:type="paragraph" w:styleId="Ttulo3">
    <w:name w:val="heading 3"/>
    <w:uiPriority w:val="9"/>
    <w:semiHidden/>
    <w:unhideWhenUsed/>
    <w:qFormat/>
    <w:pPr>
      <w:keepNext/>
      <w:spacing w:line="480" w:lineRule="auto"/>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docs.oracle.com/javase/tutorial/java/concepts/index.html" TargetMode="External"/><Relationship Id="rId3" Type="http://schemas.openxmlformats.org/officeDocument/2006/relationships/settings" Target="settings.xml"/><Relationship Id="rId7" Type="http://schemas.openxmlformats.org/officeDocument/2006/relationships/hyperlink" Target="https://www.nxp.com/docs/en/data-sheet/MFRC522.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i.org/10.6028/NIST.SP.800-63-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2454</Words>
  <Characters>13497</Characters>
  <Application>Microsoft Office Word</Application>
  <DocSecurity>0</DocSecurity>
  <Lines>112</Lines>
  <Paragraphs>31</Paragraphs>
  <ScaleCrop>false</ScaleCrop>
  <Company/>
  <LinksUpToDate>false</LinksUpToDate>
  <CharactersWithSpaces>15920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AuthentiBank: cajero automático con autenticación de doble factor (RFID y PIN) y Programación Orientada a Objetos en Java</dc:title>
  <dc:creator>Julián Mateo Tovar Rojas, Sebastián Torres Ochoa, Kevin Santiago Carreño Giraldo</dc:creator>
  <cp:lastModifiedBy>magally jimenez</cp:lastModifiedBy>
  <cp:revision>2</cp:revision>
  <dcterms:created xsi:type="dcterms:W3CDTF">2026-10-26T23:33:00Z</dcterms:created>
  <dcterms:modified xsi:type="dcterms:W3CDTF">2026-10-26T23:33:00Z</dcterms:modified>
</cp:coreProperties>
</file>