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5DC48" w14:textId="77777777" w:rsidR="00A62EA9" w:rsidRPr="00970661" w:rsidRDefault="00A62EA9" w:rsidP="007B487D">
      <w:pPr>
        <w:pStyle w:val="NormalWeb"/>
        <w:spacing w:before="0" w:beforeAutospacing="0" w:after="0" w:afterAutospacing="0" w:line="360" w:lineRule="auto"/>
        <w:rPr>
          <w:rFonts w:asciiTheme="minorHAnsi" w:hAnsiTheme="minorHAnsi" w:cstheme="minorHAnsi"/>
        </w:rPr>
      </w:pPr>
      <w:r w:rsidRPr="00970661">
        <w:rPr>
          <w:rFonts w:asciiTheme="minorHAnsi" w:hAnsiTheme="minorHAnsi" w:cstheme="minorHAnsi"/>
          <w:b/>
          <w:bCs/>
          <w:color w:val="000000"/>
        </w:rPr>
        <w:t>To</w:t>
      </w:r>
      <w:r w:rsidRPr="00970661">
        <w:rPr>
          <w:rFonts w:asciiTheme="minorHAnsi" w:hAnsiTheme="minorHAnsi" w:cstheme="minorHAnsi"/>
          <w:color w:val="000000"/>
        </w:rPr>
        <w:t>: Tony Stark, CEO, Janzen Consulting Group</w:t>
      </w:r>
    </w:p>
    <w:p w14:paraId="71209C22" w14:textId="77777777" w:rsidR="00A62EA9" w:rsidRPr="00970661" w:rsidRDefault="00A62EA9" w:rsidP="007B487D">
      <w:pPr>
        <w:pStyle w:val="NormalWeb"/>
        <w:spacing w:before="0" w:beforeAutospacing="0" w:after="0" w:afterAutospacing="0" w:line="360" w:lineRule="auto"/>
        <w:rPr>
          <w:rFonts w:asciiTheme="minorHAnsi" w:hAnsiTheme="minorHAnsi" w:cstheme="minorHAnsi"/>
        </w:rPr>
      </w:pPr>
      <w:r w:rsidRPr="00970661">
        <w:rPr>
          <w:rFonts w:asciiTheme="minorHAnsi" w:hAnsiTheme="minorHAnsi" w:cstheme="minorHAnsi"/>
          <w:b/>
          <w:bCs/>
          <w:color w:val="000000"/>
        </w:rPr>
        <w:t>From</w:t>
      </w:r>
      <w:r w:rsidRPr="00970661">
        <w:rPr>
          <w:rFonts w:asciiTheme="minorHAnsi" w:hAnsiTheme="minorHAnsi" w:cstheme="minorHAnsi"/>
          <w:color w:val="000000"/>
        </w:rPr>
        <w:t>: Colin Bradley and Julian Vazquez, Junior Data Analysts, Janzen Consulting Group</w:t>
      </w:r>
    </w:p>
    <w:p w14:paraId="24104E31" w14:textId="0EDA121D" w:rsidR="00A62EA9" w:rsidRPr="00970661" w:rsidRDefault="00A62EA9" w:rsidP="007B487D">
      <w:pPr>
        <w:pStyle w:val="NormalWeb"/>
        <w:spacing w:before="0" w:beforeAutospacing="0" w:after="0" w:afterAutospacing="0" w:line="360" w:lineRule="auto"/>
        <w:rPr>
          <w:rFonts w:asciiTheme="minorHAnsi" w:hAnsiTheme="minorHAnsi" w:cstheme="minorHAnsi"/>
        </w:rPr>
      </w:pPr>
      <w:r w:rsidRPr="00970661">
        <w:rPr>
          <w:rFonts w:asciiTheme="minorHAnsi" w:hAnsiTheme="minorHAnsi" w:cstheme="minorHAnsi"/>
          <w:b/>
          <w:bCs/>
          <w:color w:val="000000"/>
        </w:rPr>
        <w:t>RE</w:t>
      </w:r>
      <w:r w:rsidRPr="00970661">
        <w:rPr>
          <w:rFonts w:asciiTheme="minorHAnsi" w:hAnsiTheme="minorHAnsi" w:cstheme="minorHAnsi"/>
          <w:color w:val="000000"/>
        </w:rPr>
        <w:t>: Relationship between video game genres and publishers</w:t>
      </w:r>
    </w:p>
    <w:p w14:paraId="20947AC1" w14:textId="7A84C773" w:rsidR="00A62EA9" w:rsidRPr="00970661" w:rsidRDefault="00A62EA9" w:rsidP="007B487D">
      <w:pPr>
        <w:pStyle w:val="NormalWeb"/>
        <w:spacing w:before="0" w:beforeAutospacing="0" w:after="0" w:afterAutospacing="0" w:line="360" w:lineRule="auto"/>
        <w:ind w:firstLine="720"/>
        <w:rPr>
          <w:rFonts w:asciiTheme="minorHAnsi" w:hAnsiTheme="minorHAnsi" w:cstheme="minorHAnsi"/>
        </w:rPr>
      </w:pPr>
      <w:r w:rsidRPr="00970661">
        <w:rPr>
          <w:rFonts w:asciiTheme="minorHAnsi" w:hAnsiTheme="minorHAnsi" w:cstheme="minorHAnsi"/>
          <w:color w:val="000000"/>
        </w:rPr>
        <w:t>In the past few decades, the video game industry has grown so much it has now become a multi-</w:t>
      </w:r>
      <w:r w:rsidR="002B34EF" w:rsidRPr="00970661">
        <w:rPr>
          <w:rFonts w:asciiTheme="minorHAnsi" w:hAnsiTheme="minorHAnsi" w:cstheme="minorHAnsi"/>
          <w:color w:val="000000"/>
        </w:rPr>
        <w:t>billion-dollar</w:t>
      </w:r>
      <w:r w:rsidRPr="00970661">
        <w:rPr>
          <w:rFonts w:asciiTheme="minorHAnsi" w:hAnsiTheme="minorHAnsi" w:cstheme="minorHAnsi"/>
          <w:color w:val="000000"/>
        </w:rPr>
        <w:t xml:space="preserve"> industry. Within this industry there’s a wide variety of genres, and an even larger number of publishers. As expected, it is possible that in order to compete in this ever-changing market, some industries have decided that their best bet is to specialize in a few selected video game genres. By studying the relationship between publishers and genres, companies can determine what their competition is producing, which in turn will aid in creating an effective strategy to maintain and/or increase sales revenue. </w:t>
      </w:r>
    </w:p>
    <w:tbl>
      <w:tblPr>
        <w:tblStyle w:val="TableGridLight"/>
        <w:tblpPr w:leftFromText="180" w:rightFromText="180" w:vertAnchor="text" w:horzAnchor="margin" w:tblpY="1287"/>
        <w:tblW w:w="0" w:type="auto"/>
        <w:tblLook w:val="04A0" w:firstRow="1" w:lastRow="0" w:firstColumn="1" w:lastColumn="0" w:noHBand="0" w:noVBand="1"/>
      </w:tblPr>
      <w:tblGrid>
        <w:gridCol w:w="1611"/>
        <w:gridCol w:w="716"/>
        <w:gridCol w:w="1073"/>
      </w:tblGrid>
      <w:tr w:rsidR="001A72BB" w14:paraId="3DFC6D86" w14:textId="77777777" w:rsidTr="006E65DC">
        <w:trPr>
          <w:trHeight w:val="210"/>
        </w:trPr>
        <w:tc>
          <w:tcPr>
            <w:tcW w:w="3400" w:type="dxa"/>
            <w:gridSpan w:val="3"/>
            <w:tcBorders>
              <w:top w:val="single" w:sz="4" w:space="0" w:color="FFFFFF" w:themeColor="background1"/>
            </w:tcBorders>
          </w:tcPr>
          <w:p w14:paraId="0AC4E11B" w14:textId="77777777" w:rsidR="001A72BB" w:rsidRPr="006246CF" w:rsidRDefault="001A72BB" w:rsidP="007B487D">
            <w:pPr>
              <w:contextualSpacing/>
              <w:jc w:val="center"/>
              <w:rPr>
                <w:rFonts w:cstheme="minorHAnsi"/>
                <w:b/>
              </w:rPr>
            </w:pPr>
            <w:bookmarkStart w:id="0" w:name="_Hlk2264937"/>
            <w:r w:rsidRPr="006246CF">
              <w:rPr>
                <w:rFonts w:cstheme="minorHAnsi"/>
                <w:b/>
              </w:rPr>
              <w:t>Table 1: Variable Summary</w:t>
            </w:r>
          </w:p>
        </w:tc>
      </w:tr>
      <w:tr w:rsidR="001A72BB" w14:paraId="3D51699B" w14:textId="77777777" w:rsidTr="001A72BB">
        <w:trPr>
          <w:trHeight w:val="198"/>
        </w:trPr>
        <w:tc>
          <w:tcPr>
            <w:tcW w:w="1611" w:type="dxa"/>
          </w:tcPr>
          <w:p w14:paraId="180287AC" w14:textId="77777777" w:rsidR="001A72BB" w:rsidRPr="00DE6F2C" w:rsidRDefault="001A72BB" w:rsidP="007B487D">
            <w:pPr>
              <w:contextualSpacing/>
              <w:rPr>
                <w:rFonts w:cstheme="minorHAnsi"/>
                <w:b/>
              </w:rPr>
            </w:pPr>
            <w:r>
              <w:rPr>
                <w:rFonts w:cstheme="minorHAnsi"/>
                <w:b/>
              </w:rPr>
              <w:t>Publisher</w:t>
            </w:r>
          </w:p>
        </w:tc>
        <w:tc>
          <w:tcPr>
            <w:tcW w:w="716" w:type="dxa"/>
          </w:tcPr>
          <w:p w14:paraId="341B8ABB" w14:textId="77777777" w:rsidR="001A72BB" w:rsidRDefault="001A72BB" w:rsidP="007B487D">
            <w:pPr>
              <w:contextualSpacing/>
              <w:jc w:val="center"/>
              <w:rPr>
                <w:rFonts w:cstheme="minorHAnsi"/>
              </w:rPr>
            </w:pPr>
            <w:r>
              <w:rPr>
                <w:rFonts w:cstheme="minorHAnsi"/>
              </w:rPr>
              <w:t>Freq.</w:t>
            </w:r>
          </w:p>
        </w:tc>
        <w:tc>
          <w:tcPr>
            <w:tcW w:w="1073" w:type="dxa"/>
          </w:tcPr>
          <w:p w14:paraId="1FA5F915" w14:textId="77777777" w:rsidR="001A72BB" w:rsidRDefault="001A72BB" w:rsidP="007B487D">
            <w:pPr>
              <w:contextualSpacing/>
              <w:jc w:val="center"/>
              <w:rPr>
                <w:rFonts w:cstheme="minorHAnsi"/>
              </w:rPr>
            </w:pPr>
            <w:r>
              <w:rPr>
                <w:rFonts w:cstheme="minorHAnsi"/>
              </w:rPr>
              <w:t>Percent</w:t>
            </w:r>
          </w:p>
        </w:tc>
      </w:tr>
      <w:tr w:rsidR="001A72BB" w14:paraId="3F96B02A" w14:textId="77777777" w:rsidTr="001A72BB">
        <w:trPr>
          <w:trHeight w:val="210"/>
        </w:trPr>
        <w:tc>
          <w:tcPr>
            <w:tcW w:w="1611" w:type="dxa"/>
          </w:tcPr>
          <w:p w14:paraId="774D2404" w14:textId="77777777" w:rsidR="001A72BB" w:rsidRDefault="001A72BB" w:rsidP="007B487D">
            <w:pPr>
              <w:contextualSpacing/>
              <w:rPr>
                <w:rFonts w:cstheme="minorHAnsi"/>
              </w:rPr>
            </w:pPr>
            <w:r>
              <w:rPr>
                <w:rFonts w:cstheme="minorHAnsi"/>
              </w:rPr>
              <w:t>Nintendo</w:t>
            </w:r>
          </w:p>
        </w:tc>
        <w:tc>
          <w:tcPr>
            <w:tcW w:w="716" w:type="dxa"/>
          </w:tcPr>
          <w:p w14:paraId="656B9CF2" w14:textId="77777777" w:rsidR="001A72BB" w:rsidRDefault="001A72BB" w:rsidP="007B487D">
            <w:pPr>
              <w:contextualSpacing/>
              <w:jc w:val="center"/>
              <w:rPr>
                <w:rFonts w:cstheme="minorHAnsi"/>
              </w:rPr>
            </w:pPr>
            <w:r>
              <w:rPr>
                <w:rFonts w:cstheme="minorHAnsi"/>
              </w:rPr>
              <w:t>97</w:t>
            </w:r>
          </w:p>
        </w:tc>
        <w:tc>
          <w:tcPr>
            <w:tcW w:w="1073" w:type="dxa"/>
          </w:tcPr>
          <w:p w14:paraId="6C70D48A" w14:textId="77777777" w:rsidR="001A72BB" w:rsidRDefault="001A72BB" w:rsidP="007B487D">
            <w:pPr>
              <w:contextualSpacing/>
              <w:jc w:val="center"/>
              <w:rPr>
                <w:rFonts w:cstheme="minorHAnsi"/>
              </w:rPr>
            </w:pPr>
            <w:r>
              <w:rPr>
                <w:rFonts w:cstheme="minorHAnsi"/>
              </w:rPr>
              <w:t>12.2%</w:t>
            </w:r>
          </w:p>
        </w:tc>
      </w:tr>
      <w:tr w:rsidR="001A72BB" w14:paraId="783CBB9C" w14:textId="77777777" w:rsidTr="001A72BB">
        <w:trPr>
          <w:trHeight w:val="198"/>
        </w:trPr>
        <w:tc>
          <w:tcPr>
            <w:tcW w:w="1611" w:type="dxa"/>
          </w:tcPr>
          <w:p w14:paraId="12F102D1" w14:textId="77777777" w:rsidR="001A72BB" w:rsidRDefault="001A72BB" w:rsidP="007B487D">
            <w:pPr>
              <w:contextualSpacing/>
              <w:rPr>
                <w:rFonts w:cstheme="minorHAnsi"/>
              </w:rPr>
            </w:pPr>
            <w:r w:rsidRPr="00480CF8">
              <w:t xml:space="preserve">Activision </w:t>
            </w:r>
          </w:p>
        </w:tc>
        <w:tc>
          <w:tcPr>
            <w:tcW w:w="716" w:type="dxa"/>
          </w:tcPr>
          <w:p w14:paraId="4305D14F" w14:textId="7D5E064F" w:rsidR="001A72BB" w:rsidRDefault="006B192A" w:rsidP="007B487D">
            <w:pPr>
              <w:contextualSpacing/>
              <w:jc w:val="center"/>
              <w:rPr>
                <w:rFonts w:cstheme="minorHAnsi"/>
              </w:rPr>
            </w:pPr>
            <w:r>
              <w:t>476</w:t>
            </w:r>
          </w:p>
        </w:tc>
        <w:tc>
          <w:tcPr>
            <w:tcW w:w="1073" w:type="dxa"/>
          </w:tcPr>
          <w:p w14:paraId="513BA52E" w14:textId="69D1D40C" w:rsidR="001A72BB" w:rsidRDefault="006B192A" w:rsidP="007B487D">
            <w:pPr>
              <w:contextualSpacing/>
              <w:jc w:val="center"/>
              <w:rPr>
                <w:rFonts w:cstheme="minorHAnsi"/>
              </w:rPr>
            </w:pPr>
            <w:r>
              <w:t>59.6</w:t>
            </w:r>
            <w:r w:rsidR="001A72BB">
              <w:t>%</w:t>
            </w:r>
          </w:p>
        </w:tc>
      </w:tr>
      <w:tr w:rsidR="001A72BB" w14:paraId="37544D20" w14:textId="77777777" w:rsidTr="001A72BB">
        <w:trPr>
          <w:trHeight w:val="416"/>
        </w:trPr>
        <w:tc>
          <w:tcPr>
            <w:tcW w:w="1611" w:type="dxa"/>
          </w:tcPr>
          <w:p w14:paraId="4CF65113" w14:textId="77777777" w:rsidR="001A72BB" w:rsidRDefault="001A72BB" w:rsidP="007B487D">
            <w:pPr>
              <w:contextualSpacing/>
              <w:rPr>
                <w:rFonts w:cstheme="minorHAnsi"/>
              </w:rPr>
            </w:pPr>
            <w:r>
              <w:rPr>
                <w:rFonts w:cstheme="minorHAnsi"/>
              </w:rPr>
              <w:t>Microsoft Game Studios</w:t>
            </w:r>
          </w:p>
        </w:tc>
        <w:tc>
          <w:tcPr>
            <w:tcW w:w="716" w:type="dxa"/>
          </w:tcPr>
          <w:p w14:paraId="2091140E" w14:textId="751C6872" w:rsidR="001A72BB" w:rsidRDefault="006B192A" w:rsidP="007B487D">
            <w:pPr>
              <w:contextualSpacing/>
              <w:jc w:val="center"/>
              <w:rPr>
                <w:rFonts w:cstheme="minorHAnsi"/>
              </w:rPr>
            </w:pPr>
            <w:r>
              <w:rPr>
                <w:rFonts w:cstheme="minorHAnsi"/>
              </w:rPr>
              <w:t>54</w:t>
            </w:r>
          </w:p>
          <w:p w14:paraId="78BB21DE" w14:textId="77777777" w:rsidR="001A72BB" w:rsidRDefault="001A72BB" w:rsidP="007B487D">
            <w:pPr>
              <w:contextualSpacing/>
              <w:jc w:val="center"/>
              <w:rPr>
                <w:rFonts w:cstheme="minorHAnsi"/>
              </w:rPr>
            </w:pPr>
          </w:p>
        </w:tc>
        <w:tc>
          <w:tcPr>
            <w:tcW w:w="1073" w:type="dxa"/>
          </w:tcPr>
          <w:p w14:paraId="3E0F381C" w14:textId="7D03837C" w:rsidR="001A72BB" w:rsidRDefault="001A72BB" w:rsidP="007B487D">
            <w:pPr>
              <w:contextualSpacing/>
              <w:rPr>
                <w:rFonts w:cstheme="minorHAnsi"/>
              </w:rPr>
            </w:pPr>
            <w:r>
              <w:rPr>
                <w:rFonts w:cstheme="minorHAnsi"/>
              </w:rPr>
              <w:t xml:space="preserve">    </w:t>
            </w:r>
            <w:r w:rsidR="006B192A">
              <w:rPr>
                <w:rFonts w:cstheme="minorHAnsi"/>
              </w:rPr>
              <w:t>6.8%</w:t>
            </w:r>
          </w:p>
          <w:p w14:paraId="68E86AC1" w14:textId="77777777" w:rsidR="001A72BB" w:rsidRDefault="001A72BB" w:rsidP="007B487D">
            <w:pPr>
              <w:contextualSpacing/>
              <w:jc w:val="center"/>
              <w:rPr>
                <w:rFonts w:cstheme="minorHAnsi"/>
              </w:rPr>
            </w:pPr>
          </w:p>
        </w:tc>
      </w:tr>
      <w:tr w:rsidR="001A72BB" w14:paraId="56F0455C" w14:textId="77777777" w:rsidTr="001A72BB">
        <w:trPr>
          <w:trHeight w:val="416"/>
        </w:trPr>
        <w:tc>
          <w:tcPr>
            <w:tcW w:w="1611" w:type="dxa"/>
          </w:tcPr>
          <w:p w14:paraId="381F8464" w14:textId="77777777" w:rsidR="001A72BB" w:rsidRDefault="001A72BB" w:rsidP="007B487D">
            <w:pPr>
              <w:contextualSpacing/>
              <w:rPr>
                <w:rFonts w:cstheme="minorHAnsi"/>
              </w:rPr>
            </w:pPr>
            <w:r>
              <w:rPr>
                <w:rFonts w:cstheme="minorHAnsi"/>
              </w:rPr>
              <w:t>Sony Computer Entertainment</w:t>
            </w:r>
          </w:p>
        </w:tc>
        <w:tc>
          <w:tcPr>
            <w:tcW w:w="716" w:type="dxa"/>
          </w:tcPr>
          <w:p w14:paraId="2C26B9E9" w14:textId="00545043" w:rsidR="001A72BB" w:rsidRDefault="0052262D" w:rsidP="007B487D">
            <w:pPr>
              <w:contextualSpacing/>
              <w:jc w:val="center"/>
              <w:rPr>
                <w:rFonts w:cstheme="minorHAnsi"/>
              </w:rPr>
            </w:pPr>
            <w:r>
              <w:rPr>
                <w:rFonts w:cstheme="minorHAnsi"/>
              </w:rPr>
              <w:t>171</w:t>
            </w:r>
          </w:p>
        </w:tc>
        <w:tc>
          <w:tcPr>
            <w:tcW w:w="1073" w:type="dxa"/>
          </w:tcPr>
          <w:p w14:paraId="64B6E15B" w14:textId="0D44659F" w:rsidR="001A72BB" w:rsidRDefault="001A72BB" w:rsidP="007B487D">
            <w:pPr>
              <w:contextualSpacing/>
              <w:jc w:val="center"/>
              <w:rPr>
                <w:rFonts w:cstheme="minorHAnsi"/>
              </w:rPr>
            </w:pPr>
            <w:r>
              <w:rPr>
                <w:rFonts w:cstheme="minorHAnsi"/>
              </w:rPr>
              <w:t xml:space="preserve">    </w:t>
            </w:r>
            <w:r w:rsidR="006B192A">
              <w:t>21.4%</w:t>
            </w:r>
          </w:p>
        </w:tc>
      </w:tr>
      <w:tr w:rsidR="001A72BB" w14:paraId="779FD4ED" w14:textId="77777777" w:rsidTr="001A72BB">
        <w:trPr>
          <w:trHeight w:val="210"/>
        </w:trPr>
        <w:tc>
          <w:tcPr>
            <w:tcW w:w="1611" w:type="dxa"/>
          </w:tcPr>
          <w:p w14:paraId="5AA1CA70" w14:textId="77777777" w:rsidR="001A72BB" w:rsidRPr="00EC12D1" w:rsidRDefault="001A72BB" w:rsidP="007B487D">
            <w:pPr>
              <w:contextualSpacing/>
              <w:rPr>
                <w:rFonts w:cstheme="minorHAnsi"/>
                <w:u w:val="single"/>
              </w:rPr>
            </w:pPr>
            <w:r w:rsidRPr="00EC12D1">
              <w:rPr>
                <w:rFonts w:cstheme="minorHAnsi"/>
                <w:u w:val="single"/>
              </w:rPr>
              <w:t>Total</w:t>
            </w:r>
          </w:p>
        </w:tc>
        <w:tc>
          <w:tcPr>
            <w:tcW w:w="716" w:type="dxa"/>
          </w:tcPr>
          <w:p w14:paraId="0BE019BC" w14:textId="77777777" w:rsidR="001A72BB" w:rsidRDefault="001A72BB" w:rsidP="007B487D">
            <w:pPr>
              <w:contextualSpacing/>
              <w:jc w:val="center"/>
              <w:rPr>
                <w:rFonts w:cstheme="minorHAnsi"/>
              </w:rPr>
            </w:pPr>
            <w:r>
              <w:rPr>
                <w:rFonts w:cstheme="minorHAnsi"/>
              </w:rPr>
              <w:t>798</w:t>
            </w:r>
          </w:p>
        </w:tc>
        <w:tc>
          <w:tcPr>
            <w:tcW w:w="1073" w:type="dxa"/>
          </w:tcPr>
          <w:p w14:paraId="2F47FC1E" w14:textId="77777777" w:rsidR="001A72BB" w:rsidRDefault="001A72BB" w:rsidP="007B487D">
            <w:pPr>
              <w:contextualSpacing/>
              <w:jc w:val="center"/>
              <w:rPr>
                <w:rFonts w:cstheme="minorHAnsi"/>
              </w:rPr>
            </w:pPr>
            <w:r>
              <w:rPr>
                <w:rFonts w:cstheme="minorHAnsi"/>
              </w:rPr>
              <w:t>100%</w:t>
            </w:r>
          </w:p>
        </w:tc>
      </w:tr>
      <w:tr w:rsidR="001A72BB" w14:paraId="42E42061" w14:textId="77777777" w:rsidTr="006E65DC">
        <w:trPr>
          <w:trHeight w:val="198"/>
        </w:trPr>
        <w:tc>
          <w:tcPr>
            <w:tcW w:w="2327" w:type="dxa"/>
            <w:gridSpan w:val="2"/>
            <w:tcBorders>
              <w:right w:val="single" w:sz="4" w:space="0" w:color="FFFFFF" w:themeColor="background1"/>
            </w:tcBorders>
          </w:tcPr>
          <w:p w14:paraId="49B8739F" w14:textId="77777777" w:rsidR="001A72BB" w:rsidRPr="00DE6F2C" w:rsidRDefault="001A72BB" w:rsidP="007B487D">
            <w:pPr>
              <w:contextualSpacing/>
              <w:rPr>
                <w:rFonts w:cstheme="minorHAnsi"/>
                <w:b/>
              </w:rPr>
            </w:pPr>
            <w:r>
              <w:rPr>
                <w:rFonts w:cstheme="minorHAnsi"/>
                <w:b/>
              </w:rPr>
              <w:t>Genre</w:t>
            </w:r>
          </w:p>
        </w:tc>
        <w:tc>
          <w:tcPr>
            <w:tcW w:w="1073" w:type="dxa"/>
            <w:tcBorders>
              <w:left w:val="single" w:sz="4" w:space="0" w:color="FFFFFF" w:themeColor="background1"/>
            </w:tcBorders>
          </w:tcPr>
          <w:p w14:paraId="4438676A" w14:textId="77777777" w:rsidR="001A72BB" w:rsidRDefault="001A72BB" w:rsidP="007B487D">
            <w:pPr>
              <w:contextualSpacing/>
              <w:jc w:val="center"/>
              <w:rPr>
                <w:rFonts w:cstheme="minorHAnsi"/>
              </w:rPr>
            </w:pPr>
          </w:p>
        </w:tc>
      </w:tr>
      <w:tr w:rsidR="001A72BB" w14:paraId="0F9F000B" w14:textId="77777777" w:rsidTr="001A72BB">
        <w:trPr>
          <w:trHeight w:val="210"/>
        </w:trPr>
        <w:tc>
          <w:tcPr>
            <w:tcW w:w="1611" w:type="dxa"/>
          </w:tcPr>
          <w:p w14:paraId="44BAFF08" w14:textId="77777777" w:rsidR="001A72BB" w:rsidRDefault="001A72BB" w:rsidP="007B487D">
            <w:pPr>
              <w:contextualSpacing/>
              <w:rPr>
                <w:rFonts w:cstheme="minorHAnsi"/>
              </w:rPr>
            </w:pPr>
            <w:r>
              <w:rPr>
                <w:rFonts w:cstheme="minorHAnsi"/>
              </w:rPr>
              <w:t>Fighting</w:t>
            </w:r>
          </w:p>
        </w:tc>
        <w:tc>
          <w:tcPr>
            <w:tcW w:w="716" w:type="dxa"/>
          </w:tcPr>
          <w:p w14:paraId="54D6AEEC" w14:textId="77777777" w:rsidR="001A72BB" w:rsidRDefault="001A72BB" w:rsidP="007B487D">
            <w:pPr>
              <w:contextualSpacing/>
              <w:jc w:val="center"/>
              <w:rPr>
                <w:rFonts w:cstheme="minorHAnsi"/>
              </w:rPr>
            </w:pPr>
            <w:r>
              <w:rPr>
                <w:rFonts w:cstheme="minorHAnsi"/>
              </w:rPr>
              <w:t>60</w:t>
            </w:r>
          </w:p>
        </w:tc>
        <w:tc>
          <w:tcPr>
            <w:tcW w:w="1073" w:type="dxa"/>
          </w:tcPr>
          <w:p w14:paraId="4B01657B" w14:textId="77777777" w:rsidR="001A72BB" w:rsidRDefault="001A72BB" w:rsidP="007B487D">
            <w:pPr>
              <w:contextualSpacing/>
              <w:jc w:val="center"/>
              <w:rPr>
                <w:rFonts w:cstheme="minorHAnsi"/>
              </w:rPr>
            </w:pPr>
            <w:r>
              <w:rPr>
                <w:rFonts w:cstheme="minorHAnsi"/>
              </w:rPr>
              <w:t>7.5%</w:t>
            </w:r>
          </w:p>
        </w:tc>
      </w:tr>
      <w:tr w:rsidR="001A72BB" w14:paraId="1BEC2034" w14:textId="77777777" w:rsidTr="001A72BB">
        <w:trPr>
          <w:trHeight w:val="198"/>
        </w:trPr>
        <w:tc>
          <w:tcPr>
            <w:tcW w:w="1611" w:type="dxa"/>
          </w:tcPr>
          <w:p w14:paraId="61D17019" w14:textId="77777777" w:rsidR="001A72BB" w:rsidRDefault="001A72BB" w:rsidP="007B487D">
            <w:pPr>
              <w:contextualSpacing/>
              <w:rPr>
                <w:rFonts w:cstheme="minorHAnsi"/>
              </w:rPr>
            </w:pPr>
            <w:r>
              <w:rPr>
                <w:rFonts w:cstheme="minorHAnsi"/>
              </w:rPr>
              <w:t>Action</w:t>
            </w:r>
          </w:p>
        </w:tc>
        <w:tc>
          <w:tcPr>
            <w:tcW w:w="716" w:type="dxa"/>
          </w:tcPr>
          <w:p w14:paraId="3AC66193" w14:textId="77777777" w:rsidR="001A72BB" w:rsidRDefault="001A72BB" w:rsidP="007B487D">
            <w:pPr>
              <w:contextualSpacing/>
              <w:jc w:val="center"/>
              <w:rPr>
                <w:rFonts w:cstheme="minorHAnsi"/>
              </w:rPr>
            </w:pPr>
            <w:r>
              <w:rPr>
                <w:rFonts w:cstheme="minorHAnsi"/>
              </w:rPr>
              <w:t>500</w:t>
            </w:r>
          </w:p>
        </w:tc>
        <w:tc>
          <w:tcPr>
            <w:tcW w:w="1073" w:type="dxa"/>
          </w:tcPr>
          <w:p w14:paraId="679A0CDB" w14:textId="77777777" w:rsidR="001A72BB" w:rsidRDefault="001A72BB" w:rsidP="007B487D">
            <w:pPr>
              <w:contextualSpacing/>
              <w:jc w:val="center"/>
              <w:rPr>
                <w:rFonts w:cstheme="minorHAnsi"/>
              </w:rPr>
            </w:pPr>
            <w:r>
              <w:rPr>
                <w:rFonts w:cstheme="minorHAnsi"/>
              </w:rPr>
              <w:t>62.7%</w:t>
            </w:r>
          </w:p>
        </w:tc>
      </w:tr>
      <w:tr w:rsidR="001A72BB" w14:paraId="24B6DA1C" w14:textId="77777777" w:rsidTr="001A72BB">
        <w:trPr>
          <w:trHeight w:val="210"/>
        </w:trPr>
        <w:tc>
          <w:tcPr>
            <w:tcW w:w="1611" w:type="dxa"/>
          </w:tcPr>
          <w:p w14:paraId="4C9C1AEB" w14:textId="77777777" w:rsidR="001A72BB" w:rsidRDefault="001A72BB" w:rsidP="007B487D">
            <w:pPr>
              <w:contextualSpacing/>
              <w:rPr>
                <w:rFonts w:cstheme="minorHAnsi"/>
              </w:rPr>
            </w:pPr>
            <w:r>
              <w:rPr>
                <w:rFonts w:cstheme="minorHAnsi"/>
              </w:rPr>
              <w:t>Shooter</w:t>
            </w:r>
          </w:p>
        </w:tc>
        <w:tc>
          <w:tcPr>
            <w:tcW w:w="716" w:type="dxa"/>
          </w:tcPr>
          <w:p w14:paraId="1BC193C6" w14:textId="77777777" w:rsidR="001A72BB" w:rsidRDefault="001A72BB" w:rsidP="007B487D">
            <w:pPr>
              <w:contextualSpacing/>
              <w:jc w:val="center"/>
              <w:rPr>
                <w:rFonts w:cstheme="minorHAnsi"/>
              </w:rPr>
            </w:pPr>
            <w:r>
              <w:rPr>
                <w:rFonts w:cstheme="minorHAnsi"/>
              </w:rPr>
              <w:t>238</w:t>
            </w:r>
          </w:p>
        </w:tc>
        <w:tc>
          <w:tcPr>
            <w:tcW w:w="1073" w:type="dxa"/>
          </w:tcPr>
          <w:p w14:paraId="6C4EC3B5" w14:textId="77777777" w:rsidR="001A72BB" w:rsidRDefault="001A72BB" w:rsidP="007B487D">
            <w:pPr>
              <w:contextualSpacing/>
              <w:jc w:val="center"/>
              <w:rPr>
                <w:rFonts w:cstheme="minorHAnsi"/>
              </w:rPr>
            </w:pPr>
            <w:r>
              <w:rPr>
                <w:rFonts w:cstheme="minorHAnsi"/>
              </w:rPr>
              <w:t>29.8%</w:t>
            </w:r>
          </w:p>
        </w:tc>
      </w:tr>
      <w:tr w:rsidR="001A72BB" w14:paraId="16E53B23" w14:textId="77777777" w:rsidTr="001A72BB">
        <w:trPr>
          <w:trHeight w:val="198"/>
        </w:trPr>
        <w:tc>
          <w:tcPr>
            <w:tcW w:w="1611" w:type="dxa"/>
          </w:tcPr>
          <w:p w14:paraId="15DA389E" w14:textId="77777777" w:rsidR="001A72BB" w:rsidRPr="00EC12D1" w:rsidRDefault="001A72BB" w:rsidP="007B487D">
            <w:pPr>
              <w:contextualSpacing/>
              <w:rPr>
                <w:rFonts w:cstheme="minorHAnsi"/>
                <w:u w:val="single"/>
              </w:rPr>
            </w:pPr>
            <w:r w:rsidRPr="00EC12D1">
              <w:rPr>
                <w:rFonts w:cstheme="minorHAnsi"/>
                <w:u w:val="single"/>
              </w:rPr>
              <w:t>Total</w:t>
            </w:r>
          </w:p>
        </w:tc>
        <w:tc>
          <w:tcPr>
            <w:tcW w:w="716" w:type="dxa"/>
          </w:tcPr>
          <w:p w14:paraId="6FBAD412" w14:textId="77777777" w:rsidR="001A72BB" w:rsidRDefault="001A72BB" w:rsidP="007B487D">
            <w:pPr>
              <w:contextualSpacing/>
              <w:jc w:val="center"/>
              <w:rPr>
                <w:rFonts w:cstheme="minorHAnsi"/>
              </w:rPr>
            </w:pPr>
            <w:r>
              <w:rPr>
                <w:rFonts w:cstheme="minorHAnsi"/>
              </w:rPr>
              <w:t>798</w:t>
            </w:r>
          </w:p>
        </w:tc>
        <w:tc>
          <w:tcPr>
            <w:tcW w:w="1073" w:type="dxa"/>
          </w:tcPr>
          <w:p w14:paraId="6D66AC19" w14:textId="77777777" w:rsidR="001A72BB" w:rsidRDefault="001A72BB" w:rsidP="007B487D">
            <w:pPr>
              <w:contextualSpacing/>
              <w:jc w:val="center"/>
              <w:rPr>
                <w:rFonts w:cstheme="minorHAnsi"/>
              </w:rPr>
            </w:pPr>
            <w:r>
              <w:rPr>
                <w:rFonts w:cstheme="minorHAnsi"/>
              </w:rPr>
              <w:t>100%</w:t>
            </w:r>
          </w:p>
        </w:tc>
      </w:tr>
    </w:tbl>
    <w:bookmarkEnd w:id="0"/>
    <w:p w14:paraId="6513F93D" w14:textId="731A7186" w:rsidR="001A72BB" w:rsidRPr="001A72BB" w:rsidRDefault="00A62EA9" w:rsidP="007B487D">
      <w:pPr>
        <w:pStyle w:val="NormalWeb"/>
        <w:spacing w:before="0" w:beforeAutospacing="0" w:after="0" w:afterAutospacing="0" w:line="360" w:lineRule="auto"/>
        <w:ind w:firstLine="720"/>
        <w:rPr>
          <w:rFonts w:asciiTheme="minorHAnsi" w:hAnsiTheme="minorHAnsi" w:cstheme="minorHAnsi"/>
          <w:color w:val="000000"/>
        </w:rPr>
      </w:pPr>
      <w:r w:rsidRPr="00970661">
        <w:rPr>
          <w:rFonts w:asciiTheme="minorHAnsi" w:hAnsiTheme="minorHAnsi" w:cstheme="minorHAnsi"/>
          <w:color w:val="000000"/>
        </w:rPr>
        <w:t xml:space="preserve">As previously mentioned, specialization is a strategy that takes place in every industry, and the video game industry is no different. For this reason, we hypothesize that publishers prioritize specific genres for game releases. Essentially, this would mean that from what we can gather from our dataset, publishers </w:t>
      </w:r>
      <w:proofErr w:type="gramStart"/>
      <w:r w:rsidRPr="00970661">
        <w:rPr>
          <w:rFonts w:asciiTheme="minorHAnsi" w:hAnsiTheme="minorHAnsi" w:cstheme="minorHAnsi"/>
          <w:color w:val="000000"/>
        </w:rPr>
        <w:t>have a preference for</w:t>
      </w:r>
      <w:proofErr w:type="gramEnd"/>
      <w:r w:rsidRPr="00970661">
        <w:rPr>
          <w:rFonts w:asciiTheme="minorHAnsi" w:hAnsiTheme="minorHAnsi" w:cstheme="minorHAnsi"/>
          <w:color w:val="000000"/>
        </w:rPr>
        <w:t xml:space="preserve"> certain genres. Based on our findings, this relationship between genre of video games and publishers does exist. </w:t>
      </w:r>
    </w:p>
    <w:p w14:paraId="62A3FB72" w14:textId="3FF17CB2" w:rsidR="00A62EA9" w:rsidRDefault="00A62EA9" w:rsidP="007B487D">
      <w:pPr>
        <w:pStyle w:val="NormalWeb"/>
        <w:spacing w:before="0" w:beforeAutospacing="0" w:after="0" w:afterAutospacing="0" w:line="360" w:lineRule="auto"/>
        <w:ind w:firstLine="720"/>
        <w:rPr>
          <w:rFonts w:asciiTheme="minorHAnsi" w:hAnsiTheme="minorHAnsi" w:cstheme="minorHAnsi"/>
          <w:color w:val="000000"/>
        </w:rPr>
      </w:pPr>
      <w:r w:rsidRPr="00970661">
        <w:rPr>
          <w:rFonts w:asciiTheme="minorHAnsi" w:hAnsiTheme="minorHAnsi" w:cstheme="minorHAnsi"/>
          <w:color w:val="000000"/>
        </w:rPr>
        <w:t>For our analysis, we decided to use a subset of more than 16,500 video games sales data. More specifically, we decided to focus our efforts on four of the most popular video game publishers: Nintendo, Activision, Sony Computer Entertainment and Microsoft Game Studios</w:t>
      </w:r>
      <w:r w:rsidR="0048756A" w:rsidRPr="00970661">
        <w:rPr>
          <w:rStyle w:val="FootnoteReference"/>
          <w:rFonts w:asciiTheme="minorHAnsi" w:hAnsiTheme="minorHAnsi" w:cstheme="minorHAnsi"/>
          <w:color w:val="000000"/>
        </w:rPr>
        <w:footnoteReference w:id="1"/>
      </w:r>
      <w:r w:rsidRPr="00970661">
        <w:rPr>
          <w:rFonts w:asciiTheme="minorHAnsi" w:hAnsiTheme="minorHAnsi" w:cstheme="minorHAnsi"/>
          <w:color w:val="000000"/>
        </w:rPr>
        <w:t>. For genres, we narrowed it down to three of the top genres in the market that portray violent behavior: fighting, action and shooter.</w:t>
      </w:r>
      <w:r w:rsidRPr="00970661">
        <w:rPr>
          <w:rStyle w:val="FootnoteReference"/>
          <w:rFonts w:asciiTheme="minorHAnsi" w:hAnsiTheme="minorHAnsi" w:cstheme="minorHAnsi"/>
          <w:color w:val="000000"/>
        </w:rPr>
        <w:footnoteReference w:id="2"/>
      </w:r>
      <w:r w:rsidRPr="00970661">
        <w:rPr>
          <w:rFonts w:asciiTheme="minorHAnsi" w:hAnsiTheme="minorHAnsi" w:cstheme="minorHAnsi"/>
          <w:color w:val="000000"/>
        </w:rPr>
        <w:t xml:space="preserve"> </w:t>
      </w:r>
    </w:p>
    <w:p w14:paraId="7DE29B3D" w14:textId="77777777" w:rsidR="007B487D" w:rsidRPr="00970661" w:rsidRDefault="00A62EA9" w:rsidP="007B487D">
      <w:pPr>
        <w:pStyle w:val="NormalWeb"/>
        <w:spacing w:before="0" w:beforeAutospacing="0" w:after="0" w:afterAutospacing="0" w:line="360" w:lineRule="auto"/>
        <w:ind w:firstLine="720"/>
        <w:rPr>
          <w:rFonts w:asciiTheme="minorHAnsi" w:hAnsiTheme="minorHAnsi" w:cstheme="minorHAnsi"/>
          <w:color w:val="000000"/>
        </w:rPr>
      </w:pPr>
      <w:r w:rsidRPr="00970661">
        <w:rPr>
          <w:rFonts w:asciiTheme="minorHAnsi" w:hAnsiTheme="minorHAnsi" w:cstheme="minorHAnsi"/>
          <w:color w:val="000000"/>
        </w:rPr>
        <w:t xml:space="preserve">Our contingency table showed that Nintendo, Activision and Sony Computer Entertainment all favor the genre “Action” over “Fighting” and “Shooter.” This genre makes up </w:t>
      </w:r>
      <w:r w:rsidRPr="00970661">
        <w:rPr>
          <w:rFonts w:asciiTheme="minorHAnsi" w:hAnsiTheme="minorHAnsi" w:cstheme="minorHAnsi"/>
          <w:color w:val="000000"/>
        </w:rPr>
        <w:lastRenderedPageBreak/>
        <w:t xml:space="preserve">81.4%, 65.1% and 52.6% of their video game releases, respectively, within the bounds of our subset. Similarly, while Microsoft Game Studios may not prioritize “Action” games like the other </w:t>
      </w:r>
    </w:p>
    <w:p w14:paraId="30603F7C" w14:textId="66137110" w:rsidR="007B487D" w:rsidRDefault="00A62EA9" w:rsidP="007B487D">
      <w:pPr>
        <w:pStyle w:val="NormalWeb"/>
        <w:spacing w:before="0" w:beforeAutospacing="0" w:after="0" w:afterAutospacing="0" w:line="360" w:lineRule="auto"/>
        <w:rPr>
          <w:rFonts w:asciiTheme="minorHAnsi" w:hAnsiTheme="minorHAnsi" w:cstheme="minorHAnsi"/>
          <w:color w:val="000000"/>
        </w:rPr>
      </w:pPr>
      <w:r w:rsidRPr="00970661">
        <w:rPr>
          <w:rFonts w:asciiTheme="minorHAnsi" w:hAnsiTheme="minorHAnsi" w:cstheme="minorHAnsi"/>
          <w:color w:val="000000"/>
        </w:rPr>
        <w:t xml:space="preserve">publishers, they prioritize “Shooter” games, which constitute </w:t>
      </w:r>
      <w:r w:rsidR="002200E5">
        <w:rPr>
          <w:rFonts w:asciiTheme="minorHAnsi" w:hAnsiTheme="minorHAnsi" w:cstheme="minorHAnsi"/>
          <w:color w:val="000000"/>
        </w:rPr>
        <w:t xml:space="preserve">nearly </w:t>
      </w:r>
      <w:r w:rsidRPr="00970661">
        <w:rPr>
          <w:rFonts w:asciiTheme="minorHAnsi" w:hAnsiTheme="minorHAnsi" w:cstheme="minorHAnsi"/>
          <w:color w:val="000000"/>
        </w:rPr>
        <w:t xml:space="preserve">52% of their game releases. </w:t>
      </w:r>
    </w:p>
    <w:tbl>
      <w:tblPr>
        <w:tblStyle w:val="TableGridLight"/>
        <w:tblpPr w:leftFromText="180" w:rightFromText="180" w:vertAnchor="text" w:horzAnchor="margin" w:tblpYSpec="bottom"/>
        <w:tblW w:w="0" w:type="auto"/>
        <w:tblLook w:val="04A0" w:firstRow="1" w:lastRow="0" w:firstColumn="1" w:lastColumn="0" w:noHBand="0" w:noVBand="1"/>
      </w:tblPr>
      <w:tblGrid>
        <w:gridCol w:w="2043"/>
        <w:gridCol w:w="1252"/>
        <w:gridCol w:w="1542"/>
        <w:gridCol w:w="1896"/>
        <w:gridCol w:w="1858"/>
      </w:tblGrid>
      <w:tr w:rsidR="00F6458E" w14:paraId="2DEA7182" w14:textId="77777777" w:rsidTr="00272A2A">
        <w:trPr>
          <w:trHeight w:val="89"/>
        </w:trPr>
        <w:tc>
          <w:tcPr>
            <w:tcW w:w="4837" w:type="dxa"/>
            <w:gridSpan w:val="3"/>
            <w:tcBorders>
              <w:right w:val="single" w:sz="4" w:space="0" w:color="FFFFFF" w:themeColor="background1"/>
            </w:tcBorders>
          </w:tcPr>
          <w:p w14:paraId="1E61176B" w14:textId="77777777" w:rsidR="00F6458E" w:rsidRPr="006246CF" w:rsidRDefault="00F6458E" w:rsidP="00F6458E">
            <w:pPr>
              <w:contextualSpacing/>
              <w:rPr>
                <w:rFonts w:cstheme="minorHAnsi"/>
                <w:b/>
              </w:rPr>
            </w:pPr>
            <w:r w:rsidRPr="006246CF">
              <w:rPr>
                <w:rFonts w:cstheme="minorHAnsi"/>
                <w:b/>
              </w:rPr>
              <w:t xml:space="preserve">Table 2: </w:t>
            </w:r>
            <w:r>
              <w:rPr>
                <w:rFonts w:cstheme="minorHAnsi"/>
                <w:b/>
              </w:rPr>
              <w:t>Genre &amp; Publishers</w:t>
            </w:r>
          </w:p>
        </w:tc>
        <w:tc>
          <w:tcPr>
            <w:tcW w:w="1896" w:type="dxa"/>
            <w:tcBorders>
              <w:left w:val="single" w:sz="4" w:space="0" w:color="FFFFFF" w:themeColor="background1"/>
              <w:right w:val="single" w:sz="4" w:space="0" w:color="FFFFFF" w:themeColor="background1"/>
            </w:tcBorders>
          </w:tcPr>
          <w:p w14:paraId="0DCC1AF2" w14:textId="77777777" w:rsidR="00F6458E" w:rsidRPr="006246CF" w:rsidRDefault="00F6458E" w:rsidP="00F6458E">
            <w:pPr>
              <w:contextualSpacing/>
              <w:rPr>
                <w:rFonts w:cstheme="minorHAnsi"/>
                <w:b/>
              </w:rPr>
            </w:pPr>
          </w:p>
        </w:tc>
        <w:tc>
          <w:tcPr>
            <w:tcW w:w="1858" w:type="dxa"/>
            <w:tcBorders>
              <w:left w:val="single" w:sz="4" w:space="0" w:color="FFFFFF" w:themeColor="background1"/>
            </w:tcBorders>
          </w:tcPr>
          <w:p w14:paraId="6A327CCB" w14:textId="77777777" w:rsidR="00F6458E" w:rsidRPr="006246CF" w:rsidRDefault="00F6458E" w:rsidP="00F6458E">
            <w:pPr>
              <w:contextualSpacing/>
              <w:jc w:val="center"/>
              <w:rPr>
                <w:rFonts w:cstheme="minorHAnsi"/>
                <w:b/>
              </w:rPr>
            </w:pPr>
          </w:p>
        </w:tc>
      </w:tr>
      <w:tr w:rsidR="00F6458E" w14:paraId="4574A1B1" w14:textId="77777777" w:rsidTr="00F6458E">
        <w:trPr>
          <w:trHeight w:val="84"/>
        </w:trPr>
        <w:tc>
          <w:tcPr>
            <w:tcW w:w="2043" w:type="dxa"/>
          </w:tcPr>
          <w:p w14:paraId="16114213" w14:textId="77777777" w:rsidR="00F6458E" w:rsidRPr="006B09F0" w:rsidRDefault="00F6458E" w:rsidP="00F6458E">
            <w:pPr>
              <w:contextualSpacing/>
              <w:rPr>
                <w:rFonts w:cstheme="minorHAnsi"/>
              </w:rPr>
            </w:pPr>
          </w:p>
        </w:tc>
        <w:tc>
          <w:tcPr>
            <w:tcW w:w="1252" w:type="dxa"/>
          </w:tcPr>
          <w:p w14:paraId="2F208F12" w14:textId="77777777" w:rsidR="00F6458E" w:rsidRPr="006B09F0" w:rsidRDefault="00F6458E" w:rsidP="00F6458E">
            <w:pPr>
              <w:contextualSpacing/>
              <w:jc w:val="center"/>
              <w:rPr>
                <w:rFonts w:cstheme="minorHAnsi"/>
              </w:rPr>
            </w:pPr>
            <w:r w:rsidRPr="006B09F0">
              <w:rPr>
                <w:rFonts w:cstheme="minorHAnsi"/>
              </w:rPr>
              <w:t>Fighting</w:t>
            </w:r>
          </w:p>
        </w:tc>
        <w:tc>
          <w:tcPr>
            <w:tcW w:w="1542" w:type="dxa"/>
          </w:tcPr>
          <w:p w14:paraId="0F1D79E9" w14:textId="77777777" w:rsidR="00F6458E" w:rsidRPr="006B09F0" w:rsidRDefault="00F6458E" w:rsidP="00F6458E">
            <w:pPr>
              <w:contextualSpacing/>
              <w:jc w:val="center"/>
              <w:rPr>
                <w:rFonts w:cstheme="minorHAnsi"/>
              </w:rPr>
            </w:pPr>
            <w:r w:rsidRPr="006B09F0">
              <w:rPr>
                <w:rFonts w:cstheme="minorHAnsi"/>
              </w:rPr>
              <w:t>Action</w:t>
            </w:r>
          </w:p>
        </w:tc>
        <w:tc>
          <w:tcPr>
            <w:tcW w:w="1896" w:type="dxa"/>
          </w:tcPr>
          <w:p w14:paraId="78DAA759" w14:textId="77777777" w:rsidR="00F6458E" w:rsidRPr="006B09F0" w:rsidRDefault="00F6458E" w:rsidP="00F6458E">
            <w:pPr>
              <w:contextualSpacing/>
              <w:jc w:val="center"/>
              <w:rPr>
                <w:rFonts w:cstheme="minorHAnsi"/>
              </w:rPr>
            </w:pPr>
            <w:r w:rsidRPr="006B09F0">
              <w:rPr>
                <w:rFonts w:cstheme="minorHAnsi"/>
              </w:rPr>
              <w:t>Shooter</w:t>
            </w:r>
          </w:p>
        </w:tc>
        <w:tc>
          <w:tcPr>
            <w:tcW w:w="1858" w:type="dxa"/>
          </w:tcPr>
          <w:p w14:paraId="7752FB03" w14:textId="77777777" w:rsidR="00F6458E" w:rsidRPr="001F34B8" w:rsidRDefault="00F6458E" w:rsidP="00F6458E">
            <w:pPr>
              <w:contextualSpacing/>
              <w:jc w:val="center"/>
              <w:rPr>
                <w:rFonts w:cstheme="minorHAnsi"/>
                <w:u w:val="single"/>
              </w:rPr>
            </w:pPr>
            <w:r w:rsidRPr="001F34B8">
              <w:rPr>
                <w:rFonts w:cstheme="minorHAnsi"/>
                <w:u w:val="single"/>
              </w:rPr>
              <w:t>Total</w:t>
            </w:r>
          </w:p>
        </w:tc>
      </w:tr>
      <w:tr w:rsidR="00F6458E" w14:paraId="3CCB133E" w14:textId="77777777" w:rsidTr="00F6458E">
        <w:trPr>
          <w:trHeight w:val="89"/>
        </w:trPr>
        <w:tc>
          <w:tcPr>
            <w:tcW w:w="2043" w:type="dxa"/>
          </w:tcPr>
          <w:p w14:paraId="266BEA08" w14:textId="77777777" w:rsidR="00F6458E" w:rsidRPr="006B09F0" w:rsidRDefault="00F6458E" w:rsidP="00F6458E">
            <w:pPr>
              <w:contextualSpacing/>
              <w:jc w:val="center"/>
              <w:rPr>
                <w:rFonts w:cstheme="minorHAnsi"/>
              </w:rPr>
            </w:pPr>
            <w:r w:rsidRPr="006B09F0">
              <w:rPr>
                <w:rFonts w:cstheme="minorHAnsi"/>
              </w:rPr>
              <w:t>Nintendo</w:t>
            </w:r>
          </w:p>
        </w:tc>
        <w:tc>
          <w:tcPr>
            <w:tcW w:w="1252" w:type="dxa"/>
          </w:tcPr>
          <w:p w14:paraId="14FDE982" w14:textId="77777777" w:rsidR="00F6458E" w:rsidRPr="006B09F0" w:rsidRDefault="00F6458E" w:rsidP="00F6458E">
            <w:pPr>
              <w:contextualSpacing/>
              <w:jc w:val="center"/>
              <w:rPr>
                <w:rFonts w:cstheme="minorHAnsi"/>
              </w:rPr>
            </w:pPr>
            <w:r w:rsidRPr="006B09F0">
              <w:rPr>
                <w:rFonts w:cstheme="minorHAnsi"/>
              </w:rPr>
              <w:t>18 (</w:t>
            </w:r>
            <w:r>
              <w:rPr>
                <w:rFonts w:cstheme="minorHAnsi"/>
              </w:rPr>
              <w:t>18.6</w:t>
            </w:r>
            <w:r w:rsidRPr="006B09F0">
              <w:rPr>
                <w:rFonts w:cstheme="minorHAnsi"/>
              </w:rPr>
              <w:t>%)</w:t>
            </w:r>
          </w:p>
        </w:tc>
        <w:tc>
          <w:tcPr>
            <w:tcW w:w="1542" w:type="dxa"/>
          </w:tcPr>
          <w:p w14:paraId="6BF3E755" w14:textId="77777777" w:rsidR="00F6458E" w:rsidRPr="006B09F0" w:rsidRDefault="00F6458E" w:rsidP="00F6458E">
            <w:pPr>
              <w:contextualSpacing/>
              <w:jc w:val="center"/>
              <w:rPr>
                <w:rFonts w:cstheme="minorHAnsi"/>
              </w:rPr>
            </w:pPr>
            <w:r w:rsidRPr="006B09F0">
              <w:rPr>
                <w:rFonts w:cstheme="minorHAnsi"/>
              </w:rPr>
              <w:t>79 (</w:t>
            </w:r>
            <w:r>
              <w:rPr>
                <w:rFonts w:cstheme="minorHAnsi"/>
              </w:rPr>
              <w:t>81.4</w:t>
            </w:r>
            <w:r w:rsidRPr="006B09F0">
              <w:rPr>
                <w:rFonts w:cstheme="minorHAnsi"/>
              </w:rPr>
              <w:t>%)</w:t>
            </w:r>
          </w:p>
        </w:tc>
        <w:tc>
          <w:tcPr>
            <w:tcW w:w="1896" w:type="dxa"/>
          </w:tcPr>
          <w:p w14:paraId="06FE902F" w14:textId="77777777" w:rsidR="00F6458E" w:rsidRPr="006B09F0" w:rsidRDefault="00F6458E" w:rsidP="00F6458E">
            <w:pPr>
              <w:contextualSpacing/>
              <w:jc w:val="center"/>
              <w:rPr>
                <w:rFonts w:cstheme="minorHAnsi"/>
              </w:rPr>
            </w:pPr>
            <w:r w:rsidRPr="006B09F0">
              <w:rPr>
                <w:rFonts w:cstheme="minorHAnsi"/>
              </w:rPr>
              <w:t>0 (0%)</w:t>
            </w:r>
          </w:p>
        </w:tc>
        <w:tc>
          <w:tcPr>
            <w:tcW w:w="1858" w:type="dxa"/>
          </w:tcPr>
          <w:p w14:paraId="6EEE088E" w14:textId="77777777" w:rsidR="00F6458E" w:rsidRDefault="00F6458E" w:rsidP="00F6458E">
            <w:pPr>
              <w:contextualSpacing/>
              <w:jc w:val="center"/>
              <w:rPr>
                <w:rFonts w:cstheme="minorHAnsi"/>
              </w:rPr>
            </w:pPr>
            <w:r>
              <w:rPr>
                <w:rFonts w:cstheme="minorHAnsi"/>
              </w:rPr>
              <w:t>97 (100%)</w:t>
            </w:r>
          </w:p>
        </w:tc>
      </w:tr>
      <w:tr w:rsidR="00F6458E" w14:paraId="615B5E03" w14:textId="77777777" w:rsidTr="00F6458E">
        <w:trPr>
          <w:trHeight w:val="89"/>
        </w:trPr>
        <w:tc>
          <w:tcPr>
            <w:tcW w:w="2043" w:type="dxa"/>
          </w:tcPr>
          <w:p w14:paraId="55ADFB7A" w14:textId="77777777" w:rsidR="00F6458E" w:rsidRPr="006B09F0" w:rsidRDefault="00F6458E" w:rsidP="00F6458E">
            <w:pPr>
              <w:contextualSpacing/>
              <w:jc w:val="center"/>
              <w:rPr>
                <w:rFonts w:cstheme="minorHAnsi"/>
              </w:rPr>
            </w:pPr>
            <w:r w:rsidRPr="006B09F0">
              <w:rPr>
                <w:rFonts w:cstheme="minorHAnsi"/>
              </w:rPr>
              <w:t>Activision</w:t>
            </w:r>
          </w:p>
        </w:tc>
        <w:tc>
          <w:tcPr>
            <w:tcW w:w="1252" w:type="dxa"/>
          </w:tcPr>
          <w:p w14:paraId="0E955BE1" w14:textId="77777777" w:rsidR="00F6458E" w:rsidRPr="006B09F0" w:rsidRDefault="00F6458E" w:rsidP="00F6458E">
            <w:pPr>
              <w:contextualSpacing/>
              <w:jc w:val="center"/>
              <w:rPr>
                <w:rFonts w:cstheme="minorHAnsi"/>
              </w:rPr>
            </w:pPr>
            <w:r w:rsidRPr="006B09F0">
              <w:rPr>
                <w:rFonts w:cstheme="minorHAnsi"/>
              </w:rPr>
              <w:t>7 (</w:t>
            </w:r>
            <w:r>
              <w:rPr>
                <w:rFonts w:cstheme="minorHAnsi"/>
              </w:rPr>
              <w:t>1.5</w:t>
            </w:r>
            <w:r w:rsidRPr="006B09F0">
              <w:rPr>
                <w:rFonts w:cstheme="minorHAnsi"/>
              </w:rPr>
              <w:t>%)</w:t>
            </w:r>
          </w:p>
        </w:tc>
        <w:tc>
          <w:tcPr>
            <w:tcW w:w="1542" w:type="dxa"/>
          </w:tcPr>
          <w:p w14:paraId="12F27113" w14:textId="77777777" w:rsidR="00F6458E" w:rsidRPr="006B09F0" w:rsidRDefault="00F6458E" w:rsidP="00F6458E">
            <w:pPr>
              <w:contextualSpacing/>
              <w:jc w:val="center"/>
              <w:rPr>
                <w:rFonts w:cstheme="minorHAnsi"/>
              </w:rPr>
            </w:pPr>
            <w:r w:rsidRPr="006B09F0">
              <w:rPr>
                <w:rFonts w:cstheme="minorHAnsi"/>
              </w:rPr>
              <w:t>310 (6</w:t>
            </w:r>
            <w:r>
              <w:rPr>
                <w:rFonts w:cstheme="minorHAnsi"/>
              </w:rPr>
              <w:t>5</w:t>
            </w:r>
            <w:r w:rsidRPr="006B09F0">
              <w:rPr>
                <w:rFonts w:cstheme="minorHAnsi"/>
              </w:rPr>
              <w:t>.</w:t>
            </w:r>
            <w:r>
              <w:rPr>
                <w:rFonts w:cstheme="minorHAnsi"/>
              </w:rPr>
              <w:t>1</w:t>
            </w:r>
            <w:r w:rsidRPr="006B09F0">
              <w:rPr>
                <w:rFonts w:cstheme="minorHAnsi"/>
              </w:rPr>
              <w:t>%)</w:t>
            </w:r>
          </w:p>
        </w:tc>
        <w:tc>
          <w:tcPr>
            <w:tcW w:w="1896" w:type="dxa"/>
          </w:tcPr>
          <w:p w14:paraId="79E8B16D" w14:textId="77777777" w:rsidR="00F6458E" w:rsidRPr="006B09F0" w:rsidRDefault="00F6458E" w:rsidP="00F6458E">
            <w:pPr>
              <w:contextualSpacing/>
              <w:jc w:val="center"/>
              <w:rPr>
                <w:rFonts w:cstheme="minorHAnsi"/>
              </w:rPr>
            </w:pPr>
            <w:r w:rsidRPr="006B09F0">
              <w:rPr>
                <w:rFonts w:cstheme="minorHAnsi"/>
              </w:rPr>
              <w:t>159 (</w:t>
            </w:r>
            <w:r>
              <w:rPr>
                <w:rFonts w:cstheme="minorHAnsi"/>
              </w:rPr>
              <w:t>33.4</w:t>
            </w:r>
            <w:r w:rsidRPr="006B09F0">
              <w:rPr>
                <w:rFonts w:cstheme="minorHAnsi"/>
              </w:rPr>
              <w:t>%)</w:t>
            </w:r>
          </w:p>
        </w:tc>
        <w:tc>
          <w:tcPr>
            <w:tcW w:w="1858" w:type="dxa"/>
          </w:tcPr>
          <w:p w14:paraId="6EEBA665" w14:textId="77777777" w:rsidR="00F6458E" w:rsidRPr="006B09F0" w:rsidRDefault="00F6458E" w:rsidP="00F6458E">
            <w:pPr>
              <w:contextualSpacing/>
              <w:jc w:val="center"/>
              <w:rPr>
                <w:rFonts w:cstheme="minorHAnsi"/>
              </w:rPr>
            </w:pPr>
            <w:r>
              <w:rPr>
                <w:rFonts w:cstheme="minorHAnsi"/>
              </w:rPr>
              <w:t>476 (100%)</w:t>
            </w:r>
          </w:p>
        </w:tc>
      </w:tr>
      <w:tr w:rsidR="00F6458E" w14:paraId="108B9669" w14:textId="77777777" w:rsidTr="00F6458E">
        <w:trPr>
          <w:trHeight w:val="448"/>
        </w:trPr>
        <w:tc>
          <w:tcPr>
            <w:tcW w:w="2043" w:type="dxa"/>
          </w:tcPr>
          <w:p w14:paraId="09327388" w14:textId="77777777" w:rsidR="00F6458E" w:rsidRPr="006B09F0" w:rsidRDefault="00F6458E" w:rsidP="00F6458E">
            <w:pPr>
              <w:contextualSpacing/>
              <w:jc w:val="center"/>
              <w:rPr>
                <w:rFonts w:cstheme="minorHAnsi"/>
              </w:rPr>
            </w:pPr>
            <w:r w:rsidRPr="006B09F0">
              <w:rPr>
                <w:rFonts w:cstheme="minorHAnsi"/>
              </w:rPr>
              <w:t>Microsoft Game</w:t>
            </w:r>
            <w:r>
              <w:rPr>
                <w:rFonts w:cstheme="minorHAnsi"/>
              </w:rPr>
              <w:t xml:space="preserve"> Studios</w:t>
            </w:r>
          </w:p>
        </w:tc>
        <w:tc>
          <w:tcPr>
            <w:tcW w:w="1252" w:type="dxa"/>
          </w:tcPr>
          <w:p w14:paraId="6F86E518" w14:textId="77777777" w:rsidR="00F6458E" w:rsidRPr="006B09F0" w:rsidRDefault="00F6458E" w:rsidP="00F6458E">
            <w:pPr>
              <w:contextualSpacing/>
              <w:jc w:val="center"/>
              <w:rPr>
                <w:rFonts w:cstheme="minorHAnsi"/>
              </w:rPr>
            </w:pPr>
            <w:r w:rsidRPr="006B09F0">
              <w:rPr>
                <w:rFonts w:cstheme="minorHAnsi"/>
              </w:rPr>
              <w:t>5 (</w:t>
            </w:r>
            <w:r>
              <w:rPr>
                <w:rFonts w:cstheme="minorHAnsi"/>
              </w:rPr>
              <w:t>9.3</w:t>
            </w:r>
            <w:r w:rsidRPr="006B09F0">
              <w:rPr>
                <w:rFonts w:cstheme="minorHAnsi"/>
              </w:rPr>
              <w:t>%)</w:t>
            </w:r>
          </w:p>
          <w:p w14:paraId="250FCEDE" w14:textId="77777777" w:rsidR="00F6458E" w:rsidRPr="006B09F0" w:rsidRDefault="00F6458E" w:rsidP="00F6458E">
            <w:pPr>
              <w:contextualSpacing/>
              <w:jc w:val="center"/>
              <w:rPr>
                <w:rFonts w:cstheme="minorHAnsi"/>
              </w:rPr>
            </w:pPr>
          </w:p>
          <w:p w14:paraId="6A7FEBF2" w14:textId="77777777" w:rsidR="00F6458E" w:rsidRPr="006B09F0" w:rsidRDefault="00F6458E" w:rsidP="00F6458E">
            <w:pPr>
              <w:contextualSpacing/>
              <w:jc w:val="center"/>
              <w:rPr>
                <w:rFonts w:cstheme="minorHAnsi"/>
              </w:rPr>
            </w:pPr>
          </w:p>
        </w:tc>
        <w:tc>
          <w:tcPr>
            <w:tcW w:w="1542" w:type="dxa"/>
          </w:tcPr>
          <w:p w14:paraId="488B7FD3" w14:textId="77777777" w:rsidR="00F6458E" w:rsidRPr="006B09F0" w:rsidRDefault="00F6458E" w:rsidP="00F6458E">
            <w:pPr>
              <w:contextualSpacing/>
              <w:jc w:val="center"/>
              <w:rPr>
                <w:rFonts w:cstheme="minorHAnsi"/>
              </w:rPr>
            </w:pPr>
            <w:r w:rsidRPr="006B09F0">
              <w:rPr>
                <w:rFonts w:cstheme="minorHAnsi"/>
              </w:rPr>
              <w:t>21 (</w:t>
            </w:r>
            <w:r>
              <w:rPr>
                <w:rFonts w:cstheme="minorHAnsi"/>
              </w:rPr>
              <w:t>38.9</w:t>
            </w:r>
            <w:r w:rsidRPr="006B09F0">
              <w:rPr>
                <w:rFonts w:cstheme="minorHAnsi"/>
              </w:rPr>
              <w:t>%)</w:t>
            </w:r>
          </w:p>
          <w:p w14:paraId="2AB3A47C" w14:textId="77777777" w:rsidR="00F6458E" w:rsidRPr="006B09F0" w:rsidRDefault="00F6458E" w:rsidP="00F6458E">
            <w:pPr>
              <w:contextualSpacing/>
              <w:jc w:val="center"/>
              <w:rPr>
                <w:rFonts w:cstheme="minorHAnsi"/>
              </w:rPr>
            </w:pPr>
          </w:p>
          <w:p w14:paraId="48B9F2ED" w14:textId="77777777" w:rsidR="00F6458E" w:rsidRPr="006B09F0" w:rsidRDefault="00F6458E" w:rsidP="00F6458E">
            <w:pPr>
              <w:contextualSpacing/>
              <w:jc w:val="center"/>
              <w:rPr>
                <w:rFonts w:cstheme="minorHAnsi"/>
              </w:rPr>
            </w:pPr>
          </w:p>
        </w:tc>
        <w:tc>
          <w:tcPr>
            <w:tcW w:w="1896" w:type="dxa"/>
          </w:tcPr>
          <w:p w14:paraId="20A94BAF" w14:textId="77777777" w:rsidR="00F6458E" w:rsidRPr="006B09F0" w:rsidRDefault="00F6458E" w:rsidP="00F6458E">
            <w:pPr>
              <w:contextualSpacing/>
              <w:jc w:val="center"/>
              <w:rPr>
                <w:rFonts w:cstheme="minorHAnsi"/>
              </w:rPr>
            </w:pPr>
            <w:r w:rsidRPr="006B09F0">
              <w:rPr>
                <w:rFonts w:cstheme="minorHAnsi"/>
              </w:rPr>
              <w:t>28 (</w:t>
            </w:r>
            <w:r>
              <w:rPr>
                <w:rFonts w:cstheme="minorHAnsi"/>
              </w:rPr>
              <w:t>51.9</w:t>
            </w:r>
            <w:r w:rsidRPr="006B09F0">
              <w:rPr>
                <w:rFonts w:cstheme="minorHAnsi"/>
              </w:rPr>
              <w:t>%)</w:t>
            </w:r>
          </w:p>
          <w:p w14:paraId="19C94D65" w14:textId="77777777" w:rsidR="00F6458E" w:rsidRPr="006B09F0" w:rsidRDefault="00F6458E" w:rsidP="00F6458E">
            <w:pPr>
              <w:contextualSpacing/>
              <w:jc w:val="center"/>
              <w:rPr>
                <w:rFonts w:cstheme="minorHAnsi"/>
              </w:rPr>
            </w:pPr>
          </w:p>
          <w:p w14:paraId="5AAAE6D8" w14:textId="77777777" w:rsidR="00F6458E" w:rsidRPr="006B09F0" w:rsidRDefault="00F6458E" w:rsidP="00F6458E">
            <w:pPr>
              <w:contextualSpacing/>
              <w:jc w:val="center"/>
              <w:rPr>
                <w:rFonts w:cstheme="minorHAnsi"/>
              </w:rPr>
            </w:pPr>
          </w:p>
        </w:tc>
        <w:tc>
          <w:tcPr>
            <w:tcW w:w="1858" w:type="dxa"/>
          </w:tcPr>
          <w:p w14:paraId="6966CD6C" w14:textId="77777777" w:rsidR="00F6458E" w:rsidRDefault="00F6458E" w:rsidP="00F6458E">
            <w:pPr>
              <w:contextualSpacing/>
              <w:jc w:val="center"/>
              <w:rPr>
                <w:rFonts w:cstheme="minorHAnsi"/>
              </w:rPr>
            </w:pPr>
            <w:r>
              <w:rPr>
                <w:rFonts w:cstheme="minorHAnsi"/>
              </w:rPr>
              <w:t>54 (100%)</w:t>
            </w:r>
          </w:p>
          <w:p w14:paraId="27E3AA16" w14:textId="77777777" w:rsidR="00F6458E" w:rsidRDefault="00F6458E" w:rsidP="00F6458E">
            <w:pPr>
              <w:contextualSpacing/>
              <w:jc w:val="center"/>
              <w:rPr>
                <w:rFonts w:cstheme="minorHAnsi"/>
              </w:rPr>
            </w:pPr>
          </w:p>
          <w:p w14:paraId="6400DF83" w14:textId="77777777" w:rsidR="00F6458E" w:rsidRPr="006B09F0" w:rsidRDefault="00F6458E" w:rsidP="00F6458E">
            <w:pPr>
              <w:contextualSpacing/>
              <w:jc w:val="center"/>
              <w:rPr>
                <w:rFonts w:cstheme="minorHAnsi"/>
              </w:rPr>
            </w:pPr>
          </w:p>
        </w:tc>
      </w:tr>
      <w:tr w:rsidR="00F6458E" w14:paraId="5141F26A" w14:textId="77777777" w:rsidTr="00F6458E">
        <w:trPr>
          <w:trHeight w:val="448"/>
        </w:trPr>
        <w:tc>
          <w:tcPr>
            <w:tcW w:w="2043" w:type="dxa"/>
          </w:tcPr>
          <w:p w14:paraId="5615EA3F" w14:textId="77777777" w:rsidR="00F6458E" w:rsidRPr="006B09F0" w:rsidRDefault="00F6458E" w:rsidP="00F6458E">
            <w:pPr>
              <w:contextualSpacing/>
              <w:jc w:val="center"/>
              <w:rPr>
                <w:rFonts w:cstheme="minorHAnsi"/>
              </w:rPr>
            </w:pPr>
            <w:r w:rsidRPr="006B09F0">
              <w:rPr>
                <w:rFonts w:cstheme="minorHAnsi"/>
              </w:rPr>
              <w:t>Sony Computer Entertainment</w:t>
            </w:r>
          </w:p>
        </w:tc>
        <w:tc>
          <w:tcPr>
            <w:tcW w:w="1252" w:type="dxa"/>
          </w:tcPr>
          <w:p w14:paraId="21C86441" w14:textId="77777777" w:rsidR="00F6458E" w:rsidRPr="006B09F0" w:rsidRDefault="00F6458E" w:rsidP="00F6458E">
            <w:pPr>
              <w:contextualSpacing/>
              <w:jc w:val="center"/>
              <w:rPr>
                <w:rFonts w:cstheme="minorHAnsi"/>
              </w:rPr>
            </w:pPr>
            <w:r w:rsidRPr="006B09F0">
              <w:rPr>
                <w:rFonts w:cstheme="minorHAnsi"/>
              </w:rPr>
              <w:t>30 (</w:t>
            </w:r>
            <w:r>
              <w:rPr>
                <w:rFonts w:cstheme="minorHAnsi"/>
              </w:rPr>
              <w:t>17.5</w:t>
            </w:r>
            <w:r w:rsidRPr="006B09F0">
              <w:rPr>
                <w:rFonts w:cstheme="minorHAnsi"/>
              </w:rPr>
              <w:t>%)</w:t>
            </w:r>
          </w:p>
        </w:tc>
        <w:tc>
          <w:tcPr>
            <w:tcW w:w="1542" w:type="dxa"/>
          </w:tcPr>
          <w:p w14:paraId="1FBAE4A3" w14:textId="77777777" w:rsidR="00F6458E" w:rsidRPr="006B09F0" w:rsidRDefault="00F6458E" w:rsidP="00F6458E">
            <w:pPr>
              <w:contextualSpacing/>
              <w:jc w:val="center"/>
              <w:rPr>
                <w:rFonts w:cstheme="minorHAnsi"/>
              </w:rPr>
            </w:pPr>
            <w:r w:rsidRPr="006B09F0">
              <w:rPr>
                <w:rFonts w:cstheme="minorHAnsi"/>
              </w:rPr>
              <w:t>90 (</w:t>
            </w:r>
            <w:r>
              <w:rPr>
                <w:rFonts w:cstheme="minorHAnsi"/>
              </w:rPr>
              <w:t>52.6</w:t>
            </w:r>
            <w:r w:rsidRPr="006B09F0">
              <w:rPr>
                <w:rFonts w:cstheme="minorHAnsi"/>
              </w:rPr>
              <w:t>%)</w:t>
            </w:r>
          </w:p>
        </w:tc>
        <w:tc>
          <w:tcPr>
            <w:tcW w:w="1896" w:type="dxa"/>
          </w:tcPr>
          <w:p w14:paraId="5FE1FE94" w14:textId="77777777" w:rsidR="00F6458E" w:rsidRPr="006B09F0" w:rsidRDefault="00F6458E" w:rsidP="00F6458E">
            <w:pPr>
              <w:contextualSpacing/>
              <w:jc w:val="center"/>
              <w:rPr>
                <w:rFonts w:cstheme="minorHAnsi"/>
              </w:rPr>
            </w:pPr>
            <w:r w:rsidRPr="006B09F0">
              <w:rPr>
                <w:rFonts w:cstheme="minorHAnsi"/>
              </w:rPr>
              <w:t>51 (2</w:t>
            </w:r>
            <w:r>
              <w:rPr>
                <w:rFonts w:cstheme="minorHAnsi"/>
              </w:rPr>
              <w:t>9</w:t>
            </w:r>
            <w:r w:rsidRPr="006B09F0">
              <w:rPr>
                <w:rFonts w:cstheme="minorHAnsi"/>
              </w:rPr>
              <w:t>.</w:t>
            </w:r>
            <w:r>
              <w:rPr>
                <w:rFonts w:cstheme="minorHAnsi"/>
              </w:rPr>
              <w:t>8</w:t>
            </w:r>
            <w:r w:rsidRPr="006B09F0">
              <w:rPr>
                <w:rFonts w:cstheme="minorHAnsi"/>
              </w:rPr>
              <w:t>%)</w:t>
            </w:r>
          </w:p>
        </w:tc>
        <w:tc>
          <w:tcPr>
            <w:tcW w:w="1858" w:type="dxa"/>
          </w:tcPr>
          <w:p w14:paraId="7BF06AE6" w14:textId="77777777" w:rsidR="00F6458E" w:rsidRDefault="00F6458E" w:rsidP="00F6458E">
            <w:pPr>
              <w:contextualSpacing/>
              <w:jc w:val="center"/>
              <w:rPr>
                <w:rFonts w:cstheme="minorHAnsi"/>
              </w:rPr>
            </w:pPr>
            <w:r>
              <w:rPr>
                <w:rFonts w:cstheme="minorHAnsi"/>
              </w:rPr>
              <w:t>171 (100%)</w:t>
            </w:r>
          </w:p>
        </w:tc>
      </w:tr>
    </w:tbl>
    <w:p w14:paraId="28AD32D9" w14:textId="77777777" w:rsidR="007B487D" w:rsidRPr="00970661" w:rsidRDefault="007B487D" w:rsidP="007B487D">
      <w:pPr>
        <w:pStyle w:val="NormalWeb"/>
        <w:spacing w:before="0" w:beforeAutospacing="0" w:after="0" w:afterAutospacing="0" w:line="360" w:lineRule="auto"/>
        <w:rPr>
          <w:rFonts w:asciiTheme="minorHAnsi" w:hAnsiTheme="minorHAnsi" w:cstheme="minorHAnsi"/>
          <w:color w:val="000000"/>
        </w:rPr>
      </w:pPr>
    </w:p>
    <w:p w14:paraId="45A8221F" w14:textId="77777777" w:rsidR="00F6458E" w:rsidRDefault="00F6458E" w:rsidP="00F6458E">
      <w:pPr>
        <w:pStyle w:val="NormalWeb"/>
        <w:spacing w:before="0" w:beforeAutospacing="0" w:after="0" w:afterAutospacing="0" w:line="360" w:lineRule="auto"/>
        <w:rPr>
          <w:rFonts w:asciiTheme="minorHAnsi" w:hAnsiTheme="minorHAnsi" w:cstheme="minorHAnsi"/>
          <w:color w:val="000000"/>
        </w:rPr>
      </w:pPr>
    </w:p>
    <w:p w14:paraId="3A70BFF6" w14:textId="77777777" w:rsidR="00F6458E" w:rsidRDefault="00F6458E" w:rsidP="00F6458E">
      <w:pPr>
        <w:pStyle w:val="NormalWeb"/>
        <w:spacing w:before="0" w:beforeAutospacing="0" w:after="0" w:afterAutospacing="0" w:line="360" w:lineRule="auto"/>
        <w:rPr>
          <w:rFonts w:asciiTheme="minorHAnsi" w:hAnsiTheme="minorHAnsi" w:cstheme="minorHAnsi"/>
          <w:color w:val="000000"/>
        </w:rPr>
      </w:pPr>
    </w:p>
    <w:p w14:paraId="7D363C2A" w14:textId="77777777" w:rsidR="00F6458E" w:rsidRDefault="00F6458E" w:rsidP="00F6458E">
      <w:pPr>
        <w:pStyle w:val="NormalWeb"/>
        <w:spacing w:before="0" w:beforeAutospacing="0" w:after="0" w:afterAutospacing="0" w:line="360" w:lineRule="auto"/>
        <w:rPr>
          <w:rFonts w:asciiTheme="minorHAnsi" w:hAnsiTheme="minorHAnsi" w:cstheme="minorHAnsi"/>
          <w:color w:val="000000"/>
        </w:rPr>
      </w:pPr>
    </w:p>
    <w:p w14:paraId="6C299B5A" w14:textId="77777777" w:rsidR="00F6458E" w:rsidRDefault="00F6458E" w:rsidP="00F6458E">
      <w:pPr>
        <w:pStyle w:val="NormalWeb"/>
        <w:spacing w:before="0" w:beforeAutospacing="0" w:after="0" w:afterAutospacing="0" w:line="360" w:lineRule="auto"/>
        <w:rPr>
          <w:rFonts w:asciiTheme="minorHAnsi" w:hAnsiTheme="minorHAnsi" w:cstheme="minorHAnsi"/>
          <w:color w:val="000000"/>
        </w:rPr>
      </w:pPr>
    </w:p>
    <w:p w14:paraId="2B0DEB34" w14:textId="77777777" w:rsidR="00F6458E" w:rsidRDefault="00F6458E" w:rsidP="00F6458E">
      <w:pPr>
        <w:pStyle w:val="NormalWeb"/>
        <w:spacing w:before="0" w:beforeAutospacing="0" w:after="0" w:afterAutospacing="0" w:line="360" w:lineRule="auto"/>
        <w:rPr>
          <w:rFonts w:asciiTheme="minorHAnsi" w:hAnsiTheme="minorHAnsi" w:cstheme="minorHAnsi"/>
          <w:color w:val="000000"/>
        </w:rPr>
      </w:pPr>
    </w:p>
    <w:p w14:paraId="713DD35F" w14:textId="49A56346" w:rsidR="00214911" w:rsidRPr="001A6085" w:rsidRDefault="00F6458E" w:rsidP="007B487D">
      <w:pPr>
        <w:pStyle w:val="NormalWeb"/>
        <w:spacing w:before="0" w:beforeAutospacing="0" w:after="0" w:afterAutospacing="0" w:line="360" w:lineRule="auto"/>
        <w:rPr>
          <w:rFonts w:asciiTheme="minorHAnsi" w:hAnsiTheme="minorHAnsi" w:cstheme="minorHAnsi"/>
        </w:rPr>
      </w:pPr>
      <w:r w:rsidRPr="00970661">
        <w:rPr>
          <w:rFonts w:asciiTheme="minorHAnsi" w:hAnsiTheme="minorHAnsi" w:cstheme="minorHAnsi"/>
          <w:color w:val="000000"/>
        </w:rPr>
        <w:t>The</w:t>
      </w:r>
      <w:r>
        <w:rPr>
          <w:rFonts w:asciiTheme="minorHAnsi" w:hAnsiTheme="minorHAnsi" w:cstheme="minorHAnsi"/>
          <w:color w:val="000000"/>
        </w:rPr>
        <w:t xml:space="preserve"> </w:t>
      </w:r>
      <w:r w:rsidRPr="00970661">
        <w:rPr>
          <w:rFonts w:asciiTheme="minorHAnsi" w:hAnsiTheme="minorHAnsi" w:cstheme="minorHAnsi"/>
          <w:color w:val="000000"/>
        </w:rPr>
        <w:t xml:space="preserve">chi-squared analysis with an alpha of 0.05 revealed that our findings were of statistical </w:t>
      </w:r>
      <w:r w:rsidR="00A62EA9" w:rsidRPr="00970661">
        <w:rPr>
          <w:rFonts w:asciiTheme="minorHAnsi" w:hAnsiTheme="minorHAnsi" w:cstheme="minorHAnsi"/>
          <w:color w:val="000000"/>
        </w:rPr>
        <w:t xml:space="preserve">significance, </w:t>
      </w:r>
      <w:r w:rsidR="00304CA8" w:rsidRPr="00304CA8">
        <w:rPr>
          <w:rFonts w:asciiTheme="minorHAnsi" w:hAnsiTheme="minorHAnsi" w:cstheme="minorHAnsi"/>
        </w:rPr>
        <w:t>X</w:t>
      </w:r>
      <w:r w:rsidR="00304CA8" w:rsidRPr="00304CA8">
        <w:rPr>
          <w:rFonts w:asciiTheme="minorHAnsi" w:hAnsiTheme="minorHAnsi" w:cstheme="minorHAnsi"/>
          <w:vertAlign w:val="superscript"/>
        </w:rPr>
        <w:t>2</w:t>
      </w:r>
      <w:r w:rsidR="00304CA8" w:rsidRPr="00970661">
        <w:rPr>
          <w:rFonts w:asciiTheme="minorHAnsi" w:hAnsiTheme="minorHAnsi" w:cstheme="minorHAnsi"/>
          <w:color w:val="000000"/>
        </w:rPr>
        <w:t xml:space="preserve"> </w:t>
      </w:r>
      <w:r w:rsidR="00A62EA9" w:rsidRPr="00970661">
        <w:rPr>
          <w:rFonts w:asciiTheme="minorHAnsi" w:hAnsiTheme="minorHAnsi" w:cstheme="minorHAnsi"/>
          <w:color w:val="000000"/>
        </w:rPr>
        <w:t xml:space="preserve">(6, 798) = 115.25. The p-value (p </w:t>
      </w:r>
      <w:r w:rsidR="00C31971">
        <w:rPr>
          <w:rFonts w:asciiTheme="minorHAnsi" w:hAnsiTheme="minorHAnsi" w:cstheme="minorHAnsi"/>
          <w:color w:val="000000"/>
        </w:rPr>
        <w:t>&lt; .001</w:t>
      </w:r>
      <w:bookmarkStart w:id="1" w:name="_GoBack"/>
      <w:bookmarkEnd w:id="1"/>
      <w:r w:rsidR="00A62EA9" w:rsidRPr="00970661">
        <w:rPr>
          <w:rFonts w:asciiTheme="minorHAnsi" w:hAnsiTheme="minorHAnsi" w:cstheme="minorHAnsi"/>
          <w:color w:val="000000"/>
        </w:rPr>
        <w:t xml:space="preserve">) is substantially smaller than the significance level; this allowed us to come to the conclusion that </w:t>
      </w:r>
      <w:r w:rsidR="009C1346">
        <w:rPr>
          <w:rFonts w:asciiTheme="minorHAnsi" w:hAnsiTheme="minorHAnsi" w:cstheme="minorHAnsi"/>
          <w:color w:val="000000"/>
        </w:rPr>
        <w:t>our findings are</w:t>
      </w:r>
      <w:r w:rsidR="00BC22DC">
        <w:rPr>
          <w:rFonts w:asciiTheme="minorHAnsi" w:hAnsiTheme="minorHAnsi" w:cstheme="minorHAnsi"/>
          <w:color w:val="000000"/>
        </w:rPr>
        <w:t xml:space="preserve"> in fact</w:t>
      </w:r>
      <w:r w:rsidR="00A62EA9" w:rsidRPr="00970661">
        <w:rPr>
          <w:rFonts w:asciiTheme="minorHAnsi" w:hAnsiTheme="minorHAnsi" w:cstheme="minorHAnsi"/>
          <w:color w:val="000000"/>
        </w:rPr>
        <w:t xml:space="preserve"> statistically significant. The Cramer’s V effect size is 0.27, which confirms the association between publishers and genre. Given the small sample used in this study, we cannot generalize our findings to the entire population. However, our results do hold true to our hypothesis, which </w:t>
      </w:r>
      <w:r w:rsidR="000670F9">
        <w:rPr>
          <w:rFonts w:asciiTheme="minorHAnsi" w:hAnsiTheme="minorHAnsi" w:cstheme="minorHAnsi"/>
          <w:color w:val="000000"/>
        </w:rPr>
        <w:t>g</w:t>
      </w:r>
      <w:r w:rsidR="00482042">
        <w:rPr>
          <w:rFonts w:asciiTheme="minorHAnsi" w:hAnsiTheme="minorHAnsi" w:cstheme="minorHAnsi"/>
          <w:color w:val="000000"/>
        </w:rPr>
        <w:t>ave</w:t>
      </w:r>
      <w:r w:rsidR="00A62EA9" w:rsidRPr="00970661">
        <w:rPr>
          <w:rFonts w:asciiTheme="minorHAnsi" w:hAnsiTheme="minorHAnsi" w:cstheme="minorHAnsi"/>
          <w:color w:val="000000"/>
        </w:rPr>
        <w:t xml:space="preserve"> us some interesting insight regarding our sample.</w:t>
      </w:r>
    </w:p>
    <w:p w14:paraId="2E9C33FE" w14:textId="7F581580" w:rsidR="00A62EA9" w:rsidRPr="00970661" w:rsidRDefault="00A62EA9" w:rsidP="007B487D">
      <w:pPr>
        <w:pStyle w:val="NormalWeb"/>
        <w:spacing w:before="0" w:beforeAutospacing="0" w:after="0" w:afterAutospacing="0" w:line="360" w:lineRule="auto"/>
        <w:ind w:firstLine="720"/>
        <w:rPr>
          <w:rFonts w:asciiTheme="minorHAnsi" w:hAnsiTheme="minorHAnsi" w:cstheme="minorHAnsi"/>
        </w:rPr>
      </w:pPr>
      <w:r w:rsidRPr="00970661">
        <w:rPr>
          <w:rFonts w:asciiTheme="minorHAnsi" w:hAnsiTheme="minorHAnsi" w:cstheme="minorHAnsi"/>
          <w:color w:val="000000"/>
        </w:rPr>
        <w:t xml:space="preserve">Overall, the scope of our study was limited. We only looked at 3 out of 12 genres contained in the database, and 4 out of 579 publishers. For this reason, we cannot be sure that our results would be statistically significant if we had included the whole range of values. Furthermore, the data encompasses video games sales data all the way back to 1980, which raises the question of how relevant our findings are in today’s market. A more in-depth analysis would be needed in order to confidently answer this question. </w:t>
      </w:r>
    </w:p>
    <w:p w14:paraId="39836DD1" w14:textId="77777777" w:rsidR="00A62EA9" w:rsidRDefault="00A62EA9" w:rsidP="00A62EA9"/>
    <w:p w14:paraId="0218BCE7" w14:textId="46FFF9DB" w:rsidR="00A62EA9" w:rsidRDefault="00A62EA9" w:rsidP="00A62EA9">
      <w:r>
        <w:rPr>
          <w:color w:val="000000"/>
          <w:sz w:val="22"/>
          <w:szCs w:val="22"/>
        </w:rPr>
        <w:fldChar w:fldCharType="begin"/>
      </w:r>
      <w:r>
        <w:rPr>
          <w:color w:val="000000"/>
          <w:sz w:val="22"/>
          <w:szCs w:val="22"/>
        </w:rPr>
        <w:instrText xml:space="preserve"> INCLUDEPICTURE "https://lh4.googleusercontent.com/Ut7W__1LaEna9sNGBcuQopI1lOSyQ8t0k4yYNjvImHtjiGDgc7GoYPPilAimettogkzqa4mwOqCFBO_L6PfR5nbNjjQjfgWIp_bF3uKoQt6gnH4WscXDK1EcgGrQdA0-lgEJHj3l" \* MERGEFORMATINET </w:instrText>
      </w:r>
      <w:r>
        <w:rPr>
          <w:color w:val="000000"/>
          <w:sz w:val="22"/>
          <w:szCs w:val="22"/>
        </w:rPr>
        <w:fldChar w:fldCharType="end"/>
      </w:r>
    </w:p>
    <w:p w14:paraId="0A139275" w14:textId="65212C9C" w:rsidR="00A62EA9" w:rsidRDefault="00A62EA9" w:rsidP="00A62EA9">
      <w:r>
        <w:rPr>
          <w:color w:val="000000"/>
          <w:sz w:val="22"/>
          <w:szCs w:val="22"/>
        </w:rPr>
        <w:fldChar w:fldCharType="begin"/>
      </w:r>
      <w:r>
        <w:rPr>
          <w:color w:val="000000"/>
          <w:sz w:val="22"/>
          <w:szCs w:val="22"/>
        </w:rPr>
        <w:instrText xml:space="preserve"> INCLUDEPICTURE "https://lh6.googleusercontent.com/lAXpxdy3LKAOhXSjmnjy1F8p4W5frIjq_uhoxuF2-bWO86CjZ_HYI08xvr7LUCBnmWl2afF8La_6zGF_udDQkWfMglPWUEH_9es_H3EurA6ugZqH_snOOiQmAnij3SSD1c1Fe7qo" \* MERGEFORMATINET </w:instrText>
      </w:r>
      <w:r>
        <w:rPr>
          <w:color w:val="000000"/>
          <w:sz w:val="22"/>
          <w:szCs w:val="22"/>
        </w:rPr>
        <w:fldChar w:fldCharType="end"/>
      </w:r>
    </w:p>
    <w:p w14:paraId="2BE65040" w14:textId="77777777" w:rsidR="00766590" w:rsidRDefault="00B20C7F"/>
    <w:sectPr w:rsidR="00766590" w:rsidSect="00AB17BB">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EB151" w14:textId="77777777" w:rsidR="00B20C7F" w:rsidRDefault="00B20C7F" w:rsidP="00A62EA9">
      <w:r>
        <w:separator/>
      </w:r>
    </w:p>
  </w:endnote>
  <w:endnote w:type="continuationSeparator" w:id="0">
    <w:p w14:paraId="4B350BB1" w14:textId="77777777" w:rsidR="00B20C7F" w:rsidRDefault="00B20C7F" w:rsidP="00A62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2"/>
      </w:rPr>
      <w:id w:val="-136654101"/>
      <w:docPartObj>
        <w:docPartGallery w:val="Page Numbers (Bottom of Page)"/>
        <w:docPartUnique/>
      </w:docPartObj>
    </w:sdtPr>
    <w:sdtEndPr>
      <w:rPr>
        <w:noProof/>
      </w:rPr>
    </w:sdtEndPr>
    <w:sdtContent>
      <w:p w14:paraId="6328F633" w14:textId="2954133D" w:rsidR="008D6FF2" w:rsidRPr="00AB17BB" w:rsidRDefault="00AB17BB">
        <w:pPr>
          <w:pStyle w:val="Footer"/>
          <w:jc w:val="center"/>
          <w:rPr>
            <w:sz w:val="22"/>
          </w:rPr>
        </w:pPr>
        <w:r w:rsidRPr="00AB17BB">
          <w:rPr>
            <w:sz w:val="22"/>
          </w:rPr>
          <w:t>Colin Bradley &amp; Julian Vazquez, INST314, Project 1, Page 2 of 2</w:t>
        </w:r>
      </w:p>
    </w:sdtContent>
  </w:sdt>
  <w:p w14:paraId="180A47A1" w14:textId="77777777" w:rsidR="0048756A" w:rsidRPr="00AB17BB" w:rsidRDefault="0048756A">
    <w:pPr>
      <w:pStyle w:val="Footer"/>
      <w:rPr>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8023263"/>
      <w:docPartObj>
        <w:docPartGallery w:val="Page Numbers (Bottom of Page)"/>
        <w:docPartUnique/>
      </w:docPartObj>
    </w:sdtPr>
    <w:sdtEndPr>
      <w:rPr>
        <w:noProof/>
        <w:sz w:val="22"/>
      </w:rPr>
    </w:sdtEndPr>
    <w:sdtContent>
      <w:p w14:paraId="5063964B" w14:textId="3BCA141D" w:rsidR="00AB17BB" w:rsidRPr="00AB17BB" w:rsidRDefault="00AB17BB" w:rsidP="00AB17BB">
        <w:pPr>
          <w:pStyle w:val="Footer"/>
          <w:jc w:val="center"/>
          <w:rPr>
            <w:sz w:val="22"/>
          </w:rPr>
        </w:pPr>
        <w:r w:rsidRPr="00AB17BB">
          <w:rPr>
            <w:sz w:val="22"/>
          </w:rPr>
          <w:t xml:space="preserve">Colin Bradley &amp; Julian Vazquez, INST314, Project 1, Page </w:t>
        </w:r>
        <w:r>
          <w:rPr>
            <w:sz w:val="22"/>
          </w:rPr>
          <w:t>1</w:t>
        </w:r>
        <w:r w:rsidRPr="00AB17BB">
          <w:rPr>
            <w:sz w:val="22"/>
          </w:rPr>
          <w:t xml:space="preserve"> of 2</w:t>
        </w:r>
      </w:p>
    </w:sdtContent>
  </w:sdt>
  <w:p w14:paraId="11E99A52" w14:textId="77777777" w:rsidR="00AB17BB" w:rsidRDefault="00AB17BB" w:rsidP="00AB17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D958E" w14:textId="77777777" w:rsidR="00B20C7F" w:rsidRDefault="00B20C7F" w:rsidP="00A62EA9">
      <w:r>
        <w:separator/>
      </w:r>
    </w:p>
  </w:footnote>
  <w:footnote w:type="continuationSeparator" w:id="0">
    <w:p w14:paraId="1A84F4AC" w14:textId="77777777" w:rsidR="00B20C7F" w:rsidRDefault="00B20C7F" w:rsidP="00A62EA9">
      <w:r>
        <w:continuationSeparator/>
      </w:r>
    </w:p>
  </w:footnote>
  <w:footnote w:id="1">
    <w:p w14:paraId="53F155C3" w14:textId="3123D5F3" w:rsidR="0048756A" w:rsidRPr="000F2B74" w:rsidRDefault="00602022" w:rsidP="000F2B74">
      <w:pPr>
        <w:pStyle w:val="NormalWeb"/>
        <w:spacing w:before="0" w:beforeAutospacing="0" w:after="0" w:afterAutospacing="0"/>
        <w:rPr>
          <w:rFonts w:asciiTheme="minorHAnsi" w:hAnsiTheme="minorHAnsi" w:cstheme="minorHAnsi"/>
          <w:sz w:val="20"/>
          <w:szCs w:val="20"/>
        </w:rPr>
      </w:pPr>
      <w:r w:rsidRPr="000F2B74">
        <w:rPr>
          <w:rStyle w:val="FootnoteReference"/>
          <w:sz w:val="20"/>
          <w:szCs w:val="20"/>
        </w:rPr>
        <w:t>1</w:t>
      </w:r>
      <w:r w:rsidRPr="000F2B74">
        <w:rPr>
          <w:rStyle w:val="FootnoteReference"/>
          <w:rFonts w:asciiTheme="minorHAnsi" w:hAnsiTheme="minorHAnsi" w:cstheme="minorHAnsi"/>
          <w:sz w:val="20"/>
          <w:szCs w:val="20"/>
        </w:rPr>
        <w:t xml:space="preserve">. </w:t>
      </w:r>
      <w:r w:rsidRPr="000F2B74">
        <w:rPr>
          <w:rFonts w:asciiTheme="minorHAnsi" w:hAnsiTheme="minorHAnsi" w:cstheme="minorHAnsi"/>
          <w:sz w:val="20"/>
          <w:szCs w:val="20"/>
        </w:rPr>
        <w:t>World’s 15 Largest Video Game Publishers by revenue (2017)</w:t>
      </w:r>
      <w:r w:rsidR="00D3582B">
        <w:rPr>
          <w:rFonts w:asciiTheme="minorHAnsi" w:hAnsiTheme="minorHAnsi" w:cstheme="minorHAnsi"/>
          <w:i/>
          <w:sz w:val="20"/>
          <w:szCs w:val="20"/>
        </w:rPr>
        <w:t xml:space="preserve">. </w:t>
      </w:r>
      <w:proofErr w:type="spellStart"/>
      <w:r w:rsidRPr="000F2B74">
        <w:rPr>
          <w:rFonts w:asciiTheme="minorHAnsi" w:hAnsiTheme="minorHAnsi" w:cstheme="minorHAnsi"/>
          <w:i/>
          <w:iCs/>
          <w:color w:val="000000"/>
          <w:sz w:val="20"/>
          <w:szCs w:val="20"/>
        </w:rPr>
        <w:t>Geoshe</w:t>
      </w:r>
      <w:r w:rsidR="003D30FB">
        <w:rPr>
          <w:rFonts w:asciiTheme="minorHAnsi" w:hAnsiTheme="minorHAnsi" w:cstheme="minorHAnsi"/>
          <w:i/>
          <w:iCs/>
          <w:color w:val="000000"/>
          <w:sz w:val="20"/>
          <w:szCs w:val="20"/>
        </w:rPr>
        <w:t>n</w:t>
      </w:r>
      <w:proofErr w:type="spellEnd"/>
      <w:r w:rsidR="003D30FB">
        <w:rPr>
          <w:rFonts w:asciiTheme="minorHAnsi" w:hAnsiTheme="minorHAnsi" w:cstheme="minorHAnsi"/>
          <w:i/>
          <w:iCs/>
          <w:color w:val="000000"/>
          <w:sz w:val="20"/>
          <w:szCs w:val="20"/>
        </w:rPr>
        <w:t xml:space="preserve">. </w:t>
      </w:r>
      <w:r w:rsidRPr="000F2B74">
        <w:rPr>
          <w:rFonts w:asciiTheme="minorHAnsi" w:hAnsiTheme="minorHAnsi" w:cstheme="minorHAnsi"/>
          <w:iCs/>
          <w:color w:val="000000"/>
          <w:sz w:val="20"/>
          <w:szCs w:val="20"/>
        </w:rPr>
        <w:t>Retrieved 2</w:t>
      </w:r>
      <w:r w:rsidR="002C6452">
        <w:rPr>
          <w:rFonts w:asciiTheme="minorHAnsi" w:hAnsiTheme="minorHAnsi" w:cstheme="minorHAnsi"/>
          <w:iCs/>
          <w:color w:val="000000"/>
          <w:sz w:val="20"/>
          <w:szCs w:val="20"/>
        </w:rPr>
        <w:t>3</w:t>
      </w:r>
      <w:r w:rsidRPr="000F2B74">
        <w:rPr>
          <w:rFonts w:asciiTheme="minorHAnsi" w:hAnsiTheme="minorHAnsi" w:cstheme="minorHAnsi"/>
          <w:iCs/>
          <w:color w:val="000000"/>
          <w:sz w:val="20"/>
          <w:szCs w:val="20"/>
        </w:rPr>
        <w:t xml:space="preserve"> February 2019 from </w:t>
      </w:r>
      <w:r w:rsidRPr="00E5181B">
        <w:rPr>
          <w:rFonts w:asciiTheme="minorHAnsi" w:hAnsiTheme="minorHAnsi" w:cstheme="minorHAnsi"/>
          <w:iCs/>
          <w:color w:val="000000"/>
          <w:sz w:val="20"/>
          <w:szCs w:val="20"/>
          <w:u w:val="single"/>
        </w:rPr>
        <w:t>https://geoshen.com/posts/15-largest-video-game-publishers-by-revenue/</w:t>
      </w:r>
    </w:p>
  </w:footnote>
  <w:footnote w:id="2">
    <w:p w14:paraId="5BA7CBDD" w14:textId="21B7AE38" w:rsidR="00A62EA9" w:rsidRPr="00E5181B" w:rsidRDefault="00A62EA9" w:rsidP="00A62EA9">
      <w:pPr>
        <w:pStyle w:val="NormalWeb"/>
        <w:spacing w:before="0" w:beforeAutospacing="0" w:after="0" w:afterAutospacing="0"/>
        <w:rPr>
          <w:rFonts w:asciiTheme="minorHAnsi" w:hAnsiTheme="minorHAnsi" w:cstheme="minorHAnsi"/>
          <w:u w:val="single"/>
        </w:rPr>
      </w:pPr>
      <w:r w:rsidRPr="000F2B74">
        <w:rPr>
          <w:rStyle w:val="FootnoteReference"/>
          <w:rFonts w:asciiTheme="minorHAnsi" w:hAnsiTheme="minorHAnsi" w:cstheme="minorHAnsi"/>
        </w:rPr>
        <w:footnoteRef/>
      </w:r>
      <w:r w:rsidRPr="000F2B74">
        <w:rPr>
          <w:rFonts w:asciiTheme="minorHAnsi" w:hAnsiTheme="minorHAnsi" w:cstheme="minorHAnsi"/>
        </w:rPr>
        <w:t xml:space="preserve"> </w:t>
      </w:r>
      <w:r w:rsidR="00D21A1B" w:rsidRPr="00571D87">
        <w:rPr>
          <w:rFonts w:asciiTheme="minorHAnsi" w:hAnsiTheme="minorHAnsi" w:cstheme="minorHAnsi"/>
          <w:iCs/>
          <w:sz w:val="20"/>
          <w:szCs w:val="20"/>
        </w:rPr>
        <w:t>Genre breakdown of video game sales in United States in 2017 (2017)</w:t>
      </w:r>
      <w:r w:rsidR="00D3582B" w:rsidRPr="00571D87">
        <w:rPr>
          <w:rFonts w:asciiTheme="minorHAnsi" w:hAnsiTheme="minorHAnsi" w:cstheme="minorHAnsi"/>
          <w:iCs/>
          <w:sz w:val="20"/>
          <w:szCs w:val="20"/>
        </w:rPr>
        <w:t xml:space="preserve">. </w:t>
      </w:r>
      <w:r w:rsidRPr="00571D87">
        <w:rPr>
          <w:rFonts w:asciiTheme="minorHAnsi" w:hAnsiTheme="minorHAnsi" w:cstheme="minorHAnsi"/>
          <w:i/>
          <w:iCs/>
          <w:sz w:val="20"/>
          <w:szCs w:val="20"/>
        </w:rPr>
        <w:t>Statista</w:t>
      </w:r>
      <w:r w:rsidRPr="00571D87">
        <w:rPr>
          <w:rFonts w:asciiTheme="minorHAnsi" w:hAnsiTheme="minorHAnsi" w:cstheme="minorHAnsi"/>
          <w:sz w:val="20"/>
          <w:szCs w:val="20"/>
        </w:rPr>
        <w:t>.</w:t>
      </w:r>
      <w:r w:rsidR="003D30FB" w:rsidRPr="00571D87">
        <w:rPr>
          <w:rFonts w:asciiTheme="minorHAnsi" w:hAnsiTheme="minorHAnsi" w:cstheme="minorHAnsi"/>
          <w:sz w:val="20"/>
          <w:szCs w:val="20"/>
        </w:rPr>
        <w:t xml:space="preserve"> </w:t>
      </w:r>
      <w:r w:rsidRPr="00571D87">
        <w:rPr>
          <w:rFonts w:asciiTheme="minorHAnsi" w:hAnsiTheme="minorHAnsi" w:cstheme="minorHAnsi"/>
          <w:sz w:val="20"/>
          <w:szCs w:val="20"/>
        </w:rPr>
        <w:t>Retrieved 2</w:t>
      </w:r>
      <w:r w:rsidR="002C6452" w:rsidRPr="00571D87">
        <w:rPr>
          <w:rFonts w:asciiTheme="minorHAnsi" w:hAnsiTheme="minorHAnsi" w:cstheme="minorHAnsi"/>
          <w:sz w:val="20"/>
          <w:szCs w:val="20"/>
        </w:rPr>
        <w:t>3</w:t>
      </w:r>
      <w:r w:rsidRPr="00571D87">
        <w:rPr>
          <w:rFonts w:asciiTheme="minorHAnsi" w:hAnsiTheme="minorHAnsi" w:cstheme="minorHAnsi"/>
          <w:sz w:val="20"/>
          <w:szCs w:val="20"/>
        </w:rPr>
        <w:t xml:space="preserve"> February 2019</w:t>
      </w:r>
      <w:r w:rsidR="002C7AB9" w:rsidRPr="00571D87">
        <w:rPr>
          <w:rFonts w:asciiTheme="minorHAnsi" w:hAnsiTheme="minorHAnsi" w:cstheme="minorHAnsi"/>
          <w:sz w:val="20"/>
          <w:szCs w:val="20"/>
        </w:rPr>
        <w:t xml:space="preserve"> from</w:t>
      </w:r>
      <w:r w:rsidR="00E35CDF" w:rsidRPr="00571D87">
        <w:rPr>
          <w:rFonts w:asciiTheme="minorHAnsi" w:hAnsiTheme="minorHAnsi" w:cstheme="minorHAnsi"/>
          <w:sz w:val="20"/>
          <w:szCs w:val="20"/>
        </w:rPr>
        <w:t>.</w:t>
      </w:r>
      <w:r w:rsidRPr="00571D87">
        <w:rPr>
          <w:rFonts w:asciiTheme="minorHAnsi" w:hAnsiTheme="minorHAnsi" w:cstheme="minorHAnsi"/>
          <w:sz w:val="20"/>
          <w:szCs w:val="20"/>
        </w:rPr>
        <w:t xml:space="preserve"> </w:t>
      </w:r>
      <w:r w:rsidRPr="00E5181B">
        <w:rPr>
          <w:rStyle w:val="Hyperlink"/>
          <w:rFonts w:asciiTheme="minorHAnsi" w:hAnsiTheme="minorHAnsi" w:cstheme="minorHAnsi"/>
          <w:color w:val="auto"/>
          <w:sz w:val="20"/>
          <w:szCs w:val="20"/>
        </w:rPr>
        <w:t>https://www.statista.com/statistics/189592/breakdown-of-us-video-game-sales-2009-by-genre/</w:t>
      </w:r>
      <w:r w:rsidRPr="00E5181B">
        <w:rPr>
          <w:rFonts w:asciiTheme="minorHAnsi" w:hAnsiTheme="minorHAnsi" w:cstheme="minorHAnsi"/>
          <w:sz w:val="20"/>
          <w:szCs w:val="20"/>
          <w:u w:val="single"/>
        </w:rPr>
        <w:t xml:space="preserve"> </w:t>
      </w:r>
    </w:p>
    <w:p w14:paraId="4F44B88C" w14:textId="77777777" w:rsidR="00A62EA9" w:rsidRDefault="00A62EA9" w:rsidP="00A62EA9"/>
    <w:p w14:paraId="1A68B5D8" w14:textId="77777777" w:rsidR="00A62EA9" w:rsidRDefault="00A62EA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A9"/>
    <w:rsid w:val="000670F9"/>
    <w:rsid w:val="000804AC"/>
    <w:rsid w:val="000F2B74"/>
    <w:rsid w:val="00103120"/>
    <w:rsid w:val="001A6085"/>
    <w:rsid w:val="001A72BB"/>
    <w:rsid w:val="001D33B6"/>
    <w:rsid w:val="001F34B8"/>
    <w:rsid w:val="00214911"/>
    <w:rsid w:val="002200E5"/>
    <w:rsid w:val="00237525"/>
    <w:rsid w:val="00272A2A"/>
    <w:rsid w:val="002B34EF"/>
    <w:rsid w:val="002C6452"/>
    <w:rsid w:val="002C7AB9"/>
    <w:rsid w:val="00304CA8"/>
    <w:rsid w:val="0031250D"/>
    <w:rsid w:val="003D30FB"/>
    <w:rsid w:val="00482042"/>
    <w:rsid w:val="0048756A"/>
    <w:rsid w:val="004C2823"/>
    <w:rsid w:val="004D1C82"/>
    <w:rsid w:val="0052262D"/>
    <w:rsid w:val="00571D87"/>
    <w:rsid w:val="00602022"/>
    <w:rsid w:val="006B192A"/>
    <w:rsid w:val="006B4292"/>
    <w:rsid w:val="006C6836"/>
    <w:rsid w:val="006E65DC"/>
    <w:rsid w:val="00734B32"/>
    <w:rsid w:val="007B487D"/>
    <w:rsid w:val="008A0F73"/>
    <w:rsid w:val="008D6FF2"/>
    <w:rsid w:val="008F3E64"/>
    <w:rsid w:val="00970661"/>
    <w:rsid w:val="009A6BDC"/>
    <w:rsid w:val="009C1346"/>
    <w:rsid w:val="009F06D6"/>
    <w:rsid w:val="00A62EA9"/>
    <w:rsid w:val="00AB17BB"/>
    <w:rsid w:val="00B20C7F"/>
    <w:rsid w:val="00B553EE"/>
    <w:rsid w:val="00BC22DC"/>
    <w:rsid w:val="00C31971"/>
    <w:rsid w:val="00C32E08"/>
    <w:rsid w:val="00C43203"/>
    <w:rsid w:val="00D21A1B"/>
    <w:rsid w:val="00D3582B"/>
    <w:rsid w:val="00D75E12"/>
    <w:rsid w:val="00E35CDF"/>
    <w:rsid w:val="00E5181B"/>
    <w:rsid w:val="00F64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BABD5"/>
  <w15:chartTrackingRefBased/>
  <w15:docId w15:val="{2C1D179A-0DDB-034C-89ED-EBD2794F8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2EA9"/>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62E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2EA9"/>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A62EA9"/>
    <w:rPr>
      <w:sz w:val="20"/>
      <w:szCs w:val="20"/>
    </w:rPr>
  </w:style>
  <w:style w:type="character" w:customStyle="1" w:styleId="FootnoteTextChar">
    <w:name w:val="Footnote Text Char"/>
    <w:basedOn w:val="DefaultParagraphFont"/>
    <w:link w:val="FootnoteText"/>
    <w:uiPriority w:val="99"/>
    <w:semiHidden/>
    <w:rsid w:val="00A62EA9"/>
    <w:rPr>
      <w:sz w:val="20"/>
      <w:szCs w:val="20"/>
    </w:rPr>
  </w:style>
  <w:style w:type="character" w:styleId="FootnoteReference">
    <w:name w:val="footnote reference"/>
    <w:basedOn w:val="DefaultParagraphFont"/>
    <w:uiPriority w:val="99"/>
    <w:semiHidden/>
    <w:unhideWhenUsed/>
    <w:rsid w:val="00A62EA9"/>
    <w:rPr>
      <w:vertAlign w:val="superscript"/>
    </w:rPr>
  </w:style>
  <w:style w:type="character" w:styleId="Hyperlink">
    <w:name w:val="Hyperlink"/>
    <w:basedOn w:val="DefaultParagraphFont"/>
    <w:uiPriority w:val="99"/>
    <w:semiHidden/>
    <w:unhideWhenUsed/>
    <w:rsid w:val="00A62EA9"/>
    <w:rPr>
      <w:color w:val="0000FF"/>
      <w:u w:val="single"/>
    </w:rPr>
  </w:style>
  <w:style w:type="table" w:styleId="TableGridLight">
    <w:name w:val="Grid Table Light"/>
    <w:basedOn w:val="TableNormal"/>
    <w:uiPriority w:val="40"/>
    <w:rsid w:val="001A72BB"/>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48756A"/>
    <w:pPr>
      <w:tabs>
        <w:tab w:val="center" w:pos="4680"/>
        <w:tab w:val="right" w:pos="9360"/>
      </w:tabs>
    </w:pPr>
  </w:style>
  <w:style w:type="character" w:customStyle="1" w:styleId="HeaderChar">
    <w:name w:val="Header Char"/>
    <w:basedOn w:val="DefaultParagraphFont"/>
    <w:link w:val="Header"/>
    <w:uiPriority w:val="99"/>
    <w:rsid w:val="0048756A"/>
  </w:style>
  <w:style w:type="paragraph" w:styleId="Footer">
    <w:name w:val="footer"/>
    <w:basedOn w:val="Normal"/>
    <w:link w:val="FooterChar"/>
    <w:uiPriority w:val="99"/>
    <w:unhideWhenUsed/>
    <w:rsid w:val="0048756A"/>
    <w:pPr>
      <w:tabs>
        <w:tab w:val="center" w:pos="4680"/>
        <w:tab w:val="right" w:pos="9360"/>
      </w:tabs>
    </w:pPr>
  </w:style>
  <w:style w:type="character" w:customStyle="1" w:styleId="FooterChar">
    <w:name w:val="Footer Char"/>
    <w:basedOn w:val="DefaultParagraphFont"/>
    <w:link w:val="Footer"/>
    <w:uiPriority w:val="99"/>
    <w:rsid w:val="0048756A"/>
  </w:style>
  <w:style w:type="character" w:styleId="FollowedHyperlink">
    <w:name w:val="FollowedHyperlink"/>
    <w:basedOn w:val="DefaultParagraphFont"/>
    <w:uiPriority w:val="99"/>
    <w:semiHidden/>
    <w:unhideWhenUsed/>
    <w:rsid w:val="00D21A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20119">
      <w:bodyDiv w:val="1"/>
      <w:marLeft w:val="0"/>
      <w:marRight w:val="0"/>
      <w:marTop w:val="0"/>
      <w:marBottom w:val="0"/>
      <w:divBdr>
        <w:top w:val="none" w:sz="0" w:space="0" w:color="auto"/>
        <w:left w:val="none" w:sz="0" w:space="0" w:color="auto"/>
        <w:bottom w:val="none" w:sz="0" w:space="0" w:color="auto"/>
        <w:right w:val="none" w:sz="0" w:space="0" w:color="auto"/>
      </w:divBdr>
    </w:div>
    <w:div w:id="285039643">
      <w:bodyDiv w:val="1"/>
      <w:marLeft w:val="0"/>
      <w:marRight w:val="0"/>
      <w:marTop w:val="0"/>
      <w:marBottom w:val="0"/>
      <w:divBdr>
        <w:top w:val="none" w:sz="0" w:space="0" w:color="auto"/>
        <w:left w:val="none" w:sz="0" w:space="0" w:color="auto"/>
        <w:bottom w:val="none" w:sz="0" w:space="0" w:color="auto"/>
        <w:right w:val="none" w:sz="0" w:space="0" w:color="auto"/>
      </w:divBdr>
    </w:div>
    <w:div w:id="656231281">
      <w:bodyDiv w:val="1"/>
      <w:marLeft w:val="0"/>
      <w:marRight w:val="0"/>
      <w:marTop w:val="0"/>
      <w:marBottom w:val="0"/>
      <w:divBdr>
        <w:top w:val="none" w:sz="0" w:space="0" w:color="auto"/>
        <w:left w:val="none" w:sz="0" w:space="0" w:color="auto"/>
        <w:bottom w:val="none" w:sz="0" w:space="0" w:color="auto"/>
        <w:right w:val="none" w:sz="0" w:space="0" w:color="auto"/>
      </w:divBdr>
    </w:div>
    <w:div w:id="787773638">
      <w:bodyDiv w:val="1"/>
      <w:marLeft w:val="0"/>
      <w:marRight w:val="0"/>
      <w:marTop w:val="0"/>
      <w:marBottom w:val="0"/>
      <w:divBdr>
        <w:top w:val="none" w:sz="0" w:space="0" w:color="auto"/>
        <w:left w:val="none" w:sz="0" w:space="0" w:color="auto"/>
        <w:bottom w:val="none" w:sz="0" w:space="0" w:color="auto"/>
        <w:right w:val="none" w:sz="0" w:space="0" w:color="auto"/>
      </w:divBdr>
    </w:div>
    <w:div w:id="203090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BC6DB-49CD-4A45-ABFA-C2209B472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bradley</dc:creator>
  <cp:keywords/>
  <dc:description/>
  <cp:lastModifiedBy>Julian Vazquez</cp:lastModifiedBy>
  <cp:revision>10</cp:revision>
  <dcterms:created xsi:type="dcterms:W3CDTF">2019-02-28T22:40:00Z</dcterms:created>
  <dcterms:modified xsi:type="dcterms:W3CDTF">2019-05-26T17:43:00Z</dcterms:modified>
</cp:coreProperties>
</file>