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0F1F" w:rsidRPr="00D60F1F" w:rsidRDefault="00D60F1F" w:rsidP="00D60F1F">
      <w:pPr>
        <w:pStyle w:val="Listenabsatz"/>
        <w:numPr>
          <w:ilvl w:val="0"/>
          <w:numId w:val="5"/>
        </w:num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D60F1F">
        <w:rPr>
          <w:rFonts w:ascii="Times New Roman" w:eastAsia="Times New Roman" w:hAnsi="Times New Roman" w:cs="Times New Roman"/>
          <w:b/>
          <w:bCs/>
          <w:color w:val="000000"/>
          <w:kern w:val="0"/>
          <w:sz w:val="36"/>
          <w:szCs w:val="36"/>
          <w:lang w:eastAsia="de-DE"/>
          <w14:ligatures w14:val="none"/>
        </w:rPr>
        <w:t>Institutionelle Komplementaritäten</w:t>
      </w:r>
    </w:p>
    <w:p w:rsidR="00D60F1F" w:rsidRPr="00D60F1F" w:rsidRDefault="00D60F1F" w:rsidP="00D60F1F">
      <w:pPr>
        <w:pStyle w:val="Listenabsatz"/>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Der Autor versteht unter institutionellen Komplementaritäten, dass das Vorhandensein einer Institution die Funktionsweise oder Effizienz einer anderen Institution unterstützt. Kohärente Institutionen sind also entweder überwiegend liberal oder überwiegend koordiniert und verstärken sich gegenseitig.</w:t>
      </w:r>
      <w:r w:rsidRPr="00D60F1F">
        <w:rPr>
          <w:rFonts w:ascii="Times New Roman" w:eastAsia="Times New Roman" w:hAnsi="Times New Roman" w:cs="Times New Roman"/>
          <w:color w:val="000000"/>
          <w:kern w:val="0"/>
          <w:lang w:eastAsia="de-DE"/>
          <w14:ligatures w14:val="none"/>
        </w:rPr>
        <w:t xml:space="preserve"> </w:t>
      </w: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b/>
          <w:bCs/>
          <w:color w:val="000000"/>
          <w:kern w:val="0"/>
          <w:lang w:eastAsia="de-DE"/>
          <w14:ligatures w14:val="none"/>
        </w:rPr>
        <w:t>(a) Beispiel koordinierte Marktwirtschaft:</w:t>
      </w:r>
    </w:p>
    <w:p w:rsidR="00D60F1F" w:rsidRPr="00D60F1F" w:rsidRDefault="00D60F1F" w:rsidP="00D60F1F">
      <w:pPr>
        <w:numPr>
          <w:ilvl w:val="0"/>
          <w:numId w:val="1"/>
        </w:num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Friedliche Arbeitsbeziehungen fördern Dialog zwischen Management und Belegschaft und stützen</w:t>
      </w:r>
      <w:r>
        <w:rPr>
          <w:rFonts w:ascii="Times New Roman" w:eastAsia="Times New Roman" w:hAnsi="Times New Roman" w:cs="Times New Roman"/>
          <w:color w:val="000000"/>
          <w:kern w:val="0"/>
          <w:lang w:eastAsia="de-DE"/>
          <w14:ligatures w14:val="none"/>
        </w:rPr>
        <w:t xml:space="preserve"> </w:t>
      </w:r>
      <w:r w:rsidRPr="00D60F1F">
        <w:rPr>
          <w:rFonts w:ascii="Times New Roman" w:eastAsia="Times New Roman" w:hAnsi="Times New Roman" w:cs="Times New Roman"/>
          <w:color w:val="000000"/>
          <w:kern w:val="0"/>
          <w:lang w:eastAsia="de-DE"/>
          <w14:ligatures w14:val="none"/>
        </w:rPr>
        <w:t>koordinierte Unternehmensführung.</w:t>
      </w:r>
      <w:r w:rsidRPr="00D60F1F">
        <w:rPr>
          <w:rFonts w:ascii="Times New Roman" w:eastAsia="Times New Roman" w:hAnsi="Times New Roman" w:cs="Times New Roman"/>
          <w:color w:val="000000"/>
          <w:kern w:val="0"/>
          <w:lang w:eastAsia="de-DE"/>
          <w14:ligatures w14:val="none"/>
        </w:rPr>
        <w:t xml:space="preserve"> </w:t>
      </w:r>
    </w:p>
    <w:p w:rsidR="00D60F1F" w:rsidRPr="00D60F1F" w:rsidRDefault="00D60F1F" w:rsidP="00D60F1F">
      <w:pPr>
        <w:numPr>
          <w:ilvl w:val="0"/>
          <w:numId w:val="1"/>
        </w:num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Ein koordiniertes Ausbildungssystem fördert Zusammenarbeit zwischen Unternehmen und schafft nutzbare Qualifikationen.</w:t>
      </w:r>
      <w:r w:rsidRPr="00D60F1F">
        <w:rPr>
          <w:rFonts w:ascii="Times New Roman" w:eastAsia="Times New Roman" w:hAnsi="Times New Roman" w:cs="Times New Roman"/>
          <w:color w:val="000000"/>
          <w:kern w:val="0"/>
          <w:lang w:eastAsia="de-DE"/>
          <w14:ligatures w14:val="none"/>
        </w:rPr>
        <w:t xml:space="preserve"> </w:t>
      </w:r>
    </w:p>
    <w:p w:rsidR="00D60F1F" w:rsidRPr="00D60F1F" w:rsidRDefault="00D60F1F" w:rsidP="00D60F1F">
      <w:pPr>
        <w:numPr>
          <w:ilvl w:val="0"/>
          <w:numId w:val="1"/>
        </w:num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Langfristige Finanzierung ermöglicht es Unternehmen, Beschäftigte auch in Schwächephasen zu halten.</w:t>
      </w:r>
      <w:r w:rsidRPr="00D60F1F">
        <w:rPr>
          <w:rFonts w:ascii="Times New Roman" w:eastAsia="Times New Roman" w:hAnsi="Times New Roman" w:cs="Times New Roman"/>
          <w:color w:val="000000"/>
          <w:kern w:val="0"/>
          <w:lang w:eastAsia="de-DE"/>
          <w14:ligatures w14:val="none"/>
        </w:rPr>
        <w:t xml:space="preserve"> </w:t>
      </w: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b/>
          <w:bCs/>
          <w:color w:val="000000"/>
          <w:kern w:val="0"/>
          <w:lang w:eastAsia="de-DE"/>
          <w14:ligatures w14:val="none"/>
        </w:rPr>
        <w:t>(b) Beispiel liberale Marktwirtschaft:</w:t>
      </w:r>
    </w:p>
    <w:p w:rsidR="00D60F1F" w:rsidRPr="00D60F1F" w:rsidRDefault="00D60F1F" w:rsidP="00D60F1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Flexible Finanzmärkte liefern schnell Kapital und erhöhen die Anpassungsfähigkeit von Unternehmen.</w:t>
      </w:r>
      <w:r w:rsidRPr="00D60F1F">
        <w:rPr>
          <w:rFonts w:ascii="Times New Roman" w:eastAsia="Times New Roman" w:hAnsi="Times New Roman" w:cs="Times New Roman"/>
          <w:color w:val="000000"/>
          <w:kern w:val="0"/>
          <w:lang w:eastAsia="de-DE"/>
          <w14:ligatures w14:val="none"/>
        </w:rPr>
        <w:t xml:space="preserve"> </w:t>
      </w:r>
    </w:p>
    <w:p w:rsidR="00D60F1F" w:rsidRPr="00D60F1F" w:rsidRDefault="00D60F1F" w:rsidP="00D60F1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Flexible Arbeitsmärkte erleichtern schnelles Anwerben und Entlassen von Arbeitskräften.</w:t>
      </w: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Schwache Arbeitnehmervertretung gibt dem Management freie Hand und unterstützt kurzfristige Entscheidungen.</w:t>
      </w: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Pr="00D60F1F" w:rsidRDefault="00D60F1F" w:rsidP="00D60F1F">
      <w:pPr>
        <w:pStyle w:val="Listenabsatz"/>
        <w:numPr>
          <w:ilvl w:val="0"/>
          <w:numId w:val="5"/>
        </w:num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D60F1F">
        <w:rPr>
          <w:rFonts w:ascii="Times New Roman" w:eastAsia="Times New Roman" w:hAnsi="Times New Roman" w:cs="Times New Roman"/>
          <w:b/>
          <w:bCs/>
          <w:color w:val="000000"/>
          <w:kern w:val="0"/>
          <w:sz w:val="36"/>
          <w:szCs w:val="36"/>
          <w:lang w:eastAsia="de-DE"/>
          <w14:ligatures w14:val="none"/>
        </w:rPr>
        <w:t>Rolle des Bildungssystems in Deutschland</w:t>
      </w:r>
    </w:p>
    <w:p w:rsidR="00D60F1F" w:rsidRPr="00D60F1F" w:rsidRDefault="00D60F1F" w:rsidP="00D60F1F">
      <w:pPr>
        <w:pStyle w:val="Listenabsatz"/>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Das Bildungssystem, besonders die dual bzw. koordinierte Ausbildung, ist in Deutschland eine komplementäre Institution, weil es mit anderen koordinierten Institutionen zusammenwirkt. Es passt zu Mitbestimmung, langfristiger Finanzierung und kooperativen Firmenbeziehungen.</w:t>
      </w: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Konkret können Arbeitnehmer ihren Ausbildungsbedarf einbringen, ausgebildete Beschäftigte wandern wegen einheitlicherer Lohnstrukturen weniger leicht ab, und Unternehmen bilden teils gemeinsam aus. So stärkt das Ausbildungssystem langfristige Kooperation und die Investition in die Zukunft der Belegschaft.</w:t>
      </w: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Pr="00D60F1F" w:rsidRDefault="00D60F1F" w:rsidP="00D60F1F">
      <w:pPr>
        <w:pStyle w:val="Listenabsatz"/>
        <w:numPr>
          <w:ilvl w:val="0"/>
          <w:numId w:val="5"/>
        </w:num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D60F1F">
        <w:rPr>
          <w:rFonts w:ascii="Times New Roman" w:eastAsia="Times New Roman" w:hAnsi="Times New Roman" w:cs="Times New Roman"/>
          <w:b/>
          <w:bCs/>
          <w:color w:val="000000"/>
          <w:kern w:val="0"/>
          <w:sz w:val="36"/>
          <w:szCs w:val="36"/>
          <w:lang w:eastAsia="de-DE"/>
          <w14:ligatures w14:val="none"/>
        </w:rPr>
        <w:t>Warum koordinierte Marktwirtschaften spezifisches Humankapital fördern</w:t>
      </w:r>
    </w:p>
    <w:p w:rsidR="00D60F1F" w:rsidRPr="00D60F1F" w:rsidRDefault="00D60F1F" w:rsidP="00D60F1F">
      <w:pPr>
        <w:pStyle w:val="Listenabsatz"/>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Koordinierte Marktwirtschaften fördern stärker spezifisches Humankapital, weil ihre Institutionen auf langfristige Bindungen und Kooperation ausgerichtet sind. Arbeitnehmer mit unternehmensspezifischen Fähigkeiten wechseln seltener, sondern gestalten eher ihr Unternehmen mit.</w:t>
      </w: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Außerdem verringern koordinierte Lohnstrukturen das Risiko, dass andere Unternehmen fertig ausgebildete Fachkräfte einfach abwerben. Dadurch lohnt sich für Unternehmen die Investition in langfristige und teilweise spezifische Qualifikationen eher als in liberalen Marktwirtschaften.</w:t>
      </w: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Pr="00D60F1F" w:rsidRDefault="00D60F1F" w:rsidP="00D60F1F">
      <w:pPr>
        <w:pStyle w:val="Listenabsatz"/>
        <w:numPr>
          <w:ilvl w:val="0"/>
          <w:numId w:val="5"/>
        </w:num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D60F1F">
        <w:rPr>
          <w:rFonts w:ascii="Times New Roman" w:eastAsia="Times New Roman" w:hAnsi="Times New Roman" w:cs="Times New Roman"/>
          <w:b/>
          <w:bCs/>
          <w:color w:val="000000"/>
          <w:kern w:val="0"/>
          <w:sz w:val="36"/>
          <w:szCs w:val="36"/>
          <w:lang w:eastAsia="de-DE"/>
          <w14:ligatures w14:val="none"/>
        </w:rPr>
        <w:t xml:space="preserve">Wirkung von </w:t>
      </w:r>
      <w:proofErr w:type="spellStart"/>
      <w:r w:rsidRPr="00D60F1F">
        <w:rPr>
          <w:rFonts w:ascii="Times New Roman" w:eastAsia="Times New Roman" w:hAnsi="Times New Roman" w:cs="Times New Roman"/>
          <w:b/>
          <w:bCs/>
          <w:color w:val="000000"/>
          <w:kern w:val="0"/>
          <w:sz w:val="36"/>
          <w:szCs w:val="36"/>
          <w:lang w:eastAsia="de-DE"/>
          <w14:ligatures w14:val="none"/>
        </w:rPr>
        <w:t>beneficial</w:t>
      </w:r>
      <w:proofErr w:type="spellEnd"/>
      <w:r w:rsidRPr="00D60F1F">
        <w:rPr>
          <w:rFonts w:ascii="Times New Roman" w:eastAsia="Times New Roman" w:hAnsi="Times New Roman" w:cs="Times New Roman"/>
          <w:b/>
          <w:bCs/>
          <w:color w:val="000000"/>
          <w:kern w:val="0"/>
          <w:sz w:val="36"/>
          <w:szCs w:val="36"/>
          <w:lang w:eastAsia="de-DE"/>
          <w14:ligatures w14:val="none"/>
        </w:rPr>
        <w:t xml:space="preserve"> </w:t>
      </w:r>
      <w:proofErr w:type="spellStart"/>
      <w:r w:rsidRPr="00D60F1F">
        <w:rPr>
          <w:rFonts w:ascii="Times New Roman" w:eastAsia="Times New Roman" w:hAnsi="Times New Roman" w:cs="Times New Roman"/>
          <w:b/>
          <w:bCs/>
          <w:color w:val="000000"/>
          <w:kern w:val="0"/>
          <w:sz w:val="36"/>
          <w:szCs w:val="36"/>
          <w:lang w:eastAsia="de-DE"/>
          <w14:ligatures w14:val="none"/>
        </w:rPr>
        <w:t>constraints</w:t>
      </w:r>
      <w:proofErr w:type="spellEnd"/>
      <w:r w:rsidRPr="00D60F1F">
        <w:rPr>
          <w:rFonts w:ascii="Times New Roman" w:eastAsia="Times New Roman" w:hAnsi="Times New Roman" w:cs="Times New Roman"/>
          <w:b/>
          <w:bCs/>
          <w:color w:val="000000"/>
          <w:kern w:val="0"/>
          <w:sz w:val="36"/>
          <w:szCs w:val="36"/>
          <w:lang w:eastAsia="de-DE"/>
          <w14:ligatures w14:val="none"/>
        </w:rPr>
        <w:t xml:space="preserve"> auf Unternehmensstrategien</w:t>
      </w:r>
    </w:p>
    <w:p w:rsidR="00D60F1F" w:rsidRPr="00D60F1F" w:rsidRDefault="00D60F1F" w:rsidP="00D60F1F">
      <w:pPr>
        <w:pStyle w:val="Listenabsatz"/>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roofErr w:type="spellStart"/>
      <w:r w:rsidRPr="00D60F1F">
        <w:rPr>
          <w:rFonts w:ascii="Times New Roman" w:eastAsia="Times New Roman" w:hAnsi="Times New Roman" w:cs="Times New Roman"/>
          <w:color w:val="000000"/>
          <w:kern w:val="0"/>
          <w:lang w:eastAsia="de-DE"/>
          <w14:ligatures w14:val="none"/>
        </w:rPr>
        <w:t>Beneficial</w:t>
      </w:r>
      <w:proofErr w:type="spellEnd"/>
      <w:r w:rsidRPr="00D60F1F">
        <w:rPr>
          <w:rFonts w:ascii="Times New Roman" w:eastAsia="Times New Roman" w:hAnsi="Times New Roman" w:cs="Times New Roman"/>
          <w:color w:val="000000"/>
          <w:kern w:val="0"/>
          <w:lang w:eastAsia="de-DE"/>
          <w14:ligatures w14:val="none"/>
        </w:rPr>
        <w:t xml:space="preserve"> </w:t>
      </w:r>
      <w:proofErr w:type="spellStart"/>
      <w:r w:rsidRPr="00D60F1F">
        <w:rPr>
          <w:rFonts w:ascii="Times New Roman" w:eastAsia="Times New Roman" w:hAnsi="Times New Roman" w:cs="Times New Roman"/>
          <w:color w:val="000000"/>
          <w:kern w:val="0"/>
          <w:lang w:eastAsia="de-DE"/>
          <w14:ligatures w14:val="none"/>
        </w:rPr>
        <w:t>constraints</w:t>
      </w:r>
      <w:proofErr w:type="spellEnd"/>
      <w:r w:rsidRPr="00D60F1F">
        <w:rPr>
          <w:rFonts w:ascii="Times New Roman" w:eastAsia="Times New Roman" w:hAnsi="Times New Roman" w:cs="Times New Roman"/>
          <w:color w:val="000000"/>
          <w:kern w:val="0"/>
          <w:lang w:eastAsia="de-DE"/>
          <w14:ligatures w14:val="none"/>
        </w:rPr>
        <w:t xml:space="preserve"> sind vorteilhafte Beschränkungen: Unternehmen werden durch verbindliche Regeln zu Verhaltensweisen gedrängt, die sie kurzfristig oft nicht freiwillig wählen würden, die sich langfristig aber als wirtschaftlich nützlich erweisen können.</w:t>
      </w: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Laut Autor zeigt sich das etwa bei Mitbestimmung und Ausbildungsregulierung in Deutschland: Unternehmen mussten lernen, mit Beschäftigten zu kooperieren und breiter auszubilden, als es ihrem kurzfristigen Eigeninteresse entsprochen hätte. Strategisch führt das zu langfristiger Orientierung, höherer Produktqualität, besser ausgebildeten Arbeitskräften und Erfolg bei hochwertigen, individuell angepassten Gütern.</w:t>
      </w: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Pr="00D60F1F" w:rsidRDefault="00D60F1F" w:rsidP="00D60F1F">
      <w:pPr>
        <w:pStyle w:val="Listenabsatz"/>
        <w:numPr>
          <w:ilvl w:val="0"/>
          <w:numId w:val="5"/>
        </w:num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D60F1F">
        <w:rPr>
          <w:rFonts w:ascii="Times New Roman" w:eastAsia="Times New Roman" w:hAnsi="Times New Roman" w:cs="Times New Roman"/>
          <w:b/>
          <w:bCs/>
          <w:color w:val="000000"/>
          <w:kern w:val="0"/>
          <w:sz w:val="36"/>
          <w:szCs w:val="36"/>
          <w:lang w:eastAsia="de-DE"/>
          <w14:ligatures w14:val="none"/>
        </w:rPr>
        <w:t>Warum Unternehmen sich nicht freiwillig koordinieren</w:t>
      </w:r>
    </w:p>
    <w:p w:rsidR="00D60F1F" w:rsidRPr="00D60F1F" w:rsidRDefault="00D60F1F" w:rsidP="00D60F1F">
      <w:pPr>
        <w:pStyle w:val="Listenabsatz"/>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Obwohl Koordination wirtschaftlich sinnvoll sein kann, koordinieren sich Unternehmen laut Text nicht automatisch freiwillig. Nach Streeck verfolgen sie oft kurzfristige Interessen, etwa schnelle Gewinnausschüttungen, statt über den unmittelbaren Bedarf hinaus zu investieren.</w:t>
      </w: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Deshalb braucht es oft verbindliche Institutionen und teilweise staatlichen Zwang, damit Unternehmen Lernprozesse überhaupt beginnen. Erst später erkennen sie möglicherweise, dass solche Einschränkungen in ihrem langfristigen Interesse liegen.</w:t>
      </w: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Pr="00D60F1F" w:rsidRDefault="00D60F1F" w:rsidP="00D60F1F">
      <w:pPr>
        <w:pStyle w:val="Listenabsatz"/>
        <w:numPr>
          <w:ilvl w:val="0"/>
          <w:numId w:val="5"/>
        </w:num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D60F1F">
        <w:rPr>
          <w:rFonts w:ascii="Times New Roman" w:eastAsia="Times New Roman" w:hAnsi="Times New Roman" w:cs="Times New Roman"/>
          <w:b/>
          <w:bCs/>
          <w:color w:val="000000"/>
          <w:kern w:val="0"/>
          <w:sz w:val="36"/>
          <w:szCs w:val="36"/>
          <w:lang w:eastAsia="de-DE"/>
          <w14:ligatures w14:val="none"/>
        </w:rPr>
        <w:t>Voice, Exit und das Kooperationsdilemma</w:t>
      </w:r>
    </w:p>
    <w:p w:rsidR="00D60F1F" w:rsidRPr="00D60F1F" w:rsidRDefault="00D60F1F" w:rsidP="00D60F1F">
      <w:pPr>
        <w:pStyle w:val="Listenabsatz"/>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Institutionelle Strukturen, die </w:t>
      </w:r>
      <w:r w:rsidRPr="00D60F1F">
        <w:rPr>
          <w:rFonts w:ascii="Times New Roman" w:eastAsia="Times New Roman" w:hAnsi="Times New Roman" w:cs="Times New Roman"/>
          <w:b/>
          <w:bCs/>
          <w:color w:val="000000"/>
          <w:kern w:val="0"/>
          <w:lang w:eastAsia="de-DE"/>
          <w14:ligatures w14:val="none"/>
        </w:rPr>
        <w:t>Voice</w:t>
      </w:r>
      <w:r w:rsidRPr="00D60F1F">
        <w:rPr>
          <w:rFonts w:ascii="Times New Roman" w:eastAsia="Times New Roman" w:hAnsi="Times New Roman" w:cs="Times New Roman"/>
          <w:color w:val="000000"/>
          <w:kern w:val="0"/>
          <w:lang w:eastAsia="de-DE"/>
          <w14:ligatures w14:val="none"/>
        </w:rPr>
        <w:t> ermöglichen, mindern das Kooperationsdilemma, weil Konflikte nicht sofort durch Abwanderung oder Abbruch der Beziehung beantwortet werden, sondern durch Widerspruch, Aushandlung und Einflussnahme. So wird im Sinne des Textes Kooperation eher möglich als im reinen Marktmechanismus.</w:t>
      </w: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 xml:space="preserve">Der Autor verbindet das mit </w:t>
      </w:r>
      <w:proofErr w:type="spellStart"/>
      <w:r w:rsidRPr="00D60F1F">
        <w:rPr>
          <w:rFonts w:ascii="Times New Roman" w:eastAsia="Times New Roman" w:hAnsi="Times New Roman" w:cs="Times New Roman"/>
          <w:color w:val="000000"/>
          <w:kern w:val="0"/>
          <w:lang w:eastAsia="de-DE"/>
          <w14:ligatures w14:val="none"/>
        </w:rPr>
        <w:t>Hirschmans</w:t>
      </w:r>
      <w:proofErr w:type="spellEnd"/>
      <w:r w:rsidRPr="00D60F1F">
        <w:rPr>
          <w:rFonts w:ascii="Times New Roman" w:eastAsia="Times New Roman" w:hAnsi="Times New Roman" w:cs="Times New Roman"/>
          <w:color w:val="000000"/>
          <w:kern w:val="0"/>
          <w:lang w:eastAsia="de-DE"/>
          <w14:ligatures w14:val="none"/>
        </w:rPr>
        <w:t xml:space="preserve"> Unterscheidung von </w:t>
      </w:r>
      <w:proofErr w:type="spellStart"/>
      <w:r w:rsidRPr="00D60F1F">
        <w:rPr>
          <w:rFonts w:ascii="Times New Roman" w:eastAsia="Times New Roman" w:hAnsi="Times New Roman" w:cs="Times New Roman"/>
          <w:color w:val="000000"/>
          <w:kern w:val="0"/>
          <w:lang w:eastAsia="de-DE"/>
          <w14:ligatures w14:val="none"/>
        </w:rPr>
        <w:t>Loyalty</w:t>
      </w:r>
      <w:proofErr w:type="spellEnd"/>
      <w:r w:rsidRPr="00D60F1F">
        <w:rPr>
          <w:rFonts w:ascii="Times New Roman" w:eastAsia="Times New Roman" w:hAnsi="Times New Roman" w:cs="Times New Roman"/>
          <w:color w:val="000000"/>
          <w:kern w:val="0"/>
          <w:lang w:eastAsia="de-DE"/>
          <w14:ligatures w14:val="none"/>
        </w:rPr>
        <w:t>, Voice und Exit. Wenn Akteure sich äußern und abstimmen können, lässt sich das Gefangenendilemma eher entschärfen, weil gegenseitige Verständigung Zusammenarbeit ermöglicht.</w:t>
      </w:r>
      <w:r w:rsidRPr="00D60F1F">
        <w:rPr>
          <w:rFonts w:ascii="Times New Roman" w:eastAsia="Times New Roman" w:hAnsi="Times New Roman" w:cs="Times New Roman"/>
          <w:color w:val="000000"/>
          <w:kern w:val="0"/>
          <w:lang w:eastAsia="de-DE"/>
          <w14:ligatures w14:val="none"/>
        </w:rPr>
        <w:t xml:space="preserve"> </w:t>
      </w: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b/>
          <w:bCs/>
          <w:color w:val="000000"/>
          <w:kern w:val="0"/>
          <w:lang w:eastAsia="de-DE"/>
          <w14:ligatures w14:val="none"/>
        </w:rPr>
        <w:t>Beispiele für Voice im betrieblichen Alltag:</w:t>
      </w:r>
    </w:p>
    <w:p w:rsidR="00D60F1F" w:rsidRPr="00D60F1F" w:rsidRDefault="00D60F1F" w:rsidP="00D60F1F">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Betriebsrat.</w:t>
      </w:r>
      <w:r w:rsidRPr="00D60F1F">
        <w:rPr>
          <w:rFonts w:ascii="Times New Roman" w:eastAsia="Times New Roman" w:hAnsi="Times New Roman" w:cs="Times New Roman"/>
          <w:color w:val="000000"/>
          <w:kern w:val="0"/>
          <w:lang w:eastAsia="de-DE"/>
          <w14:ligatures w14:val="none"/>
        </w:rPr>
        <w:t xml:space="preserve"> </w:t>
      </w:r>
    </w:p>
    <w:p w:rsidR="00D60F1F" w:rsidRPr="00D60F1F" w:rsidRDefault="00D60F1F" w:rsidP="00337216">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 xml:space="preserve">Arbeitnehmer im </w:t>
      </w:r>
      <w:proofErr w:type="spellStart"/>
      <w:r w:rsidRPr="00D60F1F">
        <w:rPr>
          <w:rFonts w:ascii="Times New Roman" w:eastAsia="Times New Roman" w:hAnsi="Times New Roman" w:cs="Times New Roman"/>
          <w:color w:val="000000"/>
          <w:kern w:val="0"/>
          <w:lang w:eastAsia="de-DE"/>
          <w14:ligatures w14:val="none"/>
        </w:rPr>
        <w:t>Aufsichtsrat.Gewerkschaften</w:t>
      </w:r>
      <w:proofErr w:type="spellEnd"/>
      <w:r w:rsidRPr="00D60F1F">
        <w:rPr>
          <w:rFonts w:ascii="Times New Roman" w:eastAsia="Times New Roman" w:hAnsi="Times New Roman" w:cs="Times New Roman"/>
          <w:color w:val="000000"/>
          <w:kern w:val="0"/>
          <w:lang w:eastAsia="de-DE"/>
          <w14:ligatures w14:val="none"/>
        </w:rPr>
        <w:t xml:space="preserve"> mit Einspruchs- und Einflussmöglichkeiten.</w:t>
      </w:r>
      <w:r w:rsidRPr="00D60F1F">
        <w:rPr>
          <w:rFonts w:ascii="Times New Roman" w:eastAsia="Times New Roman" w:hAnsi="Times New Roman" w:cs="Times New Roman"/>
          <w:color w:val="000000"/>
          <w:kern w:val="0"/>
          <w:lang w:eastAsia="de-DE"/>
          <w14:ligatures w14:val="none"/>
        </w:rPr>
        <w:t xml:space="preserve"> </w:t>
      </w:r>
    </w:p>
    <w:p w:rsidR="00D60F1F" w:rsidRPr="00D60F1F" w:rsidRDefault="00D60F1F" w:rsidP="00D60F1F">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Banken, die im Aufsichtsrat Unmut äußern, statt sich sofort zurückzuziehen.</w:t>
      </w:r>
      <w:r w:rsidRPr="00D60F1F">
        <w:rPr>
          <w:rFonts w:ascii="Times New Roman" w:eastAsia="Times New Roman" w:hAnsi="Times New Roman" w:cs="Times New Roman"/>
          <w:color w:val="000000"/>
          <w:kern w:val="0"/>
          <w:lang w:eastAsia="de-DE"/>
          <w14:ligatures w14:val="none"/>
        </w:rPr>
        <w:t xml:space="preserve"> </w:t>
      </w: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b/>
          <w:bCs/>
          <w:color w:val="000000"/>
          <w:kern w:val="0"/>
          <w:lang w:eastAsia="de-DE"/>
          <w14:ligatures w14:val="none"/>
        </w:rPr>
        <w:t>Beispiele für Exit im betrieblichen Alltag:</w:t>
      </w:r>
    </w:p>
    <w:p w:rsidR="00D60F1F" w:rsidRPr="00D60F1F" w:rsidRDefault="00D60F1F" w:rsidP="00D60F1F">
      <w:pPr>
        <w:numPr>
          <w:ilvl w:val="0"/>
          <w:numId w:val="4"/>
        </w:num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Arbeitnehmer kündigen.</w:t>
      </w:r>
      <w:r w:rsidRPr="00D60F1F">
        <w:rPr>
          <w:rFonts w:ascii="Times New Roman" w:eastAsia="Times New Roman" w:hAnsi="Times New Roman" w:cs="Times New Roman"/>
          <w:color w:val="000000"/>
          <w:kern w:val="0"/>
          <w:lang w:eastAsia="de-DE"/>
          <w14:ligatures w14:val="none"/>
        </w:rPr>
        <w:t xml:space="preserve"> </w:t>
      </w:r>
    </w:p>
    <w:p w:rsidR="00D60F1F" w:rsidRPr="00D60F1F" w:rsidRDefault="00D60F1F" w:rsidP="00D60F1F">
      <w:pPr>
        <w:numPr>
          <w:ilvl w:val="0"/>
          <w:numId w:val="4"/>
        </w:num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Unternehmen trennen sich von Beschäftigten.</w:t>
      </w:r>
      <w:r w:rsidRPr="00D60F1F">
        <w:rPr>
          <w:rFonts w:ascii="Times New Roman" w:eastAsia="Times New Roman" w:hAnsi="Times New Roman" w:cs="Times New Roman"/>
          <w:color w:val="000000"/>
          <w:kern w:val="0"/>
          <w:lang w:eastAsia="de-DE"/>
          <w14:ligatures w14:val="none"/>
        </w:rPr>
        <w:t xml:space="preserve"> </w:t>
      </w:r>
    </w:p>
    <w:p w:rsidR="00D60F1F" w:rsidRPr="00D60F1F" w:rsidRDefault="00D60F1F" w:rsidP="00D60F1F">
      <w:pPr>
        <w:numPr>
          <w:ilvl w:val="0"/>
          <w:numId w:val="4"/>
        </w:num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Aktionäre verkaufen schnell ihre Anteile.</w:t>
      </w: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pStyle w:val="Listenabsatz"/>
        <w:numPr>
          <w:ilvl w:val="0"/>
          <w:numId w:val="5"/>
        </w:num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D60F1F">
        <w:rPr>
          <w:rFonts w:ascii="Times New Roman" w:eastAsia="Times New Roman" w:hAnsi="Times New Roman" w:cs="Times New Roman"/>
          <w:b/>
          <w:bCs/>
          <w:color w:val="000000"/>
          <w:kern w:val="0"/>
          <w:sz w:val="36"/>
          <w:szCs w:val="36"/>
          <w:lang w:eastAsia="de-DE"/>
          <w14:ligatures w14:val="none"/>
        </w:rPr>
        <w:lastRenderedPageBreak/>
        <w:t>Warum Sozialpolitik in koordinierten Marktwirtschaften Effizienz erhöhen kann</w:t>
      </w:r>
    </w:p>
    <w:p w:rsidR="00D60F1F" w:rsidRPr="00D60F1F" w:rsidRDefault="00D60F1F" w:rsidP="00D60F1F">
      <w:pPr>
        <w:pStyle w:val="Listenabsatz"/>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Im vorliegenden Abschnitt wird Sozialpolitik nicht ausführlich als eigenes Kapitel behandelt, aber es wird gezeigt, dass koordinierte Institutionen Unternehmen helfen können, Beschäftigte langfristig zu halten und Kooperation zu stabilisieren. Gerade in Schwächephasen können Unternehmen Arbeitskräfte halten, wenn die institutionellen Rahmenbedingungen langfristig angelegt sind.</w:t>
      </w: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Dadurch werden langfristige Investitionen, stabile Arbeitsbeziehungen und die Nutzung von Qualifikationen erleichtert. In diesem Sinne kann sozialpolitisch abgesicherte Stabilität die wirtschaftliche Effizienz von Unternehmen erhöhen.</w:t>
      </w:r>
      <w:r w:rsidRPr="00D60F1F">
        <w:rPr>
          <w:rFonts w:ascii="Times New Roman" w:eastAsia="Times New Roman" w:hAnsi="Times New Roman" w:cs="Times New Roman"/>
          <w:color w:val="000000"/>
          <w:kern w:val="0"/>
          <w:lang w:eastAsia="de-DE"/>
          <w14:ligatures w14:val="none"/>
        </w:rPr>
        <w:t xml:space="preserve"> </w:t>
      </w:r>
    </w:p>
    <w:p w:rsid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p>
    <w:p w:rsidR="00D60F1F" w:rsidRPr="00D60F1F" w:rsidRDefault="00D60F1F" w:rsidP="00D60F1F">
      <w:pPr>
        <w:pStyle w:val="Listenabsatz"/>
        <w:numPr>
          <w:ilvl w:val="0"/>
          <w:numId w:val="5"/>
        </w:num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D60F1F">
        <w:rPr>
          <w:rFonts w:ascii="Times New Roman" w:eastAsia="Times New Roman" w:hAnsi="Times New Roman" w:cs="Times New Roman"/>
          <w:b/>
          <w:bCs/>
          <w:color w:val="000000"/>
          <w:kern w:val="0"/>
          <w:sz w:val="36"/>
          <w:szCs w:val="36"/>
          <w:lang w:eastAsia="de-DE"/>
          <w14:ligatures w14:val="none"/>
        </w:rPr>
        <w:t>Wie liberale Marktwirtschaften fehlende Kooperation ausgleichen</w:t>
      </w:r>
    </w:p>
    <w:p w:rsidR="00D60F1F" w:rsidRPr="00D60F1F" w:rsidRDefault="00D60F1F" w:rsidP="00D60F1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Liberale Marktwirtschaften gleichen die geringere Kooperationsfähigkeit laut Autor durch Marktarrangements, Flexibilität und schnelle Anpassung aus. Unternehmen sind nicht stark an Tarifabsprachen, Mitspracherechte der Arbeitnehmer oder langfristige Kredite gebunden und können darum rasch auf Marktveränderungen reagieren.</w:t>
      </w:r>
      <w:r w:rsidRPr="00D60F1F">
        <w:rPr>
          <w:rFonts w:ascii="Times New Roman" w:eastAsia="Times New Roman" w:hAnsi="Times New Roman" w:cs="Times New Roman"/>
          <w:color w:val="000000"/>
          <w:kern w:val="0"/>
          <w:lang w:eastAsia="de-DE"/>
          <w14:ligatures w14:val="none"/>
        </w:rPr>
        <w:t xml:space="preserve"> </w:t>
      </w:r>
    </w:p>
    <w:p w:rsidR="00D60F1F" w:rsidRPr="00D60F1F" w:rsidRDefault="00D60F1F" w:rsidP="00D60F1F">
      <w:pPr>
        <w:spacing w:before="100" w:beforeAutospacing="1" w:after="100" w:afterAutospacing="1"/>
        <w:rPr>
          <w:rFonts w:ascii="Times New Roman" w:eastAsia="Times New Roman" w:hAnsi="Times New Roman" w:cs="Times New Roman"/>
          <w:color w:val="000000"/>
          <w:kern w:val="0"/>
          <w:lang w:eastAsia="de-DE"/>
          <w14:ligatures w14:val="none"/>
        </w:rPr>
      </w:pPr>
      <w:r w:rsidRPr="00D60F1F">
        <w:rPr>
          <w:rFonts w:ascii="Times New Roman" w:eastAsia="Times New Roman" w:hAnsi="Times New Roman" w:cs="Times New Roman"/>
          <w:color w:val="000000"/>
          <w:kern w:val="0"/>
          <w:lang w:eastAsia="de-DE"/>
          <w14:ligatures w14:val="none"/>
        </w:rPr>
        <w:t>Sie bekommen schnell Kapital und Arbeitskräfte, können beides nach Bedarf wieder abstoßen und sind besonders stark bei radikalen Innovationen in jungen und turbulenten Branchen. Die fehlende Koordination wird also durch flexible Märkte, starkes Management, allgemeine Qualifikationen und kurzfristig verfügbares Kapital kompensiert.</w:t>
      </w:r>
      <w:r w:rsidRPr="00D60F1F">
        <w:rPr>
          <w:rFonts w:ascii="Times New Roman" w:eastAsia="Times New Roman" w:hAnsi="Times New Roman" w:cs="Times New Roman"/>
          <w:color w:val="000000"/>
          <w:kern w:val="0"/>
          <w:lang w:eastAsia="de-DE"/>
          <w14:ligatures w14:val="none"/>
        </w:rPr>
        <w:t xml:space="preserve"> </w:t>
      </w:r>
    </w:p>
    <w:p w:rsidR="00D60F1F" w:rsidRDefault="00D60F1F"/>
    <w:sectPr w:rsidR="00D60F1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E14BF"/>
    <w:multiLevelType w:val="multilevel"/>
    <w:tmpl w:val="1868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14F02"/>
    <w:multiLevelType w:val="multilevel"/>
    <w:tmpl w:val="6CA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E114D"/>
    <w:multiLevelType w:val="hybridMultilevel"/>
    <w:tmpl w:val="356AB2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4D255FC"/>
    <w:multiLevelType w:val="multilevel"/>
    <w:tmpl w:val="C848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313A2"/>
    <w:multiLevelType w:val="multilevel"/>
    <w:tmpl w:val="CCB2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972951">
    <w:abstractNumId w:val="4"/>
  </w:num>
  <w:num w:numId="2" w16cid:durableId="1289582158">
    <w:abstractNumId w:val="0"/>
  </w:num>
  <w:num w:numId="3" w16cid:durableId="982469887">
    <w:abstractNumId w:val="3"/>
  </w:num>
  <w:num w:numId="4" w16cid:durableId="1438717178">
    <w:abstractNumId w:val="1"/>
  </w:num>
  <w:num w:numId="5" w16cid:durableId="1680692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F1F"/>
    <w:rsid w:val="00521234"/>
    <w:rsid w:val="00D60F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4916BEC"/>
  <w15:chartTrackingRefBased/>
  <w15:docId w15:val="{0ED59641-F166-4B4C-AA20-26DD74ACB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D60F1F"/>
    <w:pPr>
      <w:spacing w:before="100" w:beforeAutospacing="1" w:after="100" w:afterAutospacing="1"/>
      <w:outlineLvl w:val="1"/>
    </w:pPr>
    <w:rPr>
      <w:rFonts w:ascii="Times New Roman" w:eastAsia="Times New Roman" w:hAnsi="Times New Roman" w:cs="Times New Roman"/>
      <w:b/>
      <w:bCs/>
      <w:kern w:val="0"/>
      <w:sz w:val="36"/>
      <w:szCs w:val="36"/>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D60F1F"/>
    <w:rPr>
      <w:rFonts w:ascii="Times New Roman" w:eastAsia="Times New Roman" w:hAnsi="Times New Roman" w:cs="Times New Roman"/>
      <w:b/>
      <w:bCs/>
      <w:kern w:val="0"/>
      <w:sz w:val="36"/>
      <w:szCs w:val="36"/>
      <w:lang w:eastAsia="de-DE"/>
      <w14:ligatures w14:val="none"/>
    </w:rPr>
  </w:style>
  <w:style w:type="paragraph" w:customStyle="1" w:styleId="my-2">
    <w:name w:val="my-2"/>
    <w:basedOn w:val="Standard"/>
    <w:rsid w:val="00D60F1F"/>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D60F1F"/>
  </w:style>
  <w:style w:type="character" w:styleId="Fett">
    <w:name w:val="Strong"/>
    <w:basedOn w:val="Absatz-Standardschriftart"/>
    <w:uiPriority w:val="22"/>
    <w:qFormat/>
    <w:rsid w:val="00D60F1F"/>
    <w:rPr>
      <w:b/>
      <w:bCs/>
    </w:rPr>
  </w:style>
  <w:style w:type="character" w:customStyle="1" w:styleId="citation">
    <w:name w:val="citation"/>
    <w:basedOn w:val="Absatz-Standardschriftart"/>
    <w:rsid w:val="00D60F1F"/>
  </w:style>
  <w:style w:type="character" w:customStyle="1" w:styleId="inline-block">
    <w:name w:val="inline-block"/>
    <w:basedOn w:val="Absatz-Standardschriftart"/>
    <w:rsid w:val="00D60F1F"/>
  </w:style>
  <w:style w:type="paragraph" w:styleId="Listenabsatz">
    <w:name w:val="List Paragraph"/>
    <w:basedOn w:val="Standard"/>
    <w:uiPriority w:val="34"/>
    <w:qFormat/>
    <w:rsid w:val="00D60F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526897">
      <w:bodyDiv w:val="1"/>
      <w:marLeft w:val="0"/>
      <w:marRight w:val="0"/>
      <w:marTop w:val="0"/>
      <w:marBottom w:val="0"/>
      <w:divBdr>
        <w:top w:val="none" w:sz="0" w:space="0" w:color="auto"/>
        <w:left w:val="none" w:sz="0" w:space="0" w:color="auto"/>
        <w:bottom w:val="none" w:sz="0" w:space="0" w:color="auto"/>
        <w:right w:val="none" w:sz="0" w:space="0" w:color="auto"/>
      </w:divBdr>
      <w:divsChild>
        <w:div w:id="21418740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830</Words>
  <Characters>5235</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Zülch</dc:creator>
  <cp:keywords/>
  <dc:description/>
  <cp:lastModifiedBy>Julian Zülch</cp:lastModifiedBy>
  <cp:revision>1</cp:revision>
  <dcterms:created xsi:type="dcterms:W3CDTF">2026-05-28T16:32:00Z</dcterms:created>
  <dcterms:modified xsi:type="dcterms:W3CDTF">2026-05-28T17:07:00Z</dcterms:modified>
</cp:coreProperties>
</file>