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7A" w:rsidRDefault="00A11C7A" w:rsidP="004B15D6">
      <w:pPr>
        <w:jc w:val="center"/>
        <w:rPr>
          <w:rFonts w:eastAsia="標楷體"/>
          <w:sz w:val="32"/>
          <w:szCs w:val="28"/>
        </w:rPr>
      </w:pPr>
      <w:r w:rsidRPr="004B15D6">
        <w:rPr>
          <w:rFonts w:eastAsia="標楷體"/>
          <w:sz w:val="32"/>
          <w:szCs w:val="28"/>
        </w:rPr>
        <w:t>東吳大學校史研究</w:t>
      </w:r>
      <w:r w:rsidR="00B7739F">
        <w:rPr>
          <w:rFonts w:eastAsia="標楷體" w:hint="eastAsia"/>
          <w:sz w:val="32"/>
          <w:szCs w:val="28"/>
        </w:rPr>
        <w:t>指導</w:t>
      </w:r>
      <w:r w:rsidRPr="004B15D6">
        <w:rPr>
          <w:rFonts w:eastAsia="標楷體"/>
          <w:sz w:val="32"/>
          <w:szCs w:val="28"/>
        </w:rPr>
        <w:t>委員會設置辦法</w:t>
      </w:r>
    </w:p>
    <w:p w:rsidR="004B15D6" w:rsidRDefault="004B15D6" w:rsidP="004B15D6">
      <w:pPr>
        <w:spacing w:line="240" w:lineRule="exact"/>
        <w:jc w:val="center"/>
        <w:rPr>
          <w:rFonts w:eastAsia="標楷體"/>
          <w:sz w:val="32"/>
          <w:szCs w:val="28"/>
        </w:rPr>
      </w:pPr>
    </w:p>
    <w:p w:rsidR="00A11C7A" w:rsidRDefault="007263D4" w:rsidP="004B15D6">
      <w:pPr>
        <w:spacing w:line="240" w:lineRule="exact"/>
        <w:jc w:val="right"/>
        <w:rPr>
          <w:rFonts w:ascii="標楷體" w:eastAsia="標楷體" w:hAnsi="標楷體"/>
          <w:sz w:val="20"/>
          <w:szCs w:val="20"/>
        </w:rPr>
      </w:pPr>
      <w:r w:rsidRPr="004B15D6">
        <w:rPr>
          <w:rFonts w:ascii="標楷體" w:eastAsia="標楷體" w:hAnsi="標楷體" w:hint="eastAsia"/>
          <w:sz w:val="20"/>
          <w:szCs w:val="20"/>
        </w:rPr>
        <w:t>10</w:t>
      </w:r>
      <w:r w:rsidR="004B15D6" w:rsidRPr="004B15D6">
        <w:rPr>
          <w:rFonts w:ascii="標楷體" w:eastAsia="標楷體" w:hAnsi="標楷體" w:hint="eastAsia"/>
          <w:sz w:val="20"/>
          <w:szCs w:val="20"/>
        </w:rPr>
        <w:t>3年</w:t>
      </w:r>
      <w:r w:rsidRPr="004B15D6">
        <w:rPr>
          <w:rFonts w:ascii="標楷體" w:eastAsia="標楷體" w:hAnsi="標楷體" w:hint="eastAsia"/>
          <w:sz w:val="20"/>
          <w:szCs w:val="20"/>
        </w:rPr>
        <w:t>1</w:t>
      </w:r>
      <w:r w:rsidR="004B15D6" w:rsidRPr="004B15D6">
        <w:rPr>
          <w:rFonts w:ascii="標楷體" w:eastAsia="標楷體" w:hAnsi="標楷體" w:hint="eastAsia"/>
          <w:sz w:val="20"/>
          <w:szCs w:val="20"/>
        </w:rPr>
        <w:t>月</w:t>
      </w:r>
      <w:r w:rsidRPr="004B15D6">
        <w:rPr>
          <w:rFonts w:ascii="標楷體" w:eastAsia="標楷體" w:hAnsi="標楷體" w:hint="eastAsia"/>
          <w:sz w:val="20"/>
          <w:szCs w:val="20"/>
        </w:rPr>
        <w:t>20</w:t>
      </w:r>
      <w:r w:rsidR="004B15D6" w:rsidRPr="004B15D6">
        <w:rPr>
          <w:rFonts w:ascii="標楷體" w:eastAsia="標楷體" w:hAnsi="標楷體" w:hint="eastAsia"/>
          <w:sz w:val="20"/>
          <w:szCs w:val="20"/>
        </w:rPr>
        <w:t>日</w:t>
      </w:r>
      <w:r w:rsidRPr="004B15D6">
        <w:rPr>
          <w:rFonts w:ascii="標楷體" w:eastAsia="標楷體" w:hAnsi="標楷體" w:hint="eastAsia"/>
          <w:sz w:val="20"/>
          <w:szCs w:val="20"/>
        </w:rPr>
        <w:t>行政會議通過</w:t>
      </w:r>
    </w:p>
    <w:p w:rsidR="004B15D6" w:rsidRDefault="004F4B4A" w:rsidP="004B15D6">
      <w:pPr>
        <w:spacing w:line="240" w:lineRule="exact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</w:rPr>
        <w:t>105年8月29日第2次行政會議修正通過辦法名稱、第</w:t>
      </w:r>
      <w:r>
        <w:rPr>
          <w:rFonts w:ascii="標楷體" w:eastAsia="標楷體" w:hAnsi="標楷體"/>
          <w:sz w:val="20"/>
        </w:rPr>
        <w:t>1</w:t>
      </w:r>
      <w:r>
        <w:rPr>
          <w:rFonts w:ascii="標楷體" w:eastAsia="標楷體" w:hAnsi="標楷體" w:hint="eastAsia"/>
          <w:sz w:val="20"/>
        </w:rPr>
        <w:t>條</w:t>
      </w:r>
    </w:p>
    <w:p w:rsidR="00B7739F" w:rsidRPr="00B7739F" w:rsidRDefault="00DA54B7" w:rsidP="004B15D6">
      <w:pPr>
        <w:spacing w:line="240" w:lineRule="exact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107年8月27日第2次行政會議修正通過辦法名稱、第3條</w:t>
      </w:r>
      <w:bookmarkStart w:id="0" w:name="_GoBack"/>
      <w:bookmarkEnd w:id="0"/>
    </w:p>
    <w:p w:rsidR="00A11C7A" w:rsidRDefault="00A11C7A" w:rsidP="004B15D6">
      <w:pPr>
        <w:tabs>
          <w:tab w:val="left" w:leader="dot" w:pos="993"/>
        </w:tabs>
        <w:spacing w:line="320" w:lineRule="exact"/>
        <w:ind w:left="1680" w:hangingChars="700" w:hanging="1680"/>
        <w:jc w:val="both"/>
        <w:rPr>
          <w:rFonts w:eastAsia="標楷體"/>
        </w:rPr>
      </w:pPr>
      <w:r w:rsidRPr="00886D66">
        <w:rPr>
          <w:rFonts w:eastAsia="標楷體"/>
        </w:rPr>
        <w:t>第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一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條</w:t>
      </w:r>
      <w:r>
        <w:rPr>
          <w:rFonts w:eastAsia="標楷體" w:hint="eastAsia"/>
        </w:rPr>
        <w:t xml:space="preserve">　　</w:t>
      </w:r>
      <w:r w:rsidRPr="00886D66">
        <w:rPr>
          <w:rFonts w:eastAsia="標楷體"/>
        </w:rPr>
        <w:t>為推動校史研究風氣，凝聚校史研究共識，並有系統蒐集校史資料，建立詳實完整校史紀錄，特成立</w:t>
      </w:r>
      <w:r>
        <w:rPr>
          <w:rFonts w:eastAsia="標楷體" w:hint="eastAsia"/>
        </w:rPr>
        <w:t>東吳大學</w:t>
      </w:r>
      <w:r w:rsidRPr="00E67CFD">
        <w:rPr>
          <w:rFonts w:eastAsia="標楷體"/>
        </w:rPr>
        <w:t>校史研究</w:t>
      </w:r>
      <w:r w:rsidR="00B7739F">
        <w:rPr>
          <w:rFonts w:eastAsia="標楷體" w:hint="eastAsia"/>
        </w:rPr>
        <w:t>指導</w:t>
      </w:r>
      <w:r w:rsidRPr="00E67CFD">
        <w:rPr>
          <w:rFonts w:eastAsia="標楷體"/>
        </w:rPr>
        <w:t>委員會</w:t>
      </w:r>
      <w:r>
        <w:rPr>
          <w:rFonts w:eastAsia="標楷體" w:hint="eastAsia"/>
        </w:rPr>
        <w:t>（以下簡稱</w:t>
      </w:r>
      <w:r w:rsidRPr="00886D66">
        <w:rPr>
          <w:rFonts w:eastAsia="標楷體"/>
        </w:rPr>
        <w:t>本委員會</w:t>
      </w:r>
      <w:r>
        <w:rPr>
          <w:rFonts w:eastAsia="標楷體" w:hint="eastAsia"/>
        </w:rPr>
        <w:t>）</w:t>
      </w:r>
      <w:r w:rsidRPr="00886D66">
        <w:rPr>
          <w:rFonts w:eastAsia="標楷體"/>
        </w:rPr>
        <w:t>。</w:t>
      </w:r>
    </w:p>
    <w:p w:rsidR="00A11C7A" w:rsidRPr="00886D66" w:rsidRDefault="00A11C7A" w:rsidP="004B15D6">
      <w:pPr>
        <w:tabs>
          <w:tab w:val="left" w:pos="851"/>
        </w:tabs>
        <w:spacing w:line="320" w:lineRule="exact"/>
        <w:jc w:val="both"/>
        <w:rPr>
          <w:rFonts w:eastAsia="標楷體"/>
        </w:rPr>
      </w:pPr>
      <w:r w:rsidRPr="00886D66">
        <w:rPr>
          <w:rFonts w:eastAsia="標楷體"/>
        </w:rPr>
        <w:t>第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二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條</w:t>
      </w:r>
      <w:r>
        <w:rPr>
          <w:rFonts w:eastAsia="標楷體" w:hint="eastAsia"/>
        </w:rPr>
        <w:t xml:space="preserve">　　</w:t>
      </w:r>
      <w:r w:rsidRPr="00886D66">
        <w:rPr>
          <w:rFonts w:eastAsia="標楷體"/>
        </w:rPr>
        <w:t>本委員會任務如下：</w:t>
      </w:r>
    </w:p>
    <w:p w:rsidR="00A11C7A" w:rsidRPr="00886D66" w:rsidRDefault="00A11C7A" w:rsidP="004B15D6">
      <w:pPr>
        <w:numPr>
          <w:ilvl w:val="0"/>
          <w:numId w:val="1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建立系統性校史資料之蒐集與研究。</w:t>
      </w:r>
    </w:p>
    <w:p w:rsidR="00A11C7A" w:rsidRPr="00886D66" w:rsidRDefault="00A11C7A" w:rsidP="004B15D6">
      <w:pPr>
        <w:numPr>
          <w:ilvl w:val="0"/>
          <w:numId w:val="1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提供校史室業務規劃之參考。</w:t>
      </w:r>
    </w:p>
    <w:p w:rsidR="00A11C7A" w:rsidRPr="00886D66" w:rsidRDefault="00A11C7A" w:rsidP="004B15D6">
      <w:pPr>
        <w:numPr>
          <w:ilvl w:val="0"/>
          <w:numId w:val="1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審查校史工作計畫及檢視實施成果。</w:t>
      </w:r>
    </w:p>
    <w:p w:rsidR="00A11C7A" w:rsidRPr="00886D66" w:rsidRDefault="00A11C7A" w:rsidP="004B15D6">
      <w:pPr>
        <w:tabs>
          <w:tab w:val="left" w:pos="851"/>
        </w:tabs>
        <w:spacing w:line="320" w:lineRule="exact"/>
        <w:jc w:val="both"/>
        <w:rPr>
          <w:rFonts w:eastAsia="標楷體"/>
        </w:rPr>
      </w:pPr>
      <w:r w:rsidRPr="00886D66">
        <w:rPr>
          <w:rFonts w:eastAsia="標楷體"/>
        </w:rPr>
        <w:t>第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三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條</w:t>
      </w:r>
      <w:r>
        <w:rPr>
          <w:rFonts w:eastAsia="標楷體" w:hint="eastAsia"/>
        </w:rPr>
        <w:t xml:space="preserve">　　</w:t>
      </w:r>
      <w:r w:rsidRPr="00886D66">
        <w:rPr>
          <w:rFonts w:eastAsia="標楷體"/>
        </w:rPr>
        <w:t>本委員會委員職務及產生方式：</w:t>
      </w:r>
    </w:p>
    <w:p w:rsidR="00A11C7A" w:rsidRPr="00886D66" w:rsidRDefault="00A11C7A" w:rsidP="004B15D6">
      <w:pPr>
        <w:numPr>
          <w:ilvl w:val="0"/>
          <w:numId w:val="2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主任委員：由校長擔任之，負責遴聘委員並主持委員會議。</w:t>
      </w:r>
    </w:p>
    <w:p w:rsidR="00A11C7A" w:rsidRPr="00DA54B7" w:rsidRDefault="00A11C7A" w:rsidP="004B15D6">
      <w:pPr>
        <w:numPr>
          <w:ilvl w:val="0"/>
          <w:numId w:val="2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BD1ED9">
        <w:rPr>
          <w:rFonts w:eastAsia="標楷體"/>
        </w:rPr>
        <w:t>委員：</w:t>
      </w:r>
      <w:r w:rsidR="00DA54B7" w:rsidRPr="00DA54B7">
        <w:rPr>
          <w:rFonts w:eastAsia="標楷體"/>
        </w:rPr>
        <w:t>主任秘書、社會資源長、圖書館館長、人文社會學院院長、歷史學系主任及校友總會理事長為當然委員，另聘請校內、外具有校史專長與志趣之本校資深同仁、校友或專業人士等擔任委員。</w:t>
      </w:r>
    </w:p>
    <w:p w:rsidR="00A11C7A" w:rsidRPr="00886D66" w:rsidRDefault="00A11C7A" w:rsidP="004B15D6">
      <w:pPr>
        <w:numPr>
          <w:ilvl w:val="0"/>
          <w:numId w:val="2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執行長：由校長自委員中圈選一人擔任之，負責推動委員會會務，並由執行長提請校內一位同仁兼任委員會秘書。</w:t>
      </w:r>
    </w:p>
    <w:p w:rsidR="00A11C7A" w:rsidRPr="00886D66" w:rsidRDefault="00A11C7A" w:rsidP="004B15D6">
      <w:pPr>
        <w:numPr>
          <w:ilvl w:val="0"/>
          <w:numId w:val="2"/>
        </w:numPr>
        <w:tabs>
          <w:tab w:val="left" w:pos="851"/>
        </w:tabs>
        <w:spacing w:line="320" w:lineRule="exact"/>
        <w:ind w:leftChars="700" w:left="2160" w:hangingChars="200"/>
        <w:jc w:val="both"/>
        <w:rPr>
          <w:rFonts w:eastAsia="標楷體"/>
        </w:rPr>
      </w:pPr>
      <w:r w:rsidRPr="00886D66">
        <w:rPr>
          <w:rFonts w:eastAsia="標楷體"/>
        </w:rPr>
        <w:t>校史研究由執行長規劃之。</w:t>
      </w:r>
    </w:p>
    <w:p w:rsidR="00A11C7A" w:rsidRPr="00886D66" w:rsidRDefault="00A11C7A" w:rsidP="004B15D6">
      <w:pPr>
        <w:tabs>
          <w:tab w:val="left" w:pos="851"/>
        </w:tabs>
        <w:spacing w:line="320" w:lineRule="exact"/>
        <w:jc w:val="both"/>
        <w:rPr>
          <w:rFonts w:eastAsia="標楷體"/>
        </w:rPr>
      </w:pPr>
      <w:r w:rsidRPr="00886D66">
        <w:rPr>
          <w:rFonts w:eastAsia="標楷體"/>
        </w:rPr>
        <w:t>第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四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條</w:t>
      </w:r>
      <w:r>
        <w:rPr>
          <w:rFonts w:eastAsia="標楷體" w:hint="eastAsia"/>
        </w:rPr>
        <w:t xml:space="preserve">　　</w:t>
      </w:r>
      <w:r w:rsidRPr="00886D66">
        <w:rPr>
          <w:rFonts w:eastAsia="標楷體"/>
        </w:rPr>
        <w:t>本委員會委員任期二年，得連任之。</w:t>
      </w:r>
    </w:p>
    <w:p w:rsidR="00A11C7A" w:rsidRPr="00E63003" w:rsidRDefault="00A11C7A" w:rsidP="004B15D6">
      <w:pPr>
        <w:tabs>
          <w:tab w:val="left" w:pos="851"/>
        </w:tabs>
        <w:spacing w:line="320" w:lineRule="exact"/>
        <w:ind w:left="1680" w:hangingChars="700" w:hanging="1680"/>
        <w:jc w:val="both"/>
        <w:rPr>
          <w:rFonts w:eastAsia="標楷體"/>
        </w:rPr>
      </w:pPr>
      <w:r w:rsidRPr="00886D66">
        <w:rPr>
          <w:rFonts w:eastAsia="標楷體"/>
        </w:rPr>
        <w:t>第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五</w:t>
      </w:r>
      <w:r w:rsidR="004B15D6">
        <w:rPr>
          <w:rFonts w:eastAsia="標楷體" w:hint="eastAsia"/>
        </w:rPr>
        <w:t xml:space="preserve">　</w:t>
      </w:r>
      <w:r w:rsidRPr="00886D66">
        <w:rPr>
          <w:rFonts w:eastAsia="標楷體"/>
        </w:rPr>
        <w:t>條</w:t>
      </w:r>
      <w:r>
        <w:rPr>
          <w:rFonts w:eastAsia="標楷體" w:hint="eastAsia"/>
        </w:rPr>
        <w:t xml:space="preserve">　　</w:t>
      </w:r>
      <w:r w:rsidRPr="00886D66">
        <w:rPr>
          <w:rFonts w:eastAsia="標楷體"/>
        </w:rPr>
        <w:t>本辦法經行政會議通過，報請校長</w:t>
      </w:r>
      <w:r w:rsidRPr="00886D66">
        <w:rPr>
          <w:rFonts w:eastAsia="標楷體" w:hint="eastAsia"/>
        </w:rPr>
        <w:t>核定後</w:t>
      </w:r>
      <w:r w:rsidRPr="00886D66">
        <w:rPr>
          <w:rFonts w:eastAsia="標楷體"/>
        </w:rPr>
        <w:t>公</w:t>
      </w:r>
      <w:r w:rsidRPr="00886D66">
        <w:rPr>
          <w:rFonts w:eastAsia="標楷體" w:hint="eastAsia"/>
        </w:rPr>
        <w:t>布</w:t>
      </w:r>
      <w:r w:rsidRPr="00886D66">
        <w:rPr>
          <w:rFonts w:eastAsia="標楷體"/>
        </w:rPr>
        <w:t>施行，修正時亦同。</w:t>
      </w:r>
    </w:p>
    <w:p w:rsidR="00973C6E" w:rsidRPr="00A11C7A" w:rsidRDefault="00973C6E" w:rsidP="004B15D6">
      <w:pPr>
        <w:spacing w:line="320" w:lineRule="exact"/>
      </w:pPr>
    </w:p>
    <w:sectPr w:rsidR="00973C6E" w:rsidRPr="00A11C7A" w:rsidSect="009D40E0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E3" w:rsidRDefault="005217E3" w:rsidP="00DD324E">
      <w:r>
        <w:separator/>
      </w:r>
    </w:p>
  </w:endnote>
  <w:endnote w:type="continuationSeparator" w:id="0">
    <w:p w:rsidR="005217E3" w:rsidRDefault="005217E3" w:rsidP="00DD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E3" w:rsidRDefault="005217E3" w:rsidP="00DD324E">
      <w:r>
        <w:separator/>
      </w:r>
    </w:p>
  </w:footnote>
  <w:footnote w:type="continuationSeparator" w:id="0">
    <w:p w:rsidR="005217E3" w:rsidRDefault="005217E3" w:rsidP="00DD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1D9"/>
    <w:multiLevelType w:val="hybridMultilevel"/>
    <w:tmpl w:val="0AC81724"/>
    <w:lvl w:ilvl="0" w:tplc="123AA05A">
      <w:start w:val="1"/>
      <w:numFmt w:val="taiwaneseCountingThousand"/>
      <w:lvlText w:val="%1、"/>
      <w:lvlJc w:val="left"/>
      <w:pPr>
        <w:ind w:left="1757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1" w15:restartNumberingAfterBreak="0">
    <w:nsid w:val="6359138F"/>
    <w:multiLevelType w:val="hybridMultilevel"/>
    <w:tmpl w:val="86F4D8CC"/>
    <w:lvl w:ilvl="0" w:tplc="9A567630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7A"/>
    <w:rsid w:val="000778FC"/>
    <w:rsid w:val="00493F53"/>
    <w:rsid w:val="004B0DBD"/>
    <w:rsid w:val="004B15D6"/>
    <w:rsid w:val="004F4B4A"/>
    <w:rsid w:val="005217E3"/>
    <w:rsid w:val="00522CC0"/>
    <w:rsid w:val="006B6795"/>
    <w:rsid w:val="007263D4"/>
    <w:rsid w:val="007B57D8"/>
    <w:rsid w:val="007C5D46"/>
    <w:rsid w:val="00973C6E"/>
    <w:rsid w:val="009D40E0"/>
    <w:rsid w:val="00A11C7A"/>
    <w:rsid w:val="00A17D27"/>
    <w:rsid w:val="00A876A9"/>
    <w:rsid w:val="00B61695"/>
    <w:rsid w:val="00B7739F"/>
    <w:rsid w:val="00BD1ED9"/>
    <w:rsid w:val="00C81644"/>
    <w:rsid w:val="00DA4006"/>
    <w:rsid w:val="00DA54B7"/>
    <w:rsid w:val="00DD324E"/>
    <w:rsid w:val="00E40C50"/>
    <w:rsid w:val="00E8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F584F"/>
  <w15:docId w15:val="{649EAE54-6A8D-4E69-8FA6-C718F24D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C7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C7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11C7A"/>
    <w:pPr>
      <w:ind w:leftChars="200" w:left="480"/>
    </w:pPr>
    <w:rPr>
      <w:rFonts w:ascii="Calibri" w:eastAsia="新細明體" w:hAnsi="Calibri" w:cs="Calibri"/>
      <w:szCs w:val="24"/>
    </w:rPr>
  </w:style>
  <w:style w:type="character" w:customStyle="1" w:styleId="a5">
    <w:name w:val="清單段落 字元"/>
    <w:link w:val="a4"/>
    <w:uiPriority w:val="34"/>
    <w:rsid w:val="00A11C7A"/>
    <w:rPr>
      <w:rFonts w:ascii="Calibri" w:eastAsia="新細明體" w:hAnsi="Calibri" w:cs="Calibri"/>
      <w:szCs w:val="24"/>
    </w:rPr>
  </w:style>
  <w:style w:type="paragraph" w:styleId="a6">
    <w:name w:val="header"/>
    <w:basedOn w:val="a"/>
    <w:link w:val="a7"/>
    <w:uiPriority w:val="99"/>
    <w:unhideWhenUsed/>
    <w:rsid w:val="00DD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D324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D32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D324E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A5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A54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</dc:creator>
  <cp:lastModifiedBy>Administrator</cp:lastModifiedBy>
  <cp:revision>5</cp:revision>
  <cp:lastPrinted>2018-08-30T07:23:00Z</cp:lastPrinted>
  <dcterms:created xsi:type="dcterms:W3CDTF">2014-02-26T02:50:00Z</dcterms:created>
  <dcterms:modified xsi:type="dcterms:W3CDTF">2018-08-30T07:25:00Z</dcterms:modified>
</cp:coreProperties>
</file>