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ВОШУМІРСЬКИЙ  Іларіон Володимирович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