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УМЕНЮК Наталія Леоніді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