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270.000000000002" w:type="dxa"/>
        <w:jc w:val="left"/>
        <w:tblInd w:w="-58.0" w:type="dxa"/>
        <w:tblLayout w:type="fixed"/>
        <w:tblLook w:val="0400"/>
      </w:tblPr>
      <w:tblGrid>
        <w:gridCol w:w="2902"/>
        <w:gridCol w:w="1409"/>
        <w:gridCol w:w="1409"/>
        <w:gridCol w:w="1569"/>
        <w:gridCol w:w="936"/>
        <w:gridCol w:w="1409"/>
        <w:gridCol w:w="1409"/>
        <w:gridCol w:w="1409"/>
        <w:gridCol w:w="1409"/>
        <w:gridCol w:w="1409"/>
        <w:tblGridChange w:id="0">
          <w:tblGrid>
            <w:gridCol w:w="2902"/>
            <w:gridCol w:w="1409"/>
            <w:gridCol w:w="1409"/>
            <w:gridCol w:w="1569"/>
            <w:gridCol w:w="936"/>
            <w:gridCol w:w="1409"/>
            <w:gridCol w:w="1409"/>
            <w:gridCol w:w="1409"/>
            <w:gridCol w:w="1409"/>
            <w:gridCol w:w="1409"/>
          </w:tblGrid>
        </w:tblGridChange>
      </w:tblGrid>
      <w:tr>
        <w:trPr>
          <w:cantSplit w:val="0"/>
          <w:trHeight w:val="1553" w:hRule="atLeast"/>
          <w:tblHeader w:val="0"/>
        </w:trPr>
        <w:tc>
          <w:tcPr>
            <w:gridSpan w:val="4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leader="none" w:pos="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Міністерство освіти і науки України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Кам’янець-Подільський національний університет 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імені Івана Огієнка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gridSpan w:val="4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978" w:hRule="atLeast"/>
          <w:tblHeader w:val="0"/>
        </w:trPr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СВІДОЦТВО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про підвищення кваліфікації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801" w:hRule="atLeast"/>
          <w:tblHeader w:val="0"/>
        </w:trPr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1209" w:hRule="atLeast"/>
          <w:tblHeader w:val="0"/>
        </w:trPr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5698.0" w:type="dxa"/>
        <w:jc w:val="left"/>
        <w:tblInd w:w="-58.0" w:type="dxa"/>
        <w:tblLayout w:type="fixed"/>
        <w:tblLook w:val="0400"/>
      </w:tblPr>
      <w:tblGrid>
        <w:gridCol w:w="1454"/>
        <w:gridCol w:w="4230"/>
        <w:gridCol w:w="1602"/>
        <w:gridCol w:w="690"/>
        <w:gridCol w:w="1710"/>
        <w:gridCol w:w="1197"/>
        <w:gridCol w:w="1647"/>
        <w:gridCol w:w="1440"/>
        <w:gridCol w:w="1728"/>
        <w:tblGridChange w:id="0">
          <w:tblGrid>
            <w:gridCol w:w="1454"/>
            <w:gridCol w:w="4230"/>
            <w:gridCol w:w="1602"/>
            <w:gridCol w:w="690"/>
            <w:gridCol w:w="1710"/>
            <w:gridCol w:w="1197"/>
            <w:gridCol w:w="1647"/>
            <w:gridCol w:w="1440"/>
            <w:gridCol w:w="1728"/>
          </w:tblGrid>
        </w:tblGridChange>
      </w:tblGrid>
      <w:tr>
        <w:trPr>
          <w:cantSplit w:val="0"/>
          <w:trHeight w:val="606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430276</wp:posOffset>
                      </wp:positionH>
                      <wp:positionV relativeFrom="paragraph">
                        <wp:posOffset>265176</wp:posOffset>
                      </wp:positionV>
                      <wp:extent cx="9977755" cy="71120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1885" y="228763"/>
                                <a:ext cx="9968230" cy="710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36576" distT="36576" distL="36576" distR="36576" hidden="0" layoutInCell="1" locked="0" relativeHeight="0" simplePos="0">
                      <wp:simplePos x="0" y="0"/>
                      <wp:positionH relativeFrom="column">
                        <wp:posOffset>430276</wp:posOffset>
                      </wp:positionH>
                      <wp:positionV relativeFrom="paragraph">
                        <wp:posOffset>265176</wp:posOffset>
                      </wp:positionV>
                      <wp:extent cx="9977755" cy="71120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977755" cy="7112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1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-31680"/>
              </w:tabs>
              <w:spacing w:line="21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-31680"/>
                <w:tab w:val="left" w:leader="none" w:pos="0"/>
                <w:tab w:val="left" w:leader="none" w:pos="180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СВІДОЦТВО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-31680"/>
                <w:tab w:val="left" w:leader="none" w:pos="0"/>
                <w:tab w:val="left" w:leader="none" w:pos="180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 підвищення кваліфікації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9">
            <w:pPr>
              <w:tabs>
                <w:tab w:val="left" w:leader="none" w:pos="-31680"/>
                <w:tab w:val="left" w:leader="none" w:pos="0"/>
                <w:tab w:val="left" w:leader="none" w:pos="180"/>
                <w:tab w:val="left" w:leader="none" w:pos="1483"/>
              </w:tabs>
              <w:spacing w:line="21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КП 02125616 / 226-21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Прізвище, ім`я та по батькові слухача курсів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Терміни навчання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ВОШУМІРСЬКИЙ  Іларіон Володимирович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01.10.2021 – 31.10.2021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Напрям програми підвищення кваліфікації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8. Інформація про атестацію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16" w:lineRule="auto"/>
              <w:ind w:right="4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Психологічна підтримка дітей з особливими освітніми потребами в умовах воєнного стану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16" w:lineRule="auto"/>
              <w:ind w:right="16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 підсумкового тестування – Result: 85 points балів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Найменування програми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 Засвідчення документа про підвищення кваліфікації</w:t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16" w:lineRule="auto"/>
              <w:ind w:right="23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Психологічна підтримка дітей з особливими освітніми потребами в умовах воєнного стану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9.1. Посада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1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керівника закладу вищої освіти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9.2. Підпис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керівника закладу вищої освіти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9.3 Ім’я та прізвище керівника закладу вищої освіти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9">
            <w:pPr>
              <w:spacing w:line="216" w:lineRule="auto"/>
              <w:jc w:val="both"/>
              <w:rPr>
                <w:b w:val="1"/>
                <w:sz w:val="24"/>
                <w:szCs w:val="24"/>
              </w:rPr>
            </w:pPr>
            <w:bookmarkStart w:colFirst="0" w:colLast="0" w:name="_4t4f3s50k7dx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Найменування навчального закладу, який надавав освітню послугу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16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Кам`янець-Подільський національний університет імені Івана Огієнка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В.о. ректора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Володимир ДУБІНСЬКИЙ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Офіційна тривалість програми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1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місяць, 30 годин / 1 кредит ECTS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9.4. Печатка закладу вищої освіти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1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16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9.5. Дата (день/місяць/рік) 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Результати навчання за програмою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01.11.2021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gridSpan w:val="3"/>
            <w:vMerge w:val="restart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-31680"/>
              </w:tabs>
              <w:spacing w:line="216" w:lineRule="auto"/>
              <w:ind w:left="3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4"/>
                <w:szCs w:val="24"/>
                <w:rtl w:val="0"/>
              </w:rPr>
              <w:t xml:space="preserve"> Здійснює результативну підготовку учнів до самостійного
аналізу складних понять і термінів, самостійної пошукової
діяльності та роботи з довідниковими матеріалами, володіє
інноваційними методиками моделювання змісту відповідно
до обов’язкових результатів навчання учнів;
 Демонструє власний педагогічний досвід щодо розвитку в
учнів ключових компетентностей та умінь, спільних для
всіх компетентностей, інноваційних підходів їх
застосування у нових умовах.
 Добирає доцільні сучасні методики і технології навчання,
виховання і розвитку учнів засобами освітньої
галузі/навчального предмету відповідно до визначених
теми, мети і завдань заняття.
 Застосовує методики і технології розуміння учнями себе,
своїх цінностей і потреб, усвідомлення маніпуляцій і
реагування на них.
4
 У процесі навчання, вихованні і розвитку учнів формує у
них ціннісні ставлення до суспільства і держави, сім’ї та
родини, природи, мистецтва і культури, праці, до себе (до
свого фізичного, психічного, соціального «Я»), інших осіб.
 Застосовує індивідуальні підходи до формування та
розвитку ціннісних ставлень в учнів.
 Уміє використовувати цифрові пристрої, їх програмне
забезпечення, цифрові сервіси та технології для організації
освітнього процесу, професійного спілкування; опрацьовує
основні типи даних; використовує цифрові сервіси та
технології для професійного розвитку; уміє захистити
власні персональні дані в мережі Інтернет, уникає небезпек
в інформаційному просторі, вміє перевіряти надійність
джерел і достовірність інформації в мережі Інтернет,
розпізнає використання маніпуляцій них технологій в
мережі Інтернет, дотримується академічної доброчесності,
вимог з охорони авторських прав під час використання та
поширення електронних (цифрових) освітніх ресурсів.
 Добирає, накопичує, впорядковує та використовує
електронні (цифрові) освітні ресурси в освітньому процесі
та професійному розвитку.
 Періодично використовує електроні (цифрові) навчальні,
дидактичні матеріали, створені особисто; аналізує
ефективність цифрових інструментів оцінювання та обирає
доцільні для використання.
 Застосовує стратегії роботи, які сприяють розвитку
пізнавальної діяльності учнів.
 Демонструє дотримання демократичних цінностей у
професійній діяльності, заохочуючи кожного учня виражати
свою думку та брати участь у прийнятті рішень.
 Використовує активні форми та методи навчання, під час
яких учні спрямовують увагу на власні внутрішні
переживання, поглиблене особисте розуміння та засвоєння
навичок; демонструє власну відкритість до можливих
помилок і заохочує до цього учнів.
 Спілкується, ураховуючи культурні та особистісні
відмінності усіх учасників освітнього процесу, виявляючи
розуміння та співпереживання; використовує методики, що
формують в учнів усвідомлення важливості мирного
співіснування людей, взаємозв’язку та взаємовпливу
особистостей, локальних і глобальних систем.
 Застосовує в педагогічній діяльності навички координації та
стимулювання навчально-пізнавальної діяльності учнів,
підтримування їх прагнення до саморозвитку, розкриття
їхніх здібностей і пізнавальних можливостей.
 Виявляє потреби, здібності, інтереси, навчальні можливості
учнів та організовує з їх урахуванням процес навчання,
виховання і розвитку.
 Застосовує під час організації освітнього середовища
правила безпеки життєдіяльності, санітарні правила та
норми, протиепідемічні правила, засади раціональної
5
організації праці та відпочинку.
 Добирає та застосовує в освітньому середовищі
здоров’язбережувальні засоби та ресурси.
 Організовує динамічне освітнє середовище, сприятливе для
кожного учня, у відповідності до різних видів активності на
навчальних заняттях.
 Прогнозує різні варіанти розвитку навчального заняття та
передбачає використання доцільних інноваційних методик і
технологій відповідно до навчальних ситуацій.
 Аналізує помилки та труднощі учнів у навчанні з метою
подальшого планування та коригування освітнього процесу,
планує види діяльності на навчальному занятті, які
сприяють розвитку життєвих навичок учнів, ураховуючи
різні способи сприймання ними навчального матеріалу.
 Розвиває в учнів здатність розуміти свою роль активного
учасника освітнього процесу; створює сприятливі умови
навчання, виховання та розвитку осіб з особливими
освітніми потребами; умови для співпраці та
самоорганізації учнів у навчальній діяльності.
 Організовує навчальні заняття різних типів; застосовує різні
види і форми навчально-пізнавальної діяльності учнів
відповідно до їх дидактичних цілей і поставлених завдань, з
урахуванням вікових та інших індивідуальних особливостей
учнів; здійснює пошук нових, сучасних форм навчальної та
пізнавальної діяльності учнів і використовує їх у
педагогічній діяльності.
 Добирає та застосовує методи наукового пізнання
відповідно до пізнавальних інтересів і потреб учнів, володіє
методами проєктування та моделювання.
 Диференційовано та індивідуалізовано застосовує
інноваційні форми, методи, прийоми, засоби навчання,
визначає ефективність їх застосування в освітньому процесі
для задоволення індивідуальних потреб та інтересів учнів.
 Аналізує різноманітні підходи до розв’язання проблем,
визначає їхні переваги та ризики, застосовує різні джерела
для пошуку додаткової інформації, що є важливою для
розв’язання проблем і запобігання їм.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5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1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1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16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gridSpan w:val="3"/>
            <w:vMerge w:val="continue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Реєстраційний номер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226/21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Mar>
              <w:top w:w="58.0" w:type="dxa"/>
              <w:left w:w="58.0" w:type="dxa"/>
              <w:bottom w:w="58.0" w:type="dxa"/>
              <w:right w:w="58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16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7" w:top="567" w:left="567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