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270.000000000002" w:type="dxa"/>
        <w:jc w:val="left"/>
        <w:tblInd w:w="-58.0" w:type="dxa"/>
        <w:tblLayout w:type="fixed"/>
        <w:tblLook w:val="0400"/>
      </w:tblPr>
      <w:tblGrid>
        <w:gridCol w:w="2902"/>
        <w:gridCol w:w="1409"/>
        <w:gridCol w:w="1409"/>
        <w:gridCol w:w="1569"/>
        <w:gridCol w:w="936"/>
        <w:gridCol w:w="1409"/>
        <w:gridCol w:w="1409"/>
        <w:gridCol w:w="1409"/>
        <w:gridCol w:w="1409"/>
        <w:gridCol w:w="1409"/>
        <w:tblGridChange w:id="0">
          <w:tblGrid>
            <w:gridCol w:w="2902"/>
            <w:gridCol w:w="1409"/>
            <w:gridCol w:w="1409"/>
            <w:gridCol w:w="1569"/>
            <w:gridCol w:w="936"/>
            <w:gridCol w:w="1409"/>
            <w:gridCol w:w="1409"/>
            <w:gridCol w:w="1409"/>
            <w:gridCol w:w="1409"/>
            <w:gridCol w:w="1409"/>
          </w:tblGrid>
        </w:tblGridChange>
      </w:tblGrid>
      <w:tr>
        <w:trPr>
          <w:cantSplit w:val="0"/>
          <w:trHeight w:val="1553" w:hRule="atLeast"/>
          <w:tblHeader w:val="0"/>
        </w:trPr>
        <w:tc>
          <w:tcPr>
            <w:gridSpan w:val="4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tabs>
                <w:tab w:val="left" w:leader="none" w:pos="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Міністерство освіти і науки України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Кам’янець-Подільський національний університет 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імені Івана Огієнка</w:t>
            </w:r>
          </w:p>
        </w:tc>
      </w:tr>
      <w:tr>
        <w:trPr>
          <w:cantSplit w:val="0"/>
          <w:trHeight w:val="1277" w:hRule="atLeast"/>
          <w:tblHeader w:val="0"/>
        </w:trPr>
        <w:tc>
          <w:tcPr>
            <w:gridSpan w:val="4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978" w:hRule="atLeast"/>
          <w:tblHeader w:val="0"/>
        </w:trPr>
        <w:tc>
          <w:tcPr>
            <w:gridSpan w:val="2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gridSpan w:val="2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СВІДОЦТВО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1277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про підвищення кваліфікації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801" w:hRule="atLeast"/>
          <w:tblHeader w:val="0"/>
        </w:trPr>
        <w:tc>
          <w:tcPr>
            <w:gridSpan w:val="2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1209" w:hRule="atLeast"/>
          <w:tblHeader w:val="0"/>
        </w:trPr>
        <w:tc>
          <w:tcPr>
            <w:gridSpan w:val="2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5698.0" w:type="dxa"/>
        <w:jc w:val="left"/>
        <w:tblInd w:w="-58.0" w:type="dxa"/>
        <w:tblLayout w:type="fixed"/>
        <w:tblLook w:val="0400"/>
      </w:tblPr>
      <w:tblGrid>
        <w:gridCol w:w="1454"/>
        <w:gridCol w:w="4230"/>
        <w:gridCol w:w="1602"/>
        <w:gridCol w:w="690"/>
        <w:gridCol w:w="1710"/>
        <w:gridCol w:w="1197"/>
        <w:gridCol w:w="1647"/>
        <w:gridCol w:w="1440"/>
        <w:gridCol w:w="1728"/>
        <w:tblGridChange w:id="0">
          <w:tblGrid>
            <w:gridCol w:w="1454"/>
            <w:gridCol w:w="4230"/>
            <w:gridCol w:w="1602"/>
            <w:gridCol w:w="690"/>
            <w:gridCol w:w="1710"/>
            <w:gridCol w:w="1197"/>
            <w:gridCol w:w="1647"/>
            <w:gridCol w:w="1440"/>
            <w:gridCol w:w="1728"/>
          </w:tblGrid>
        </w:tblGridChange>
      </w:tblGrid>
      <w:tr>
        <w:trPr>
          <w:cantSplit w:val="0"/>
          <w:trHeight w:val="606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36576" distT="36576" distL="36576" distR="36576" hidden="0" layoutInCell="1" locked="0" relativeHeight="0" simplePos="0">
                      <wp:simplePos x="0" y="0"/>
                      <wp:positionH relativeFrom="column">
                        <wp:posOffset>430276</wp:posOffset>
                      </wp:positionH>
                      <wp:positionV relativeFrom="paragraph">
                        <wp:posOffset>265176</wp:posOffset>
                      </wp:positionV>
                      <wp:extent cx="9977755" cy="71120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61885" y="228763"/>
                                <a:ext cx="9968230" cy="7102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36576" distT="36576" distL="36576" distR="36576" hidden="0" layoutInCell="1" locked="0" relativeHeight="0" simplePos="0">
                      <wp:simplePos x="0" y="0"/>
                      <wp:positionH relativeFrom="column">
                        <wp:posOffset>430276</wp:posOffset>
                      </wp:positionH>
                      <wp:positionV relativeFrom="paragraph">
                        <wp:posOffset>265176</wp:posOffset>
                      </wp:positionV>
                      <wp:extent cx="9977755" cy="71120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977755" cy="7112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1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tabs>
                <w:tab w:val="left" w:leader="none" w:pos="-31680"/>
              </w:tabs>
              <w:spacing w:line="216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F">
            <w:pPr>
              <w:tabs>
                <w:tab w:val="left" w:leader="none" w:pos="-31680"/>
                <w:tab w:val="left" w:leader="none" w:pos="0"/>
                <w:tab w:val="left" w:leader="none" w:pos="180"/>
              </w:tabs>
              <w:spacing w:line="21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СВІДОЦТВО</w:t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-31680"/>
                <w:tab w:val="left" w:leader="none" w:pos="0"/>
                <w:tab w:val="left" w:leader="none" w:pos="180"/>
              </w:tabs>
              <w:spacing w:line="21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про підвищення кваліфікації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9">
            <w:pPr>
              <w:tabs>
                <w:tab w:val="left" w:leader="none" w:pos="-31680"/>
                <w:tab w:val="left" w:leader="none" w:pos="0"/>
                <w:tab w:val="left" w:leader="none" w:pos="180"/>
                <w:tab w:val="left" w:leader="none" w:pos="1483"/>
              </w:tabs>
              <w:spacing w:line="21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КП 02125616 / 226-21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Прізвище, ім`я та по батькові слухача курсів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7. Терміни навчання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1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ДОКАН Оксана Віталіївна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1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01.10.2021 – 31.10.2021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Напрям програми підвищення кваліфікації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8. Інформація про атестацію</w:t>
            </w:r>
          </w:p>
        </w:tc>
      </w:tr>
      <w:tr>
        <w:trPr>
          <w:cantSplit w:val="0"/>
          <w:trHeight w:val="629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16" w:lineRule="auto"/>
              <w:ind w:right="4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Психологічна підтримка дітей з особливими освітніми потребами в умовах воєнного стану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16" w:lineRule="auto"/>
              <w:ind w:right="1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Результат підсумкового тестування – Result: 85 points балів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Найменування програми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9. Засвідчення документа про підвищення кваліфікації</w:t>
            </w:r>
          </w:p>
        </w:tc>
      </w:tr>
      <w:tr>
        <w:trPr>
          <w:cantSplit w:val="0"/>
          <w:trHeight w:val="759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16" w:lineRule="auto"/>
              <w:ind w:right="23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Психологічна підтримка дітей з особливими освітніми потребами в умовах воєнного стану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1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9.1. Посада 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1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керівника закладу вищої освіти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1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9.2. Підпис 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керівника закладу вищої освіти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9.3 Ім’я та прізвище керівника закладу вищої освіти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9">
            <w:pPr>
              <w:spacing w:line="216" w:lineRule="auto"/>
              <w:jc w:val="both"/>
              <w:rPr>
                <w:b w:val="1"/>
                <w:sz w:val="24"/>
                <w:szCs w:val="24"/>
              </w:rPr>
            </w:pPr>
            <w:bookmarkStart w:colFirst="0" w:colLast="0" w:name="_4t4f3s50k7dx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Найменування навчального закладу, який надавав освітню послугу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16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Кам`янець-Подільський національний університет імені Івана Огієнка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16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В.о. ректора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Володимир ДУБІНСЬКИЙ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Офіційна тривалість програми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514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1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місяць, 30 годин / 1 кредит ECTS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9.4. Печатка закладу вищої освіти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1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1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16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9.5. Дата (день/місяць/рік) </w:t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 Результати навчання за програмою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01.11.2021</w:t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gridSpan w:val="3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tabs>
                <w:tab w:val="left" w:leader="none" w:pos="-31680"/>
              </w:tabs>
              <w:spacing w:line="216" w:lineRule="auto"/>
              <w:ind w:left="3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 Здійснює результативну підготовку учнів до самостійного
аналізу складних понять і термінів, самостійної пошукової
діяльності та роботи з довідниковими матеріалами, володіє
інноваційними методиками моделювання змісту відповідно
до обов’язкових результатів навчання учнів;
 Демонструє власний педагогічний досвід щодо розвитку в
учнів ключових компетентностей та умінь, спільних для
всіх компетентностей, інноваційних підходів їх
застосування у нових умовах.
 Добирає доцільні сучасні методики і технології навчання,
виховання і розвитку учнів засобами освітньої
галузі/навчального предмету відповідно до визначених
теми, мети і завдань заняття.
 Застосовує методики і технології розуміння учнями себе,
своїх цінностей і потреб, усвідомлення маніпуляцій і
реагування на них.
4
 У процесі навчання, вихованні і розвитку учнів формує у
них ціннісні ставлення до суспільства і держави, сім’ї та
родини, природи, мистецтва і культури, праці, до себе (до
свого фізичного, психічного, соціального «Я»), інших осіб.
 Застосовує індивідуальні підходи до формування та
розвитку ціннісних ставлень в учнів.
 Уміє використовувати цифрові пристрої, їх програмне
забезпечення, цифрові сервіси та технології для організації
освітнього процесу, професійного спілкування; опрацьовує
основні типи даних; використовує цифрові сервіси та
технології для професійного розвитку; уміє захистити
власні персональні дані в мережі Інтернет, уникає небезпек
в інформаційному просторі, вміє перевіряти надійність
джерел і достовірність інформації в мережі Інтернет,
розпізнає використання маніпуляцій них технологій в
мережі Інтернет, дотримується академічної доброчесності,
вимог з охорони авторських прав під час використання та
поширення електронних (цифрових) освітніх ресурсів.
 Добирає, накопичує, впорядковує та використовує
електронні (цифрові) освітні ресурси в освітньому процесі
та професійному розвитку.
 Періодично використовує електроні (цифрові) навчальні,
дидактичні матеріали, створені особисто; аналізує
ефективність цифрових інструментів оцінювання та обирає
доцільні для використання.
 Застосовує стратегії роботи, які сприяють розвитку
пізнавальної діяльності учнів.
 Демонструє дотримання демократичних цінностей у
професійній діяльності, заохочуючи кожного учня виражати
свою думку та брати участь у прийнятті рішень.
 Використовує активні форми та методи навчання, під час
яких учні спрямовують увагу на власні внутрішні
переживання, поглиблене особисте розуміння та засвоєння
навичок; демонструє власну відкритість до можливих
помилок і заохочує до цього учнів.
 Спілкується, ураховуючи культурні та особистісні
відмінності усіх учасників освітнього процесу, виявляючи
розуміння та співпереживання; використовує методики, що
формують в учнів усвідомлення важливості мирного
співіснування людей, взаємозв’язку та взаємовпливу
особистостей, локальних і глобальних систем.
 Застосовує в педагогічній діяльності навички координації та
стимулювання навчально-пізнавальної діяльності учнів,
підтримування їх прагнення до саморозвитку, розкриття
їхніх здібностей і пізнавальних можливостей.
 Виявляє потреби, здібності, інтереси, навчальні можливості
учнів та організовує з їх урахуванням процес навчання,
виховання і розвитку.
 Застосовує під час організації освітнього середовища
правила безпеки життєдіяльності, санітарні правила та
норми, протиепідемічні правила, засади раціональної
5
організації праці та відпочинку.
 Добирає та застосовує в освітньому середовищі
здоров’язбережувальні засоби та ресурси.
 Організовує динамічне освітнє середовище, сприятливе для
кожного учня, у відповідності до різних видів активності на
навчальних заняттях.
 Прогнозує різні варіанти розвитку навчального заняття та
передбачає використання доцільних інноваційних методик і
технологій відповідно до навчальних ситуацій.
 Аналізує помилки та труднощі учнів у навчанні з метою
подальшого планування та коригування освітнього процесу,
планує види діяльності на навчальному занятті, які
сприяють розвитку життєвих навичок учнів, ураховуючи
різні способи сприймання ними навчального матеріалу.
 Розвиває в учнів здатність розуміти свою роль активного
учасника освітнього процесу; створює сприятливі умови
навчання, виховання та розвитку осіб з особливими
освітніми потребами; умови для співпраці та
самоорганізації учнів у навчальній діяльності.
 Організовує навчальні заняття різних типів; застосовує різні
види і форми навчально-пізнавальної діяльності учнів
відповідно до їх дидактичних цілей і поставлених завдань, з
урахуванням вікових та інших індивідуальних особливостей
учнів; здійснює пошук нових, сучасних форм навчальної та
пізнавальної діяльності учнів і використовує їх у
педагогічній діяльності.
 Добирає та застосовує методи наукового пізнання
відповідно до пізнавальних інтересів і потреб учнів, володіє
методами проєктування та моделювання.
 Диференційовано та індивідуалізовано застосовує
інноваційні форми, методи, прийоми, засоби навчання,
визначає ефективність їх застосування в освітньому процесі
для задоволення індивідуальних потреб та інтересів учнів.
 Аналізує різноманітні підходи до розв’язання проблем,
визначає їхні переваги та ризики, застосовує різні джерела
для пошуку додаткової інформації, що є важливою для
розв’язання проблем і запобігання їм.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16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cantSplit w:val="0"/>
          <w:trHeight w:val="496" w:hRule="atLeast"/>
          <w:tblHeader w:val="0"/>
        </w:trPr>
        <w:tc>
          <w:tcPr>
            <w:gridSpan w:val="3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16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 </w:t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gridSpan w:val="3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16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 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gridSpan w:val="3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Реєстраційний номер </w:t>
            </w: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226/21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567" w:top="567" w:left="567" w:right="56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