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b w:val="1"/>
          <w:bCs w:val="1"/>
        </w:rPr>
      </w:pPr>
      <w:r w:rsidDel="00000000" w:rsidR="00000000" w:rsidRPr="00000000">
        <w:rPr>
          <w:b w:val="1"/>
          <w:bCs w:val="1"/>
          <w:rtl w:val="0"/>
        </w:rPr>
        <w:t xml:space="preserve">Real-World Impact of Predictive and Logic Systems</w:t>
      </w:r>
    </w:p>
    <w:p w:rsidR="00000000" w:rsidDel="00000000" w:rsidP="00000000" w:rsidRDefault="00000000" w:rsidRPr="00000000" w14:paraId="00000002">
      <w:pPr>
        <w:spacing w:after="240" w:before="240" w:line="480" w:lineRule="auto"/>
        <w:ind w:firstLine="720"/>
        <w:rPr/>
      </w:pPr>
      <w:r w:rsidDel="00000000" w:rsidR="00000000" w:rsidRPr="00000000">
        <w:rPr>
          <w:rtl w:val="0"/>
        </w:rPr>
        <w:t xml:space="preserve">This project (P1) involved the creation of a predictive model using Simple Linear Regression (SLR) and three logic-based Python applications (Skillsets 7, 8, and 9). These programs all represent the building blocks of both modern Artificial Intelligence and software security. </w:t>
      </w:r>
    </w:p>
    <w:p w:rsidR="00000000" w:rsidDel="00000000" w:rsidP="00000000" w:rsidRDefault="00000000" w:rsidRPr="00000000" w14:paraId="00000003">
      <w:pPr>
        <w:spacing w:after="240" w:before="240" w:line="480" w:lineRule="auto"/>
        <w:ind w:firstLine="720"/>
        <w:rPr/>
      </w:pPr>
      <w:r w:rsidDel="00000000" w:rsidR="00000000" w:rsidRPr="00000000">
        <w:rPr>
          <w:rtl w:val="0"/>
        </w:rPr>
        <w:t xml:space="preserve">Simple Linear Regression is an imperative tool for trend forecasting. In real-world environments, this is used to predict resource needs in computing, weather, and finances, just to name a few industries. Although SLR provides a "transparent" model where humans can see exactly how the input affects the output, its challenge is that it assumes a straight-line relationship. In complex tech environments, data is rarely completely linear, which can lead to inaccuracies if not closely monitored (Gong, 2021). </w:t>
      </w:r>
    </w:p>
    <w:p w:rsidR="00000000" w:rsidDel="00000000" w:rsidP="00000000" w:rsidRDefault="00000000" w:rsidRPr="00000000" w14:paraId="00000004">
      <w:pPr>
        <w:spacing w:after="240" w:before="240" w:line="480" w:lineRule="auto"/>
        <w:ind w:firstLine="720"/>
        <w:rPr/>
      </w:pPr>
      <w:r w:rsidDel="00000000" w:rsidR="00000000" w:rsidRPr="00000000">
        <w:rPr>
          <w:rtl w:val="0"/>
        </w:rPr>
        <w:t xml:space="preserve">The Pseudo-Random Number and Guessing Game programs focus upon algorithmic randomness. Efficient randomness is essential for data encryption and simulations. On the other hand, as noted in cybersecurity research, "pseudo" randomness is deterministic. If the starting point (seed) is discovered, the security of the system can become compromised (Blue Goat Cyber, n.d.). </w:t>
      </w:r>
    </w:p>
    <w:p w:rsidR="00000000" w:rsidDel="00000000" w:rsidP="00000000" w:rsidRDefault="00000000" w:rsidRPr="00000000" w14:paraId="00000005">
      <w:pPr>
        <w:spacing w:after="240" w:before="240" w:line="480" w:lineRule="auto"/>
        <w:ind w:firstLine="720"/>
        <w:rPr/>
      </w:pPr>
      <w:r w:rsidDel="00000000" w:rsidR="00000000" w:rsidRPr="00000000">
        <w:rPr>
          <w:rtl w:val="0"/>
        </w:rPr>
        <w:t xml:space="preserve">The Interest Calculator emphasizes data integrity. Robust validation prevents "Garbage In, Garbage Out," ensuring that AI systems don't process faulty data that could lead to financial loss. Balancing strict validation with user experience is a constant battle within professional software development (Buljan, 2026).</w:t>
      </w:r>
    </w:p>
    <w:p w:rsidR="00000000" w:rsidDel="00000000" w:rsidP="00000000" w:rsidRDefault="00000000" w:rsidRPr="00000000" w14:paraId="00000006">
      <w:pPr>
        <w:spacing w:after="240" w:before="240" w:line="480" w:lineRule="auto"/>
        <w:ind w:firstLine="720"/>
        <w:rPr/>
      </w:pPr>
      <w:r w:rsidDel="00000000" w:rsidR="00000000" w:rsidRPr="00000000">
        <w:rPr>
          <w:rtl w:val="0"/>
        </w:rPr>
        <w:t xml:space="preserve">By connecting these classroom projects to real-world research, it becomes clear that even a simple "Guessing Game" or a 5-point SLR model uses the same core logic necessary to build secure, scalable, and predictive technologies utilized all across the globe. </w:t>
      </w:r>
    </w:p>
    <w:p w:rsidR="00000000" w:rsidDel="00000000" w:rsidP="00000000" w:rsidRDefault="00000000" w:rsidRPr="00000000" w14:paraId="00000007">
      <w:pPr>
        <w:spacing w:after="240" w:before="240" w:line="240" w:lineRule="auto"/>
        <w:rPr/>
      </w:pPr>
      <w:r w:rsidDel="00000000" w:rsidR="00000000" w:rsidRPr="00000000">
        <w:rPr>
          <w:rtl w:val="0"/>
        </w:rPr>
      </w:r>
    </w:p>
    <w:p w:rsidR="00000000" w:rsidDel="00000000" w:rsidP="00000000" w:rsidRDefault="00000000" w:rsidRPr="00000000" w14:paraId="00000008">
      <w:pPr>
        <w:spacing w:before="24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0A">
      <w:pPr>
        <w:ind w:left="720"/>
        <w:rPr/>
      </w:pPr>
      <w:r w:rsidDel="00000000" w:rsidR="00000000" w:rsidRPr="00000000">
        <w:rPr>
          <w:rtl w:val="0"/>
        </w:rPr>
        <w:t xml:space="preserve">Buljan, M. (2026, January 23). </w:t>
      </w:r>
      <w:r w:rsidDel="00000000" w:rsidR="00000000" w:rsidRPr="00000000">
        <w:rPr>
          <w:i w:val="1"/>
          <w:iCs w:val="1"/>
          <w:rtl w:val="0"/>
        </w:rPr>
        <w:t xml:space="preserve">Gamification For Learning: Strategies And Examples</w:t>
      </w:r>
      <w:r w:rsidDel="00000000" w:rsidR="00000000" w:rsidRPr="00000000">
        <w:rPr>
          <w:rtl w:val="0"/>
        </w:rPr>
        <w:t xml:space="preserve">. eLearning Industry. Retrieved March 5, 2026, from </w:t>
      </w:r>
      <w:hyperlink r:id="rId7">
        <w:r w:rsidDel="00000000" w:rsidR="00000000" w:rsidRPr="00000000">
          <w:rPr>
            <w:color w:val="1155cc"/>
            <w:u w:val="single"/>
            <w:rtl w:val="0"/>
          </w:rPr>
          <w:t xml:space="preserve">https://elearningindustry.com/gamification-for-learning-strategies-and-examples</w:t>
        </w:r>
      </w:hyperlink>
      <w:r w:rsidDel="00000000" w:rsidR="00000000" w:rsidRPr="00000000">
        <w:rPr>
          <w:rtl w:val="0"/>
        </w:rPr>
        <w:t xml:space="preserve"> </w:t>
      </w:r>
    </w:p>
    <w:p w:rsidR="00000000" w:rsidDel="00000000" w:rsidP="00000000" w:rsidRDefault="00000000" w:rsidRPr="00000000" w14:paraId="0000000B">
      <w:pPr>
        <w:ind w:left="720"/>
        <w:rPr/>
      </w:pPr>
      <w:r w:rsidDel="00000000" w:rsidR="00000000" w:rsidRPr="00000000">
        <w:rPr>
          <w:i w:val="1"/>
          <w:iCs w:val="1"/>
          <w:rtl w:val="0"/>
        </w:rPr>
        <w:t xml:space="preserve">Exploring True Randomness in Cryptography and Security</w:t>
      </w:r>
      <w:r w:rsidDel="00000000" w:rsidR="00000000" w:rsidRPr="00000000">
        <w:rPr>
          <w:rtl w:val="0"/>
        </w:rPr>
        <w:t xml:space="preserve">. (n.d.). Blue Goat Cyber. Retrieved March 5, 2026, from </w:t>
      </w:r>
      <w:hyperlink r:id="rId8">
        <w:r w:rsidDel="00000000" w:rsidR="00000000" w:rsidRPr="00000000">
          <w:rPr>
            <w:color w:val="1155cc"/>
            <w:u w:val="single"/>
            <w:rtl w:val="0"/>
          </w:rPr>
          <w:t xml:space="preserve">https://bluegoatcyber.com/blog/exploring-true-randomness-in-cryptography-and-security/</w:t>
        </w:r>
      </w:hyperlink>
      <w:r w:rsidDel="00000000" w:rsidR="00000000" w:rsidRPr="00000000">
        <w:rPr>
          <w:rtl w:val="0"/>
        </w:rPr>
        <w:t xml:space="preserve"> </w:t>
      </w:r>
    </w:p>
    <w:p w:rsidR="00000000" w:rsidDel="00000000" w:rsidP="00000000" w:rsidRDefault="00000000" w:rsidRPr="00000000" w14:paraId="0000000C">
      <w:pPr>
        <w:ind w:left="720"/>
        <w:rPr/>
      </w:pPr>
      <w:r w:rsidDel="00000000" w:rsidR="00000000" w:rsidRPr="00000000">
        <w:rPr>
          <w:rtl w:val="0"/>
        </w:rPr>
        <w:t xml:space="preserve">Gong, D. (2021, September 18). </w:t>
      </w:r>
      <w:r w:rsidDel="00000000" w:rsidR="00000000" w:rsidRPr="00000000">
        <w:rPr>
          <w:i w:val="1"/>
          <w:iCs w:val="1"/>
          <w:rtl w:val="0"/>
        </w:rPr>
        <w:t xml:space="preserve">A Practical Guide to Linear Regression</w:t>
      </w:r>
      <w:r w:rsidDel="00000000" w:rsidR="00000000" w:rsidRPr="00000000">
        <w:rPr>
          <w:rtl w:val="0"/>
        </w:rPr>
        <w:t xml:space="preserve">. Towards Data Science. Retrieved March 5, 2026, from </w:t>
      </w:r>
      <w:hyperlink r:id="rId9">
        <w:r w:rsidDel="00000000" w:rsidR="00000000" w:rsidRPr="00000000">
          <w:rPr>
            <w:color w:val="1155cc"/>
            <w:u w:val="single"/>
            <w:rtl w:val="0"/>
          </w:rPr>
          <w:t xml:space="preserve">https://towardsdatascience.com/a-practical-guide-to-linear-regression-3b1cb9e501a6/</w:t>
        </w:r>
      </w:hyperlink>
      <w:r w:rsidDel="00000000" w:rsidR="00000000" w:rsidRPr="00000000">
        <w:rPr>
          <w:rtl w:val="0"/>
        </w:rPr>
        <w:t xml:space="preserve"> </w:t>
      </w:r>
    </w:p>
    <w:p w:rsidR="00000000" w:rsidDel="00000000" w:rsidP="00000000" w:rsidRDefault="00000000" w:rsidRPr="00000000" w14:paraId="0000000D">
      <w:pPr>
        <w:spacing w:after="240" w:before="240" w:line="240" w:lineRule="auto"/>
        <w:rPr/>
      </w:pPr>
      <w:r w:rsidDel="00000000" w:rsidR="00000000" w:rsidRPr="00000000">
        <w:rPr>
          <w:rtl w:val="0"/>
        </w:rPr>
      </w:r>
    </w:p>
    <w:p w:rsidR="00000000" w:rsidDel="00000000" w:rsidP="00000000" w:rsidRDefault="00000000" w:rsidRPr="00000000" w14:paraId="0000000E">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240" w:lineRule="auto"/>
        <w:jc w:val="left"/>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spacing w:line="360" w:lineRule="auto"/>
      <w:rPr/>
    </w:pPr>
    <w:r w:rsidDel="00000000" w:rsidR="00000000" w:rsidRPr="00000000">
      <w:rPr>
        <w:rtl w:val="0"/>
      </w:rPr>
      <w:t xml:space="preserve">Julia Sveen</w:t>
    </w:r>
  </w:p>
  <w:p w:rsidR="00000000" w:rsidDel="00000000" w:rsidP="00000000" w:rsidRDefault="00000000" w:rsidRPr="00000000" w14:paraId="00000011">
    <w:pPr>
      <w:spacing w:line="360" w:lineRule="auto"/>
      <w:rPr/>
    </w:pPr>
    <w:r w:rsidDel="00000000" w:rsidR="00000000" w:rsidRPr="00000000">
      <w:rPr>
        <w:rtl w:val="0"/>
      </w:rPr>
      <w:t xml:space="preserve">AI Applications</w:t>
    </w:r>
  </w:p>
  <w:p w:rsidR="00000000" w:rsidDel="00000000" w:rsidP="00000000" w:rsidRDefault="00000000" w:rsidRPr="00000000" w14:paraId="00000012">
    <w:pPr>
      <w:spacing w:line="360" w:lineRule="auto"/>
      <w:rPr/>
    </w:pPr>
    <w:r w:rsidDel="00000000" w:rsidR="00000000" w:rsidRPr="00000000">
      <w:rPr>
        <w:rtl w:val="0"/>
      </w:rPr>
      <w:t xml:space="preserve">Dr. Jowett</w:t>
    </w:r>
  </w:p>
  <w:p w:rsidR="00000000" w:rsidDel="00000000" w:rsidP="00000000" w:rsidRDefault="00000000" w:rsidRPr="00000000" w14:paraId="00000013">
    <w:pPr>
      <w:spacing w:line="360" w:lineRule="auto"/>
      <w:rPr/>
    </w:pPr>
    <w:r w:rsidDel="00000000" w:rsidR="00000000" w:rsidRPr="00000000">
      <w:rPr>
        <w:rtl w:val="0"/>
      </w:rPr>
      <w:t xml:space="preserve">March 5, 2026</w:t>
    </w:r>
  </w:p>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towardsdatascience.com/a-practical-guide-to-linear-regression-3b1cb9e501a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learningindustry.com/gamification-for-learning-strategies-and-examples" TargetMode="External"/><Relationship Id="rId8" Type="http://schemas.openxmlformats.org/officeDocument/2006/relationships/hyperlink" Target="https://bluegoatcyber.com/blog/exploring-true-randomness-in-cryptography-and-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18</b:Day>
    <b:DayAccessed>5</b:DayAccessed>
    <b:Month>September</b:Month>
    <b:MonthAccessed>March</b:MonthAccessed>
    <b:Title>A Practical Guide to Linear Regression</b:Title>
    <b:URL>https://towardsdatascience.com/a-practical-guide-to-linear-regression-3b1cb9e501a6/</b:URL>
    <b:InternetSiteTitle>Towards Data Science</b:InternetSiteTitle>
    <b:Year>2021</b:Year>
    <b:YearAccessed>2026</b:YearAccessed>
    <b:Gdcea>{"AccessedType":"Website"}</b:Gdcea>
    <b:Author>
      <b:Author>
        <b:NameList>
          <b:Person>
            <b:First>Destin</b:First>
            <b:Last>Gong</b:Last>
          </b:Person>
        </b:NameList>
      </b:Author>
    </b:Author>
  </b:Source>
  <b:Source>
    <b:Tag>source2</b:Tag>
    <b:SourceType>DocumentFromInternetSite</b:SourceType>
    <b:DayAccessed>5</b:DayAccessed>
    <b:MonthAccessed>March</b:MonthAccessed>
    <b:Title>Exploring True Randomness in Cryptography and Security</b:Title>
    <b:URL>https://bluegoatcyber.com/blog/exploring-true-randomness-in-cryptography-and-security/</b:URL>
    <b:InternetSiteTitle>Blue Goat Cyber</b:InternetSiteTitle>
    <b:YearAccessed>2026</b:YearAccessed>
    <b:Gdcea>{"AccessedType":"Website"}</b:Gdcea>
  </b:Source>
  <b:Source>
    <b:Tag>source3</b:Tag>
    <b:SourceType>DocumentFromInternetSite</b:SourceType>
    <b:Day>23</b:Day>
    <b:DayAccessed>5</b:DayAccessed>
    <b:Month>January</b:Month>
    <b:MonthAccessed>March</b:MonthAccessed>
    <b:Title>Gamification For Learning: Strategies And Examples</b:Title>
    <b:URL>https://elearningindustry.com/gamification-for-learning-strategies-and-examples</b:URL>
    <b:InternetSiteTitle>eLearning Industry</b:InternetSiteTitle>
    <b:Year>2026</b:Year>
    <b:YearAccessed>2026</b:YearAccessed>
    <b:Gdcea>{"AccessedType":"Website"}</b:Gdcea>
    <b:Author>
      <b:Author>
        <b:NameList>
          <b:Person>
            <b:First>Mario</b:First>
            <b:Last>Buljan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