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48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ANÁLISE PESTEL</w:t>
      </w:r>
    </w:p>
    <w:p>
      <w:pPr>
        <w:pStyle w:val="Normal"/>
        <w:spacing w:lineRule="auto" w:line="360" w:before="0" w:after="24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Hub de Fornecedores para Microempreendedores</w:t>
      </w:r>
    </w:p>
    <w:p>
      <w:pPr>
        <w:pStyle w:val="Normal"/>
        <w:spacing w:lineRule="auto" w:line="360" w:before="0" w:after="720"/>
        <w:jc w:val="center"/>
        <w:rPr/>
      </w:pPr>
      <w:r>
        <w:rPr>
          <w:rFonts w:eastAsia="Arial" w:cs="Arial" w:ascii="Arial" w:hAnsi="Arial"/>
          <w:b/>
          <w:bCs/>
          <w:sz w:val="24"/>
          <w:szCs w:val="24"/>
        </w:rPr>
        <w:t>Conectando comércios locais e fornecedores em Araras/SP</w:t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Arial" w:cs="Arial" w:ascii="Arial" w:hAnsi="Arial"/>
          <w:b/>
          <w:bCs/>
          <w:sz w:val="24"/>
          <w:szCs w:val="24"/>
        </w:rPr>
        <w:t>1 INTRODUÇÃO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 análise PESTEL é uma ferramenta de diagnóstico estratégico que examina os fatores macroambientais que podem influenciar o desenvolvimento e a adoção de um projeto ou negócio. O nome é formado pelas iniciais de seis dimensões de análise: Político, Econômico, Social, Tecnológico, Ecológico e Legal.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Diferentemente da análise SWOT, que considera fatores internos e externos ao projeto, a PESTEL concentra-se exclusivamente no ambiente externo, mapeando tendências e condicionantes que estão fora do controle da equipe, mas que exercem influência direta sobre as perspectivas do projeto. Cada fator é analisado quanto ao seu tipo de impacto, positivo, negativo ou neutro, e à sua intensidad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e,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Alta, Média ou Baixa, permitindo priorizar os fatores de maior relevância estratégica.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Esta análise foi elaborada com base nas informações levantadas durante o desenvolvimento do projeto Hub de Fornecedores para Microempreendedores, incluindo pesquisa de campo realizada com 9 comerciantes e 3 fornecedores de Araras/SP, a análise de viabilidade já concluída e a análise SWOT do projeto.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Arial" w:cs="Arial" w:ascii="Arial" w:hAnsi="Arial"/>
          <w:b/>
          <w:bCs/>
          <w:sz w:val="24"/>
          <w:szCs w:val="24"/>
        </w:rPr>
        <w:t>2 ANÁLISE PESTEL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O Quadro 1 apresenta os fatores macroambientais identificados para o projeto, organizados segundo as seis dimensões da análise PESTEL. Para cada fator, são indicados o tipo de impacto esperado e a intensidade estimada, seguidos de uma descrição contextualizada de sua relevância para o projeto.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60"/>
        <w:jc w:val="left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Quadro 1 – Análise PESTEL do projeto Hub de Fornecedores para Microempreendedores</w:t>
      </w:r>
    </w:p>
    <w:tbl>
      <w:tblPr>
        <w:tblW w:w="9071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8"/>
        <w:gridCol w:w="1800"/>
        <w:gridCol w:w="902"/>
        <w:gridCol w:w="900"/>
        <w:gridCol w:w="4171"/>
      </w:tblGrid>
      <w:tr>
        <w:trPr>
          <w:tblHeader w:val="true"/>
        </w:trPr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DIMENSÃO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INTENSIDADE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P — Político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Agenda nacional de digitalização de pequenos negócios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Programas federais e estaduais de incentivo à transformação digital de micro e pequenas empresas, como os do Sebrae e do Ministério do Desenvolvimento, criam um ambiente favorável à adoção de plataformas como o Hub, ampliando a legitimidade da proposta junto ao público-alvo.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Instabilidade regulatória e mudanças na legislação tributária para MEIs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Alterações frequentes nas regras do Simples Nacional e no regime do MEI podem impactar a atividade dos microempreendedores locais, reduzindo sua capacidade de investimento e disposição para adotar novas ferramentas digitais em momentos de incerteza.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 — Econômico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Expansão contínua do número de microempreendedores no país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Segundo dados do Sebrae e da Receita Federal (2024), 96% dos novos CNPJs abertos no Brasil são de pequenos negócios. Esse crescimento amplia diretamente o mercado potencial da plataforma, tanto no lado comprador quanto no lado fornecedor.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Pressão sobre margens dos pequenos comércios em cenário de inflação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 ambiente de custos elevados incentiva os comerciantes a buscarem fornecedores mais competitivos. A plataforma responde diretamente a essa necessidade ao permitir comparação de preços e condições entre fornecedores cadastrados, gerando economia operacional para os usuários e tornando a proposta de valor mais concreta e urgente.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Assimetria de poder de negociação entre microcomércios e distribuidores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Microempreendedores de Araras/SP tendem a comprar em volumes menores, o que os coloca em desvantagem na negociação com distribuidores regionais maiores. A plataforma tem potencial de reduzir essa assimetria ao agregar a demanda local e aumentar a visibilidade de fornecedores alternativos, mas esse benefício depende do volume de cadastros atingido.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Custo de acesso à internet e dispositivos em segmentos de menor renda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Baixa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Parte dos microempreendedores pode ter acesso limitado a smartphones ou planos de dados adequados, o que representa uma barreira de entrada para a adoção da plataforma em segmentos de menor poder aquisitivo. O impacto é classificado como baixo dado o perfil dos comerciantes identificado na pesquisa de campo.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S — Social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Cultura de indicação informal como principal meio de busca por fornecedores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Na pesquisa de campo realizada (n=9 comerciantes), 33,3% dos respondentes afirmaram buscar fornecedores por indicação de conhecidos e 11,1% raramente buscam novos fornecedores por hábito. Essa prática enraizada pode retardar a migração para um canal digital.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Crescente familiaridade com aplicativos e plataformas digitais no comércio local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 uso cotidiano de aplicativos como WhatsApp Business, iFood e plataformas de pagamento digital tem aumentado a receptividade de pequenos comerciantes a soluções tecnológicas. Esse contexto favorece a curva de adoção do Hub junto ao público-alvo, reduzindo a resistência esperada para soluções digitais inéditas.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Valorização do comércio local e das cadeias de fornecimento regionais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Tendências de consumo consciente e apoio ao comércio local criam um ambiente cultural favorável a plataformas que fortalecem conexões entre negócios da mesma região. Esse fator amplia a receptividade institucional da proposta, especialmente junto à ACIA e outros atores locais.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T — Tecnológico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Disponibilidade de ferramentas open source e infraestrutura gratuita em nuvem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 ecossistema de tecnologias de código aberto, Python, Django, MySQL, aliado a plataformas de hospedagem gratuitas como Railway e Render viabiliza o desenvolvimento e a implantação da plataforma sem custos iniciais, conforme demonstrado na análise de viabilidade econômica do projeto. Trata-se de um dos principais habilitadores da viabilidade do projeto na fase de TCC.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Risco de descontinuidade ou limitação dos planos gratuitos de hospedagem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Baixa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Plataformas como Railway e Render podem encerrar planos gratuitos ou impor restrições de uso. Esse risco é classificado como de baixa intensidade por não comprometer o desenvolvimento imediato, mas exige um plano de contingência antes do lançamento.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Avanço de ferramentas digitais aplicadas ao comércio B2B como oportunidade de evolução futura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Baixa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 crescimento de soluções de recomendação de fornecedores e automação de cotações representa uma oportunidade de evolução da plataforma a médio e longo prazo, não no escopo imediato do TCC. Esse fator é classificado como de baixa intensidade no horizonte atual do projeto, devendo ser reavaliado em fases posteriores de desenvolvimento.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 — Ecológico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Redução de deslocamentos físicos para cotação de fornecedores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Baixa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Ao centralizar a busca e a comparação de fornecedores em ambiente digital, a plataforma reduz a necessidade de deslocamentos físicos dos comerciantes para cotação presencial, contribuindo indiretamente para a diminuição de emissões associadas a esse processo. O impacto é real, mas de baixa intensidade no contexto imediato do projeto.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L — Legal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Marco Civil da Internet como base jurídica para atuação como intermediária digital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Positivo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Alta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 Lei nº 12.965/2014 (Marco Civil da Internet) regula as plataformas de intermediação no Brasil. Por não realizar transações financeiras entre as partes, contratos e pagamentos são firmados diretamente entre fornecedor e comerciante, fora do ambiente da plataforma, o Hub enquadra-se como intermediária de conexão, o que simplifica significativamente suas obrigações jurídicas.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Exigências de conformidade com a LGPD (Lei nº 13.709/2018)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2F2F2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A plataforma coletará dados pessoais de usuários (nome, e-mail, CNPJ/CPF), exigindo conformidade com a LGPD desde sua concepção. A ausência de apoio jurídico especializado na equipe aumenta a exposição a esse risco, reforçando a necessidade de elaborar a Política de Privacidade e os mecanismos de consentimento antes do lançamen</w:t>
            </w: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to.</w:t>
            </w:r>
          </w:p>
        </w:tc>
      </w:tr>
      <w:tr>
        <w:trPr/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/>
                <w:bCs/>
                <w:sz w:val="24"/>
                <w:szCs w:val="24"/>
              </w:rPr>
              <w:t>Necessidade de elaboração de Termos de Uso previamente ao lançamento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Negativo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Média</w:t>
            </w:r>
          </w:p>
        </w:tc>
        <w:tc>
          <w:tcPr>
            <w:tcW w:w="4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24"/>
                <w:szCs w:val="24"/>
              </w:rPr>
              <w:t>Os Termos de Uso são condição necessária para a operação segura e transparente da plataforma. Sua ausência representa risco jurídico relevante para a equipe desenvolvedora, especialmente quanto à responsabilidade sobre informações cadastradas pelos fornecedores e à política de suspensão de contas.</w:t>
            </w:r>
          </w:p>
        </w:tc>
      </w:tr>
    </w:tbl>
    <w:p>
      <w:pPr>
        <w:pStyle w:val="Normal"/>
        <w:spacing w:lineRule="auto" w:line="360" w:before="60" w:after="240"/>
        <w:jc w:val="left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Fonte: Elaborado pelos autores com base em pesquisa de campo (Araras/SP, mar. 2026, n=9 comerciantes e n=3 fornecedores, amostra exploratória intencional), dados do Sebrae/Receita Federal (2024).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Em termos de distribuição, o conjunto de fatores identificados é composto por 9 fatores de impacto positivo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e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>7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 de impacto negativo. Os fatores de alta intensidade, crescimento do mercado de MEIs, pressão por redução de custos, infraestrutura tecnológica gratuita e Marco Civil da Internet, concentram os principais habilitadores e protetores do projeto. Os fatores de impacto negativo de maior intensidade, conformidade com a LGPD e exigências de elaboração dos Termos de Uso são tratáveis.</w:t>
      </w:r>
    </w:p>
    <w:p>
      <w:pPr>
        <w:pStyle w:val="Normal"/>
        <w:spacing w:lineRule="auto" w:line="36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240" w:after="120"/>
        <w:jc w:val="left"/>
        <w:rPr/>
      </w:pPr>
      <w:r>
        <w:rPr>
          <w:rFonts w:eastAsia="Arial" w:cs="Arial" w:ascii="Arial" w:hAnsi="Arial"/>
          <w:b/>
          <w:bCs/>
          <w:sz w:val="24"/>
          <w:szCs w:val="24"/>
        </w:rPr>
        <w:t>3 CONSIDERAÇÕES FINAIS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 análise PESTEL do projeto Hub de Fornecedores para Microempreendedores revela um ambiente externo predominantemente favorável ao desenvolvimento e à adoção da plataforma. Os fatores de impacto positivo superam os negativos em quantidade e, mais relevante, os fatores de alta intensidade são majoritariamente favoráveis ao projeto, especialmente o crescimento contínuo do mercado de microempreendedores, a pressão econômica por redução de custos operacionais e a disponibilidade de infraestrutura tecnológica gratuita.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b w:val="false"/>
          <w:b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Na dimensão política, a agenda de digitalização representa um respaldo institucional relevante, ainda que a instabilidade tributária para MEIs exija monitoramento. Na dimensão econômica, o fator de assimetria de poder de negociação, revela uma oportunidade secundária da plataforma, ao agregar demanda local, o Hub pode contribuir para equilibrar a relação entre pequenos compradores e distribuidores regionais.</w:t>
      </w:r>
    </w:p>
    <w:sectPr>
      <w:type w:val="nextPage"/>
      <w:pgSz w:w="11906" w:h="16838"/>
      <w:pgMar w:left="1800" w:right="108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7</Pages>
  <Words>1380</Words>
  <Characters>8268</Characters>
  <CharactersWithSpaces>9565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2026-04-05T03:31:48Z</dcterms:created>
  <dc:creator>Un-named</dc:creator>
  <dc:description/>
  <dc:language>pt-BR</dc:language>
  <cp:lastModifiedBy/>
  <dcterms:modified xsi:type="dcterms:W3CDTF">2026-04-05T01:21:47Z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