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AFD4" w14:textId="77777777" w:rsidR="00953F61" w:rsidRDefault="00F20110">
      <w:pPr>
        <w:spacing w:after="48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ANÁLISE PESTEL</w:t>
      </w:r>
    </w:p>
    <w:p w14:paraId="54A53992" w14:textId="77777777" w:rsidR="00953F61" w:rsidRDefault="00F20110">
      <w:pPr>
        <w:spacing w:after="24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Hub de Fornecedores para Microempreendedores</w:t>
      </w:r>
    </w:p>
    <w:p w14:paraId="619E82E8" w14:textId="77777777" w:rsidR="00953F61" w:rsidRDefault="00F20110">
      <w:pPr>
        <w:spacing w:after="7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Conectando comércios locais e fornecedores em Araras/SP</w:t>
      </w:r>
    </w:p>
    <w:p w14:paraId="1910FB90" w14:textId="77777777" w:rsidR="00953F61" w:rsidRDefault="00F20110">
      <w:pPr>
        <w:spacing w:before="240" w:after="12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1 INTRODUÇÃO</w:t>
      </w:r>
    </w:p>
    <w:p w14:paraId="3B8F91C3" w14:textId="77777777" w:rsidR="00953F61" w:rsidRDefault="00953F61">
      <w:pPr>
        <w:spacing w:line="360" w:lineRule="auto"/>
      </w:pPr>
    </w:p>
    <w:p w14:paraId="0DD7C680" w14:textId="77777777" w:rsidR="00953F61" w:rsidRDefault="00F20110">
      <w:pPr>
        <w:spacing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 análise PESTEL é uma ferramenta de diagnóstico estratégico que examina os fatores macroambientais que podem influenciar o desenvolvimento e a adoção de um projeto ou negócio. O nome é formado pelas iniciais de seis dimensões de análise: Político, Econômico, Social, Tecnológico, Ecológico e Legal.</w:t>
      </w:r>
    </w:p>
    <w:p w14:paraId="29E6DC1E" w14:textId="77777777" w:rsidR="00953F61" w:rsidRDefault="00953F61">
      <w:pPr>
        <w:spacing w:line="360" w:lineRule="auto"/>
      </w:pPr>
    </w:p>
    <w:p w14:paraId="1897268B" w14:textId="77777777" w:rsidR="00953F61" w:rsidRDefault="00F20110">
      <w:pPr>
        <w:spacing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Diferentemente da análise SWOT, que considera fatores internos e externos ao projeto, a PESTEL concentra-se exclusivamente no ambiente externo, mapeando tendências e condicionantes que estão fora do controle da equipe, mas que exercem influência direta sobre as perspectivas do projeto. Cada fator é analisado quanto ao seu tipo de impacto, positivo, negativo ou neutro, e à sua intensidade, Alta, Média ou Baixa, permitindo priorizar os fatores de maior relevância estratégica.</w:t>
      </w:r>
    </w:p>
    <w:p w14:paraId="79AE6C72" w14:textId="77777777" w:rsidR="00953F61" w:rsidRDefault="00953F61">
      <w:pPr>
        <w:spacing w:line="360" w:lineRule="auto"/>
      </w:pPr>
    </w:p>
    <w:p w14:paraId="33835C55" w14:textId="77777777" w:rsidR="00953F61" w:rsidRDefault="00F20110">
      <w:pPr>
        <w:spacing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Esta análise foi elaborada com base nas informações levantadas durante o desenvolvimento do projeto Hub de Fornecedores para Microempreendedores, incluindo pesquisa de campo realizada com 9 comerciantes e 3 fornecedores de Araras/SP, a análise de viabilidade já concluída e a análise SWOT do projeto.</w:t>
      </w:r>
    </w:p>
    <w:p w14:paraId="5179F993" w14:textId="77777777" w:rsidR="00953F61" w:rsidRDefault="00953F61">
      <w:pPr>
        <w:spacing w:line="360" w:lineRule="auto"/>
      </w:pPr>
    </w:p>
    <w:p w14:paraId="4F686E4B" w14:textId="77777777" w:rsidR="00953F61" w:rsidRDefault="00F20110">
      <w:pPr>
        <w:spacing w:before="240" w:after="12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2 ANÁLISE PESTEL</w:t>
      </w:r>
    </w:p>
    <w:p w14:paraId="745C10AE" w14:textId="77777777" w:rsidR="00953F61" w:rsidRDefault="00953F61">
      <w:pPr>
        <w:spacing w:line="360" w:lineRule="auto"/>
      </w:pPr>
    </w:p>
    <w:p w14:paraId="0AF8D076" w14:textId="77777777" w:rsidR="00953F61" w:rsidRDefault="00F20110">
      <w:pPr>
        <w:spacing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Quadro 1 apresenta os fatores macroambientais identificados para o projeto, organizados segundo as seis dimensões da análise PESTEL. Para cada fator, são indicados o tipo de impacto esperado e a intensidade estimada, seguidos de uma descrição contextualizada de sua relevância para o projeto.</w:t>
      </w:r>
    </w:p>
    <w:p w14:paraId="0661EBE7" w14:textId="77777777" w:rsidR="00953F61" w:rsidRDefault="00953F61">
      <w:pPr>
        <w:spacing w:line="360" w:lineRule="auto"/>
      </w:pPr>
    </w:p>
    <w:p w14:paraId="75A3B6C2" w14:textId="77777777" w:rsidR="00953F61" w:rsidRDefault="00F20110">
      <w:pPr>
        <w:spacing w:after="60" w:line="360" w:lineRule="auto"/>
      </w:pPr>
      <w:r>
        <w:rPr>
          <w:rFonts w:ascii="Arial" w:eastAsia="Arial" w:hAnsi="Arial" w:cs="Arial"/>
          <w:sz w:val="24"/>
          <w:szCs w:val="24"/>
        </w:rPr>
        <w:t>Quadro 1 – Análise PESTEL do projeto Hub de Fornecedores para Microempreendedores</w:t>
      </w:r>
    </w:p>
    <w:tbl>
      <w:tblPr>
        <w:tblW w:w="907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98"/>
        <w:gridCol w:w="1797"/>
        <w:gridCol w:w="905"/>
        <w:gridCol w:w="900"/>
        <w:gridCol w:w="4171"/>
      </w:tblGrid>
      <w:tr w:rsidR="00953F61" w14:paraId="2D1EF69C" w14:textId="77777777">
        <w:trPr>
          <w:tblHeader/>
        </w:trPr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4A7395F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DIMENSÃO</w:t>
            </w: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E50C5F5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FATOR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BC716AE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FBDE069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INTENSIDADE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256F5C3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953F61" w14:paraId="29CC184F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E77E10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 — Político</w:t>
            </w: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DBF8EA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Agenda nacional de digitalização de pequenos negócios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E8FF53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97F696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DB8D64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Programas federais e estaduais de incentivo à transformação digital de micro e pequenas empresas, como os do Sebrae e do Ministério do Desenvolvimento, criam um ambiente favorável à adoção de plataformas como o Hub, ampliando a legitimidade da proposta junto ao público-alvo.</w:t>
            </w:r>
          </w:p>
        </w:tc>
      </w:tr>
      <w:tr w:rsidR="00953F61" w14:paraId="5A4E064A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15CD6685" w14:textId="77777777" w:rsidR="00953F61" w:rsidRDefault="00953F61">
            <w:pPr>
              <w:spacing w:line="276" w:lineRule="auto"/>
              <w:jc w:val="center"/>
            </w:pP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3E2AB4D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Instabilidade regulatória e mudanças na legislação tributária para MEIs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29D2582E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Negativo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58DA0D3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255F7667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Alterações frequentes nas regras do Simples Nacional e no regime do MEI podem impactar a atividade dos microempreendedores locais, reduzindo sua capacidade de investimento e disposição para adotar novas ferramentas digitais em momentos de incerteza.</w:t>
            </w:r>
          </w:p>
        </w:tc>
      </w:tr>
      <w:tr w:rsidR="00953F61" w14:paraId="608FD3B1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54198C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 — Econômico</w:t>
            </w: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6519CD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Expansão contínua do número de microempreendedores no país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9BB6BF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BE9F2C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ED101C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Segundo dados do Sebrae e da Receita Federal (2024), 96% dos novos CNPJs abertos no Brasil são de pequenos negócios. Esse crescimento amplia diretamente o mercado potencial da plataforma, tanto no lado comprador quanto no lado fornecedor.</w:t>
            </w:r>
          </w:p>
        </w:tc>
      </w:tr>
      <w:tr w:rsidR="00953F61" w14:paraId="5031A365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8B91F1F" w14:textId="77777777" w:rsidR="00953F61" w:rsidRDefault="00953F61">
            <w:pPr>
              <w:spacing w:line="276" w:lineRule="auto"/>
              <w:jc w:val="center"/>
            </w:pP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40EB985E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Pressão sobre margens dos pequenos comércios em cenário de inflação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29411927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416EC030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50CFD52B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O ambiente de custos elevados incentiva os comerciantes a buscarem fornecedores mais competitivos. A plataforma responde diretamente a essa necessidade ao permitir comparação de preços e condições entre fornecedores cadastrados, gerando economia operacional para os usuários e tornando a proposta de valor mais concreta e urgente.</w:t>
            </w:r>
          </w:p>
        </w:tc>
      </w:tr>
      <w:tr w:rsidR="00953F61" w14:paraId="514BED14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562C31" w14:textId="77777777" w:rsidR="00953F61" w:rsidRDefault="00953F61">
            <w:pPr>
              <w:spacing w:line="276" w:lineRule="auto"/>
              <w:jc w:val="center"/>
            </w:pP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EA06C0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Assimetria de poder de negociação entre microcomércios e distribuidores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11E15F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Negativo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FFC963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DDA692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Microempreendedores de Araras/SP tendem a comprar em volumes menores, o que os coloca em desvantagem na negociação com distribuidores regionais maiores. A plataforma tem potencial de reduzir essa assimetria ao agregar a demanda local e aumentar a visibilidade de fornecedores alternativos, mas esse benefício depende do volume de cadastros atingido.</w:t>
            </w:r>
          </w:p>
        </w:tc>
      </w:tr>
      <w:tr w:rsidR="00953F61" w14:paraId="70BBB535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D30163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 — Social</w:t>
            </w: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E92D1A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Cultura de indicação informal como principal meio de busca por fornecedores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73F4C4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Negativo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81F77F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008A05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Na pesquisa de campo realizada (n=9 comerciantes), 33,3% dos respondentes afirmaram buscar fornecedores por indicação de conhecidos e 11,1% raramente buscam novos fornecedores por hábito. Essa prática enraizada pode retardar a migração para um canal digital.</w:t>
            </w:r>
          </w:p>
        </w:tc>
      </w:tr>
      <w:tr w:rsidR="00953F61" w14:paraId="3F3C9E93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6C23B8D3" w14:textId="77777777" w:rsidR="00953F61" w:rsidRDefault="00953F61">
            <w:pPr>
              <w:spacing w:line="276" w:lineRule="auto"/>
              <w:jc w:val="center"/>
            </w:pP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3176592F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Crescente familiaridade com aplicativos e plataformas digitais no comércio local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24483485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113A0FF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6913FF78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O uso cotidiano de aplicativos como WhatsApp Business, iFood e plataformas de pagamento digital tem aumentado a receptividade de pequenos comerciantes a soluções tecnológicas. Esse contexto favorece a curva de adoção do Hub junto ao público-alvo, reduzindo a resistência esperada para soluções digitais inéditas.</w:t>
            </w:r>
          </w:p>
        </w:tc>
      </w:tr>
      <w:tr w:rsidR="00953F61" w14:paraId="7DA00663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9C35A3" w14:textId="77777777" w:rsidR="00953F61" w:rsidRDefault="00953F61">
            <w:pPr>
              <w:spacing w:line="276" w:lineRule="auto"/>
              <w:jc w:val="center"/>
            </w:pP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C26596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Valorização do comércio local e das cadeias de fornecimento regionais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C00E40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EF7029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AEB69A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Tendências de consumo consciente e apoio ao comércio local criam um ambiente cultural favorável a plataformas que fortalecem conexões entre negócios da mesma região. Esse fator amplia a receptividade institucional da proposta, especialmente junto à ACIA e outros atores locais.</w:t>
            </w:r>
          </w:p>
        </w:tc>
      </w:tr>
      <w:tr w:rsidR="00953F61" w14:paraId="2AEAC408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21F900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 — Tecnológico</w:t>
            </w: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5A6A90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Disponibilidade de ferramentas open source e infraestrutura gratuita em nuvem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B6F001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221A19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5012B7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O ecossistema de tecnologias de código aberto, Python, Django, MySQL, aliado a plataformas de hospedagem gratuitas como Railway e Render viabiliza o desenvolvimento e a implantação da plataforma sem custos iniciais, conforme demonstrado na análise de viabilidade econômica do projeto. Trata-se de um dos principais habilitadores da viabilidade do projeto na fase de TCC.</w:t>
            </w:r>
          </w:p>
        </w:tc>
      </w:tr>
      <w:tr w:rsidR="00953F61" w14:paraId="5F52E6EC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B6F40AD" w14:textId="77777777" w:rsidR="00953F61" w:rsidRDefault="00953F61">
            <w:pPr>
              <w:spacing w:line="276" w:lineRule="auto"/>
              <w:jc w:val="center"/>
            </w:pP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4610D130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Risco de descontinuidade ou limitação dos planos gratuitos de hospedagem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E35FBF4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Negativo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480F6721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Baixa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11F42C44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Plataformas como Railway e Render podem encerrar planos gratuitos ou impor restrições de uso. Esse risco é classificado como de baixa intensidade por não comprometer o desenvolvimento imediato, mas exige um plano de contingência antes do lançamento.</w:t>
            </w:r>
          </w:p>
        </w:tc>
      </w:tr>
      <w:tr w:rsidR="00953F61" w14:paraId="3641DAA4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71CABF" w14:textId="77777777" w:rsidR="00953F61" w:rsidRDefault="00953F61">
            <w:pPr>
              <w:spacing w:line="276" w:lineRule="auto"/>
              <w:jc w:val="center"/>
            </w:pP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7BC126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Avanço de ferramentas digitais aplicadas ao comércio B2B como oportunidade de evolução futura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ADBEC0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7B8D77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Baixa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EECD2B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O crescimento de soluções de recomendação de fornecedores e automação de cotações representa uma oportunidade de evolução da plataforma a médio e longo prazo, não no escopo imediato do TCC. Esse fator é classificado como de baixa intensidade no horizonte atual do projeto, devendo ser reavaliado em fases posteriores de desenvolvimento.</w:t>
            </w:r>
          </w:p>
        </w:tc>
      </w:tr>
      <w:tr w:rsidR="00953F61" w14:paraId="2B100001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100002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 — Ecológico</w:t>
            </w: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100003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Não aplicável ao escopo do projeto</w:t>
            </w:r>
          </w:p>
        </w:tc>
        <w:tc>
          <w:tcPr>
            <w:tcW w:w="10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100004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10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100005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3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100006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Por tratar-se de uma plataforma digital de conexão entre agentes econômicos locais, sem produção física, logística própria ou impacto ambiental direto identificável, a dimensão ecológica não apresenta fatores relevantes no horizonte deste projeto. Essa avaliação deve ser revisitada caso o escopo da plataforma evolua para gestão logística ou operações físicas.</w:t>
            </w:r>
          </w:p>
        </w:tc>
      </w:tr>
      <w:tr w:rsidR="00953F61" w14:paraId="19918866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6D8E56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 — Legal</w:t>
            </w: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FA3B07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Marco Civil da Internet como base jurídica para atuação como intermediária digital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B767D0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168275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97B1ED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A Lei nº 12.965/2014 (Marco Civil da Internet) regula as plataformas de intermediação no Brasil. Por não realizar transações financeiras entre as partes, contratos e pagamentos são firmados diretamente entre fornecedor e comerciante, fora do ambiente da plataforma, o Hub enquadra-se como intermediária de conexão, o que simplifica significativamente suas obrigações jurídicas.</w:t>
            </w:r>
          </w:p>
        </w:tc>
      </w:tr>
      <w:tr w:rsidR="00953F61" w14:paraId="7041B27A" w14:textId="77777777"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7F2A667A" w14:textId="77777777" w:rsidR="00953F61" w:rsidRDefault="00953F61">
            <w:pPr>
              <w:spacing w:line="276" w:lineRule="auto"/>
              <w:jc w:val="center"/>
            </w:pP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18AA43B8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Exigências de conformidade com a LGPD (Lei nº 13.709/2018)</w:t>
            </w: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56F4A4D0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Negativo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2639788" w14:textId="77777777" w:rsidR="00953F61" w:rsidRDefault="00F2011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41B8F953" w14:textId="77777777" w:rsidR="00953F61" w:rsidRDefault="00F2011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>A plataforma coletará dados pessoais de usuários (nome, e-mail, CNPJ/CPF), exigindo conformidade com a LGPD desde sua concepção. A ausência de apoio jurídico especializado na equipe aumenta a exposição a esse risco, o que será mitigado pela implementação de diretrizes de privacidade integradas ao desenvolvimento do sistema.</w:t>
            </w:r>
          </w:p>
        </w:tc>
      </w:tr>
    </w:tbl>
    <w:p w14:paraId="2368F48C" w14:textId="77777777" w:rsidR="00953F61" w:rsidRDefault="00F20110">
      <w:pPr>
        <w:spacing w:before="60" w:after="240" w:line="360" w:lineRule="auto"/>
      </w:pPr>
      <w:r>
        <w:rPr>
          <w:rFonts w:ascii="Arial" w:eastAsia="Arial" w:hAnsi="Arial" w:cs="Arial"/>
          <w:sz w:val="24"/>
          <w:szCs w:val="24"/>
        </w:rPr>
        <w:t>Fonte: Elaborado pelos autores com base em pesquisa de campo (Araras/SP, mar. 2026, n=9 comerciantes e n=3 fornecedores, amostra exploratória intencional), dados do Sebrae/Receita Federal (2024).</w:t>
      </w:r>
    </w:p>
    <w:p w14:paraId="0C7A6CDD" w14:textId="77777777" w:rsidR="00953F61" w:rsidRDefault="00953F61">
      <w:pPr>
        <w:spacing w:line="360" w:lineRule="auto"/>
      </w:pPr>
    </w:p>
    <w:p w14:paraId="4FAF1122" w14:textId="77777777" w:rsidR="00953F61" w:rsidRDefault="00F20110">
      <w:pPr>
        <w:spacing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Em termos de distribuição, o conjunto de fatores identificados é composto por 8 fatores de impacto positivo e 5 de impacto negativo. Os fatores de alta intensidade, crescimento do mercado de MEIs, pressão por redução de custos, infraestrutura tecnológica gratuita e Marco Civil da Internet, concentram os principais habilitadores e protetores do projeto. Os fatores de impacto negativo identificados, como a conformidade com a LGPD, são plenamente tratáveis mediante o planejamento preventivo já estabelecido pela equipe.</w:t>
      </w:r>
    </w:p>
    <w:p w14:paraId="0A311DB2" w14:textId="77777777" w:rsidR="00953F61" w:rsidRDefault="00953F61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94CEF10" w14:textId="77777777" w:rsidR="00953F61" w:rsidRDefault="00F20110">
      <w:pPr>
        <w:spacing w:before="240" w:after="12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3 CONSIDERAÇÕES FINAIS</w:t>
      </w:r>
    </w:p>
    <w:p w14:paraId="377BF189" w14:textId="77777777" w:rsidR="00953F61" w:rsidRDefault="00953F61">
      <w:pPr>
        <w:spacing w:line="360" w:lineRule="auto"/>
      </w:pPr>
    </w:p>
    <w:p w14:paraId="28EDDB81" w14:textId="77777777" w:rsidR="00953F61" w:rsidRDefault="00F20110">
      <w:pPr>
        <w:spacing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 análise PESTEL do projeto Hub de Fornecedores para Microempreendedores revela um ambiente externo predominantemente favorável ao desenvolvimento e à adoção da plataforma. Os fatores de impacto positivo superam os negativos em quantidade e, mais relevante, os fatores de alta intensidade são majoritariamente favoráveis ao projeto, especialmente o crescimento contínuo do mercado de microempreendedores, a pressão econômica por redução de custos operacionais e a disponibilidade de infraestrutura tecnológica gratuita.</w:t>
      </w:r>
    </w:p>
    <w:p w14:paraId="480AA952" w14:textId="77777777" w:rsidR="00953F61" w:rsidRDefault="00953F61">
      <w:pPr>
        <w:spacing w:line="360" w:lineRule="auto"/>
      </w:pPr>
    </w:p>
    <w:p w14:paraId="5C0E973D" w14:textId="77777777" w:rsidR="00953F61" w:rsidRDefault="00F2011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 dimensão política, a agenda de digitalização representa um respaldo institucional relevante, ainda que a instabilidade tributária para MEIs exija monitoramento. Na dimensão econômica, o fator de assimetria de poder de negociação revela uma oportunidade secundária da plataforma: ao agregar demanda local, o Hub pode contribuir para equilibrar a relação entre pequenos compradores e distribuidores regionais.</w:t>
      </w:r>
    </w:p>
    <w:sectPr w:rsidR="00953F61">
      <w:pgSz w:w="11906" w:h="16838"/>
      <w:pgMar w:top="1440" w:right="1080" w:bottom="1440" w:left="180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Noto Serif CJK SC">
    <w:panose1 w:val="02020400000000000000"/>
    <w:charset w:val="00"/>
    <w:family w:val="roman"/>
    <w:pitch w:val="default"/>
  </w:font>
  <w:font w:name="Noto Sans Devanagari">
    <w:panose1 w:val="00000000000000000000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61"/>
    <w:rsid w:val="00282A90"/>
    <w:rsid w:val="00953F61"/>
    <w:rsid w:val="00F2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819D2"/>
  <w15:docId w15:val="{083649F0-EBB0-184B-B41F-C6C43703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uiPriority w:val="10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1337</Words>
  <Characters>7225</Characters>
  <Application>Microsoft Office Word</Application>
  <DocSecurity>0</DocSecurity>
  <Lines>60</Lines>
  <Paragraphs>17</Paragraphs>
  <ScaleCrop>false</ScaleCrop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Rafael Felix</cp:lastModifiedBy>
  <cp:revision>2</cp:revision>
  <dcterms:created xsi:type="dcterms:W3CDTF">2026-04-08T08:46:00Z</dcterms:created>
  <dcterms:modified xsi:type="dcterms:W3CDTF">2026-04-08T08:46:00Z</dcterms:modified>
  <dc:language>pt-BR</dc:language>
</cp:coreProperties>
</file>