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28"/>
          <w:szCs w:val="28"/>
        </w:rPr>
        <w:t xml:space="preserve">ANÁLISE SMART</w:t>
      </w:r>
    </w:p>
    <w:p>
      <w:pPr>
        <w:spacing w:after="80" w:before="0"/>
        <w:jc w:val="center"/>
      </w:pPr>
      <w:r>
        <w:rPr>
          <w:rFonts w:ascii="Arial" w:cs="Arial" w:eastAsia="Arial" w:hAnsi="Arial"/>
          <w:b/>
          <w:bCs/>
          <w:sz w:val="26"/>
          <w:szCs w:val="26"/>
        </w:rPr>
        <w:t xml:space="preserve">Hub de Fornecedores para Microempreendedores</w:t>
      </w:r>
    </w:p>
    <w:p>
      <w:pPr>
        <w:spacing w:after="240" w:before="0"/>
        <w:jc w:val="center"/>
      </w:pPr>
      <w:r>
        <w:rPr>
          <w:rFonts w:ascii="Arial" w:cs="Arial" w:eastAsia="Arial" w:hAnsi="Arial"/>
          <w:b/>
          <w:bCs/>
          <w:sz w:val="24"/>
          <w:szCs w:val="24"/>
        </w:rPr>
        <w:t xml:space="preserve">Conectando comércios locais e fornecedores em Araras/SP</w:t>
      </w:r>
    </w:p>
    <w:p>
      <w:pPr>
        <w:pStyle w:val="Heading1"/>
        <w:spacing w:after="120" w:before="280"/>
      </w:pPr>
      <w:r>
        <w:rPr>
          <w:rFonts w:ascii="Arial" w:cs="Arial" w:eastAsia="Arial" w:hAnsi="Arial"/>
          <w:b/>
          <w:bCs/>
          <w:color w:val="000000"/>
          <w:sz w:val="28"/>
          <w:szCs w:val="28"/>
        </w:rPr>
        <w:t xml:space="preserve">1 INTRODUÇÃO</w:t>
      </w:r>
    </w:p>
    <w:p>
      <w:pPr>
        <w:spacing w:after="100" w:before="100"/>
      </w:pPr>
      <w:r>
        <w:rPr>
          <w:rFonts w:ascii="Arial" w:cs="Arial" w:eastAsia="Arial" w:hAnsi="Arial"/>
          <w:sz w:val="24"/>
          <w:szCs w:val="24"/>
        </w:rPr>
        <w:t xml:space="preserve">A análise SMART é uma ferramenta de planejamento estratégico que organiza os objetivos de um projeto de forma clara e estruturada. O nome origina-se do inglês: </w:t>
      </w:r>
      <w:r>
        <w:rPr>
          <w:rFonts w:ascii="Arial" w:cs="Arial" w:eastAsia="Arial" w:hAnsi="Arial"/>
          <w:b/>
          <w:bCs/>
          <w:sz w:val="24"/>
          <w:szCs w:val="24"/>
        </w:rPr>
        <w:t xml:space="preserve">S</w:t>
      </w:r>
      <w:r>
        <w:rPr>
          <w:rFonts w:ascii="Arial" w:cs="Arial" w:eastAsia="Arial" w:hAnsi="Arial"/>
          <w:sz w:val="24"/>
          <w:szCs w:val="24"/>
        </w:rPr>
        <w:t xml:space="preserve">pecific (Específico), </w:t>
      </w:r>
      <w:r>
        <w:rPr>
          <w:rFonts w:ascii="Arial" w:cs="Arial" w:eastAsia="Arial" w:hAnsi="Arial"/>
          <w:b/>
          <w:bCs/>
          <w:sz w:val="24"/>
          <w:szCs w:val="24"/>
        </w:rPr>
        <w:t xml:space="preserve">M</w:t>
      </w:r>
      <w:r>
        <w:rPr>
          <w:rFonts w:ascii="Arial" w:cs="Arial" w:eastAsia="Arial" w:hAnsi="Arial"/>
          <w:sz w:val="24"/>
          <w:szCs w:val="24"/>
        </w:rPr>
        <w:t xml:space="preserve">easurable (Mensurável), </w:t>
      </w:r>
      <w:r>
        <w:rPr>
          <w:rFonts w:ascii="Arial" w:cs="Arial" w:eastAsia="Arial" w:hAnsi="Arial"/>
          <w:b/>
          <w:bCs/>
          <w:sz w:val="24"/>
          <w:szCs w:val="24"/>
        </w:rPr>
        <w:t xml:space="preserve">A</w:t>
      </w:r>
      <w:r>
        <w:rPr>
          <w:rFonts w:ascii="Arial" w:cs="Arial" w:eastAsia="Arial" w:hAnsi="Arial"/>
          <w:sz w:val="24"/>
          <w:szCs w:val="24"/>
        </w:rPr>
        <w:t xml:space="preserve">chievable (Atingível), </w:t>
      </w:r>
      <w:r>
        <w:rPr>
          <w:rFonts w:ascii="Arial" w:cs="Arial" w:eastAsia="Arial" w:hAnsi="Arial"/>
          <w:b/>
          <w:bCs/>
          <w:sz w:val="24"/>
          <w:szCs w:val="24"/>
        </w:rPr>
        <w:t xml:space="preserve">R</w:t>
      </w:r>
      <w:r>
        <w:rPr>
          <w:rFonts w:ascii="Arial" w:cs="Arial" w:eastAsia="Arial" w:hAnsi="Arial"/>
          <w:sz w:val="24"/>
          <w:szCs w:val="24"/>
        </w:rPr>
        <w:t xml:space="preserve">elevant (Relevante) e </w:t>
      </w:r>
      <w:r>
        <w:rPr>
          <w:rFonts w:ascii="Arial" w:cs="Arial" w:eastAsia="Arial" w:hAnsi="Arial"/>
          <w:b/>
          <w:bCs/>
          <w:sz w:val="24"/>
          <w:szCs w:val="24"/>
        </w:rPr>
        <w:t xml:space="preserve">T</w:t>
      </w:r>
      <w:r>
        <w:rPr>
          <w:rFonts w:ascii="Arial" w:cs="Arial" w:eastAsia="Arial" w:hAnsi="Arial"/>
          <w:sz w:val="24"/>
          <w:szCs w:val="24"/>
        </w:rPr>
        <w:t xml:space="preserve">ime-bound (Temporal).</w:t>
      </w:r>
    </w:p>
    <w:p>
      <w:pPr>
        <w:spacing w:after="100" w:before="100"/>
      </w:pPr>
      <w:r>
        <w:rPr>
          <w:rFonts w:ascii="Arial" w:cs="Arial" w:eastAsia="Arial" w:hAnsi="Arial"/>
          <w:sz w:val="24"/>
          <w:szCs w:val="24"/>
        </w:rPr>
        <w:t xml:space="preserve">Cada elemento tem uma função dentro do planejamento. O Específico define com clareza o que será feito. O Mensurável serve para acompanhar o progresso e saber como a meta está sendo atingida. O Atingível avalia se as metas são realistas com base nos recursos disponíveis. O Relevante responde por que o projeto importa e que problema real ele resolve. O Temporal define o prazo dentro do qual as metas devem ser cumpridas.</w:t>
      </w:r>
    </w:p>
    <w:p>
      <w:pPr>
        <w:pStyle w:val="Heading1"/>
        <w:spacing w:after="120" w:before="280"/>
      </w:pPr>
      <w:r>
        <w:rPr>
          <w:rFonts w:ascii="Arial" w:cs="Arial" w:eastAsia="Arial" w:hAnsi="Arial"/>
          <w:b/>
          <w:bCs/>
          <w:color w:val="000000"/>
          <w:sz w:val="28"/>
          <w:szCs w:val="28"/>
        </w:rPr>
        <w:t xml:space="preserve">2 ANÁLISE SMART: PERSPECTIVA DO FORNECEDOR</w:t>
      </w:r>
    </w:p>
    <w:p>
      <w:pPr>
        <w:pStyle w:val="Heading2"/>
        <w:spacing w:after="100" w:before="220"/>
      </w:pPr>
      <w:r>
        <w:rPr>
          <w:rFonts w:ascii="Arial" w:cs="Arial" w:eastAsia="Arial" w:hAnsi="Arial"/>
          <w:b/>
          <w:bCs/>
          <w:color w:val="000000"/>
          <w:sz w:val="26"/>
          <w:szCs w:val="26"/>
        </w:rPr>
        <w:t xml:space="preserve">S (ESPECÍFICO) — O QUE DE FATO SERÁ FEITO?</w:t>
      </w:r>
    </w:p>
    <w:p>
      <w:pPr>
        <w:spacing w:after="100" w:before="100"/>
      </w:pPr>
      <w:r>
        <w:rPr>
          <w:rFonts w:ascii="Arial" w:cs="Arial" w:eastAsia="Arial" w:hAnsi="Arial"/>
          <w:sz w:val="24"/>
          <w:szCs w:val="24"/>
        </w:rPr>
        <w:t xml:space="preserve">Desenvolver uma plataforma digital voltada ao fortalecimento do ecossistema empreendedor da região de Araras/SP, conectando microempreendedores locais, como donos de bares, lanchonetes e padarias, a fornecedores da própria região. A plataforma funcionará como um hub de conexão e inteligência de mercado, no qual os fornecedores poderão cadastrar seus produtos e ofertas. Os comerciantes poderão sinalizar suas demandas por insumos específicos, como bebidas, laticínios e descartáveis. O sistema promoverá a livre concorrência ao tornar as necessidades do mercado local visíveis a múltiplos fornecedores, incentivando preços mais justos e competitivos. O fechamento dos negócios ocorrerá diretamente entre as partes, sem intermediação financeira da plataforma, preservando o networking pessoal, mas com base em dados concretos de mercado em vez de indicações informais. Essa delimitação de escopo é intencional e evita desvios durante o desenvolvimento: a plataforma conecta compradores e fornecedores, mas não realiza pagamentos nem gerencia estoque.</w:t>
      </w:r>
    </w:p>
    <w:p>
      <w:pPr>
        <w:pStyle w:val="Heading2"/>
        <w:spacing w:after="100" w:before="220"/>
      </w:pPr>
      <w:r>
        <w:rPr>
          <w:rFonts w:ascii="Arial" w:cs="Arial" w:eastAsia="Arial" w:hAnsi="Arial"/>
          <w:b/>
          <w:bCs/>
          <w:color w:val="000000"/>
          <w:sz w:val="26"/>
          <w:szCs w:val="26"/>
        </w:rPr>
        <w:t xml:space="preserve">M (MENSURÁVEL) — COMO O PROGRESSO É MEDIDO?</w:t>
      </w:r>
    </w:p>
    <w:p>
      <w:pPr>
        <w:spacing w:after="100" w:before="100"/>
      </w:pPr>
      <w:r>
        <w:rPr>
          <w:rFonts w:ascii="Arial" w:cs="Arial" w:eastAsia="Arial" w:hAnsi="Arial"/>
          <w:sz w:val="24"/>
          <w:szCs w:val="24"/>
        </w:rPr>
        <w:t xml:space="preserve">As metas mensuráveis do projeto foram estabelecidas com base nos dados da pesquisa de campo exploratória (n=9 comerciantes e n=3 fornecedores, Araras/SP, mar. 2026) e nas condições operacionais definidas nas análises SWOT e de Cenário. Por tratar-se de uma amostra intencional e não representativa do universo total de microempreendedores da cidade, as metas são expressas em números absolutos, permitindo acompanhamento direto e sem dependência de estimativas populacionais não verificadas.</w:t>
      </w:r>
    </w:p>
    <w:p>
      <w:pPr>
        <w:spacing w:after="100" w:before="100"/>
      </w:pPr>
      <w:r>
        <w:rPr>
          <w:rFonts w:ascii="Arial" w:cs="Arial" w:eastAsia="Arial" w:hAnsi="Arial"/>
          <w:sz w:val="24"/>
          <w:szCs w:val="24"/>
        </w:rPr>
        <w:t xml:space="preserve">O Quadro 1 apresenta as metas definidas para o projeto, com as respectivas justificativas de referência.</w:t>
      </w:r>
    </w:p>
    <w:p>
      <w:pPr>
        <w:spacing w:after="80" w:before="160"/>
      </w:pPr>
      <w:r>
        <w:rPr>
          <w:rFonts w:ascii="Arial" w:cs="Arial" w:eastAsia="Arial" w:hAnsi="Arial"/>
          <w:b/>
          <w:bCs/>
          <w:sz w:val="24"/>
          <w:szCs w:val="24"/>
        </w:rPr>
        <w:t xml:space="preserve">Quadro 1 – Metas mensuráveis do projeto (perspectiva do fornecedor)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META</w:t>
            </w:r>
          </w:p>
        </w:tc>
        <w:tc>
          <w:tcPr>
            <w:tcW w:type="dxa" w:w="496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REFERÊNCIA / JUSTIFICATIVA</w:t>
            </w:r>
          </w:p>
        </w:tc>
      </w:tr>
      <w:tr>
        <w:tc>
          <w:tcPr>
            <w:tcW w:type="dxa" w:w="44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Cadastro de pelo menos 10 fornecedores locais antes do lançamento público da plataforma.</w:t>
            </w:r>
          </w:p>
        </w:tc>
        <w:tc>
          <w:tcPr>
            <w:tcW w:type="dxa" w:w="49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Condição do cenário otimista na análise de cenário do projeto. Dos 3 fornecedores pesquisados, 66,7% confirmaram que utilizam a plataforma com certeza e 33,3% que utilizariam com a ressalva de ter tipos de comerciantes específicos na plataforma, sem rejeição à ideia.</w:t>
            </w:r>
          </w:p>
        </w:tc>
      </w:tr>
      <w:tr>
        <w:tc>
          <w:tcPr>
            <w:tcW w:type="dxa" w:w="44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Pelo menos 2 fornecedores cadastrados em cada categoria de insumo mais procurada pelos comerciantes.</w:t>
            </w:r>
          </w:p>
        </w:tc>
        <w:tc>
          <w:tcPr>
            <w:tcW w:type="dxa" w:w="49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Garante que os comerciantes possam comparar preços entre fornecedores, entregando a proposta de valor central da plataforma.</w:t>
            </w:r>
          </w:p>
        </w:tc>
      </w:tr>
      <w:tr>
        <w:tc>
          <w:tcPr>
            <w:tcW w:type="dxa" w:w="44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Pelo menos 40% dos fornecedores cadastrados registram ao menos um produto ativo no sistema no mês seguinte ao lançamento.</w:t>
            </w:r>
          </w:p>
        </w:tc>
        <w:tc>
          <w:tcPr>
            <w:tcW w:type="dxa" w:w="49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Assegura que a plataforma tenha conteúdo real disponível para os comerciantes e valida o engajamento pós-cadastro.</w:t>
            </w:r>
          </w:p>
        </w:tc>
      </w:tr>
    </w:tbl>
    <w:p>
      <w:pPr>
        <w:spacing w:after="200" w:before="80"/>
      </w:pPr>
      <w:r>
        <w:rPr>
          <w:rFonts w:ascii="Arial" w:cs="Arial" w:eastAsia="Arial" w:hAnsi="Arial"/>
          <w:i/>
          <w:iCs/>
          <w:sz w:val="24"/>
          <w:szCs w:val="24"/>
        </w:rPr>
        <w:t xml:space="preserve">Fonte: Elaborado pelos autores com base na pesquisa de campo (Araras/SP, mar. 2026, n=9 comerciantes e n=3 fornecedores, amostra exploratória intencional) e nas análises SWOT e de Cenário do projeto (2026).</w:t>
      </w:r>
    </w:p>
    <w:p>
      <w:pPr>
        <w:spacing w:after="100" w:before="100"/>
      </w:pPr>
      <w:r>
        <w:rPr>
          <w:rFonts w:ascii="Arial" w:cs="Arial" w:eastAsia="Arial" w:hAnsi="Arial"/>
          <w:sz w:val="24"/>
          <w:szCs w:val="24"/>
        </w:rPr>
        <w:t xml:space="preserve">As metas acima são independentes entre si e acompanháveis diretamente pelo painel administrativo da plataforma. A ausência de massa crítica plena não compromete a viabilização em si, mas a evolução de cada indicador orientará as ações estratégicas de engajamento na fase pós-lançamento.</w:t>
      </w:r>
    </w:p>
    <w:p>
      <w:pPr>
        <w:pStyle w:val="Heading2"/>
        <w:spacing w:after="100" w:before="220"/>
      </w:pPr>
      <w:r>
        <w:rPr>
          <w:rFonts w:ascii="Arial" w:cs="Arial" w:eastAsia="Arial" w:hAnsi="Arial"/>
          <w:b/>
          <w:bCs/>
          <w:color w:val="000000"/>
          <w:sz w:val="26"/>
          <w:szCs w:val="26"/>
        </w:rPr>
        <w:t xml:space="preserve">A (ATINGÍVEL) — O QUE FAZER PARA ALCANÇAR A META?</w:t>
      </w:r>
    </w:p>
    <w:p>
      <w:pPr>
        <w:spacing w:after="100" w:before="100"/>
      </w:pPr>
      <w:r>
        <w:rPr>
          <w:rFonts w:ascii="Arial" w:cs="Arial" w:eastAsia="Arial" w:hAnsi="Arial"/>
          <w:sz w:val="24"/>
          <w:szCs w:val="24"/>
        </w:rPr>
        <w:t xml:space="preserve">A atingibilidade das metas estabelecidas é analisada em dois eixos: as ações que viabilizam o engajamento dos usuários e as restrições internas que precisam ser superadas para que o projeto seja entregue dentro do prazo. Para alcançar os microempreendedores, será desenvolvido um plano de comunicação voltado ao contexto local, com aproximação formal à ACIA (Associação Comercial e Industrial de Araras), que pode ampliar a credibilidade da plataforma e facilitar o acesso ao público-alvo. Para os fornecedores, a estratégia prioritária é engajar o lado da oferta antes do lançamento público, uma vez que parte dos comerciantes pesquisados condicionou o uso da plataforma à presença dos fornecedores de seu interesse, lógica de efeito de rede identificada tanto na análise SWOT quanto na análise de Cenário. As restrições de atingibilidade identificadas nas análises anteriores precisam ser monitoradas ativamente. Primeiro, a equipe é reduzida com acúmulo de funções, o que pode causar atrasos em períodos de maior demanda; a mitigação é a distribuição planejada de tarefas com cronograma de entregas parciais, conforme documentado na análise SWOT. Segundo, um plano de contingência para migração de hospedagem será mantido, documentando as configurações de Railway e Render para garantir portabilidade rápida caso os planos gratuitos sejam descontinuados.</w:t>
      </w:r>
    </w:p>
    <w:p>
      <w:pPr>
        <w:pStyle w:val="Heading2"/>
        <w:spacing w:after="100" w:before="220"/>
      </w:pPr>
      <w:r>
        <w:rPr>
          <w:rFonts w:ascii="Arial" w:cs="Arial" w:eastAsia="Arial" w:hAnsi="Arial"/>
          <w:b/>
          <w:bCs/>
          <w:color w:val="000000"/>
          <w:sz w:val="26"/>
          <w:szCs w:val="26"/>
        </w:rPr>
        <w:t xml:space="preserve">R (RELEVANTE) — DE QUE MANEIRA CONTRIBUI PARA O PROJETO?</w:t>
      </w:r>
    </w:p>
    <w:p>
      <w:pPr>
        <w:spacing w:after="100" w:before="100"/>
      </w:pPr>
      <w:r>
        <w:rPr>
          <w:rFonts w:ascii="Arial" w:cs="Arial" w:eastAsia="Arial" w:hAnsi="Arial"/>
          <w:sz w:val="24"/>
          <w:szCs w:val="24"/>
        </w:rPr>
        <w:t xml:space="preserve">Do lado dos fornecedores, observa-se que muitos ainda comercializam seus produtos sem um canal organizado de divulgação junto ao mercado local. A plataforma permitirá que os comerciantes visualizem preços, comparem opções e acessem ofertas de forma mais clara, reduzindo a dependência de indicações informais e facilitando a busca por melhores condições de compra, o que pode contribuir para a redução de custos operacionais em um contexto de margens pressionadas, conforme identificado na análise PESTEL. Para os fornecedores, a plataforma representa uma forma mais organizada de divulgar seus produtos e alcançar mais clientes locais, aumentando sua visibilidade no mercado regional. Ao agregar a demanda local e torná-la visível a múltiplos fornecedores, o Hub tem ainda o potencial de reduzir a assimetria de poder de negociação entre microcomércios e distribuidores regionais, benefício secundário identificado na análise PESTEL. Em termos institucionais, o projeto está alinhado à agenda de digitalização de pequenos negócios promovida pelo Sebrae e ao movimento de valorização de cadeias de fornecimento regionais, fatores que ampliam sua receptividade junto à ACIA e a outros atores locais.</w:t>
      </w:r>
    </w:p>
    <w:p>
      <w:pPr>
        <w:pStyle w:val="Heading2"/>
        <w:spacing w:after="100" w:before="220"/>
      </w:pPr>
      <w:r>
        <w:rPr>
          <w:rFonts w:ascii="Arial" w:cs="Arial" w:eastAsia="Arial" w:hAnsi="Arial"/>
          <w:b/>
          <w:bCs/>
          <w:color w:val="000000"/>
          <w:sz w:val="26"/>
          <w:szCs w:val="26"/>
        </w:rPr>
        <w:t xml:space="preserve">T (TEMPORAL) — QUANDO SERÁ REALIZADO? QUAL O PRAZO?</w:t>
      </w:r>
    </w:p>
    <w:p>
      <w:pPr>
        <w:spacing w:after="100" w:before="100"/>
      </w:pPr>
      <w:r>
        <w:rPr>
          <w:rFonts w:ascii="Arial" w:cs="Arial" w:eastAsia="Arial" w:hAnsi="Arial"/>
          <w:sz w:val="24"/>
          <w:szCs w:val="24"/>
        </w:rPr>
        <w:t xml:space="preserve">O desenvolvimento da plataforma está organizado em etapas com marcos temporais definidos, distribuídas ao longo do período de implementação do projeto. O Quadro 2 apresenta os marcos principais, suas descrições e os prazos de referência.</w:t>
      </w:r>
    </w:p>
    <w:p>
      <w:pPr>
        <w:spacing w:after="80" w:before="160"/>
      </w:pPr>
      <w:r>
        <w:rPr>
          <w:rFonts w:ascii="Arial" w:cs="Arial" w:eastAsia="Arial" w:hAnsi="Arial"/>
          <w:b/>
          <w:bCs/>
          <w:sz w:val="24"/>
          <w:szCs w:val="24"/>
        </w:rPr>
        <w:t xml:space="preserve">Quadro 2 – Marcos temporais do projeto (perspectiva do fornecedor)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ETAPA</w:t>
            </w:r>
          </w:p>
        </w:tc>
        <w:tc>
          <w:tcPr>
            <w:tcW w:type="dxa" w:w="416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DESCRIÇÃO</w:t>
            </w:r>
          </w:p>
        </w:tc>
        <w:tc>
          <w:tcPr>
            <w:tcW w:type="dxa" w:w="320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PRAZO DE REFERÊNCIA</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1 — Conformidade legal</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Elaboração da Política de Privacidade (LGPD) e dos Termos de Uso, consultando materiais da ANPD e do Sebrae. Condição necessária ao lançamento em qualquer cenário.</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Concluída em </w:t>
            </w:r>
            <w:r>
              <w:rPr>
                <w:rFonts w:ascii="Arial" w:cs="Arial" w:eastAsia="Arial" w:hAnsi="Arial"/>
                <w:b/>
                <w:bCs/>
                <w:i/>
                <w:iCs/>
                <w:sz w:val="24"/>
                <w:szCs w:val="24"/>
              </w:rPr>
              <w:t xml:space="preserve">30 dias</w:t>
            </w:r>
            <w:r>
              <w:rPr>
                <w:rFonts w:ascii="Arial" w:cs="Arial" w:eastAsia="Arial" w:hAnsi="Arial"/>
                <w:i/>
                <w:iCs/>
                <w:sz w:val="24"/>
                <w:szCs w:val="24"/>
              </w:rPr>
              <w:t xml:space="preserve"> após o início do projeto.</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2 — Engajamento pré-lançamento</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Cadastramento ativo de fornecedores locais (meta: mínimo 10), com apoio da ACIA. Aproximação formal à associação formalizada antes do lançamento público.</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Realizado entre o </w:t>
            </w:r>
            <w:r>
              <w:rPr>
                <w:rFonts w:ascii="Arial" w:cs="Arial" w:eastAsia="Arial" w:hAnsi="Arial"/>
                <w:b/>
                <w:bCs/>
                <w:i/>
                <w:iCs/>
                <w:sz w:val="24"/>
                <w:szCs w:val="24"/>
              </w:rPr>
              <w:t xml:space="preserve">dia 31 e o dia 80</w:t>
            </w:r>
            <w:r>
              <w:rPr>
                <w:rFonts w:ascii="Arial" w:cs="Arial" w:eastAsia="Arial" w:hAnsi="Arial"/>
                <w:i/>
                <w:iCs/>
                <w:sz w:val="24"/>
                <w:szCs w:val="24"/>
              </w:rPr>
              <w:t xml:space="preserve"> do projeto.</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3 — Lançamento da plataforma</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Disponibilização pública da plataforma com funcionalidades essenciais validadas, documentação legal concluída e base inicial de fornecedores cadastrados.</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A plataforma será lançada oficialmente </w:t>
            </w:r>
            <w:r>
              <w:rPr>
                <w:rFonts w:ascii="Arial" w:cs="Arial" w:eastAsia="Arial" w:hAnsi="Arial"/>
                <w:b/>
                <w:bCs/>
                <w:i/>
                <w:iCs/>
                <w:sz w:val="24"/>
                <w:szCs w:val="24"/>
              </w:rPr>
              <w:t xml:space="preserve">90 dias</w:t>
            </w:r>
            <w:r>
              <w:rPr>
                <w:rFonts w:ascii="Arial" w:cs="Arial" w:eastAsia="Arial" w:hAnsi="Arial"/>
                <w:i/>
                <w:iCs/>
                <w:sz w:val="24"/>
                <w:szCs w:val="24"/>
              </w:rPr>
              <w:t xml:space="preserve"> após o início da implementação.</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4 — Avaliação de adoção inicial</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Acompanhamento dos indicadores mensuráveis definidos no Quadro 1: fornecedores cadastrados, produtos registrados e comerciantes ativos. Auxilia ajustes na estratégia de engajamento.</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Finalizada </w:t>
            </w:r>
            <w:r>
              <w:rPr>
                <w:rFonts w:ascii="Arial" w:cs="Arial" w:eastAsia="Arial" w:hAnsi="Arial"/>
                <w:b/>
                <w:bCs/>
                <w:i/>
                <w:iCs/>
                <w:sz w:val="24"/>
                <w:szCs w:val="24"/>
              </w:rPr>
              <w:t xml:space="preserve">150 dias</w:t>
            </w:r>
            <w:r>
              <w:rPr>
                <w:rFonts w:ascii="Arial" w:cs="Arial" w:eastAsia="Arial" w:hAnsi="Arial"/>
                <w:i/>
                <w:iCs/>
                <w:sz w:val="24"/>
                <w:szCs w:val="24"/>
              </w:rPr>
              <w:t xml:space="preserve"> após o início (60 dias após o lançamento).</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5 — Encerramento da Fase de Implementação e Relatório de Impacto</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Consolidação dos dados de mercado, validação do modelo de negócios e entrega dos resultados finais de performance da plataforma após o primeiro ciclo de operação.</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O projeto será finalizado em </w:t>
            </w:r>
            <w:r>
              <w:rPr>
                <w:rFonts w:ascii="Arial" w:cs="Arial" w:eastAsia="Arial" w:hAnsi="Arial"/>
                <w:b/>
                <w:bCs/>
                <w:i/>
                <w:iCs/>
                <w:sz w:val="24"/>
                <w:szCs w:val="24"/>
              </w:rPr>
              <w:t xml:space="preserve">180 dias</w:t>
            </w:r>
            <w:r>
              <w:rPr>
                <w:rFonts w:ascii="Arial" w:cs="Arial" w:eastAsia="Arial" w:hAnsi="Arial"/>
                <w:i/>
                <w:iCs/>
                <w:sz w:val="24"/>
                <w:szCs w:val="24"/>
              </w:rPr>
              <w:t xml:space="preserve"> após o início.</w:t>
            </w:r>
          </w:p>
        </w:tc>
      </w:tr>
    </w:tbl>
    <w:p>
      <w:pPr>
        <w:spacing w:after="200" w:before="80"/>
      </w:pPr>
      <w:r>
        <w:rPr>
          <w:rFonts w:ascii="Arial" w:cs="Arial" w:eastAsia="Arial" w:hAnsi="Arial"/>
          <w:i/>
          <w:iCs/>
          <w:sz w:val="24"/>
          <w:szCs w:val="24"/>
        </w:rPr>
        <w:t xml:space="preserve">Fonte: Elaborado pelos autores com base no cronograma do projeto e nas análises SWOT e de Cenário (2026).</w:t>
      </w:r>
    </w:p>
    <w:p>
      <w:pPr>
        <w:spacing w:after="100" w:before="100"/>
      </w:pPr>
      <w:r>
        <w:rPr>
          <w:rFonts w:ascii="Arial" w:cs="Arial" w:eastAsia="Arial" w:hAnsi="Arial"/>
          <w:sz w:val="24"/>
          <w:szCs w:val="24"/>
        </w:rPr>
        <w:t xml:space="preserve">A sequência de prioridades segue a lógica estabelecida na análise de Cenário: (1) conformidade legal, como pré-condição ao lançamento; (2) engajamento de fornecedores, como fator determinante da viabilidade do modelo; e (3) adoção pelos comerciantes, a ser intensificada conforme os fornecedores sejam incorporados à plataforma. Essa ordenação reconhece o efeito de rede característico de plataformas de dois lados e organiza as entregas de forma a maximizar as chances de o projeto se aproximar do cenário realista, ou otimista projetado.</w:t>
      </w:r>
    </w:p>
    <w:p>
      <w:pPr>
        <w:pStyle w:val="Heading1"/>
        <w:spacing w:after="120" w:before="280"/>
      </w:pPr>
      <w:r>
        <w:rPr>
          <w:rFonts w:ascii="Arial" w:cs="Arial" w:eastAsia="Arial" w:hAnsi="Arial"/>
          <w:b/>
          <w:bCs/>
          <w:color w:val="000000"/>
          <w:sz w:val="28"/>
          <w:szCs w:val="28"/>
        </w:rPr>
        <w:t xml:space="preserve">3 ANÁLISE SMART: PERSPECTIVA DO COMERCIANTE</w:t>
      </w:r>
    </w:p>
    <w:p>
      <w:pPr>
        <w:pStyle w:val="Heading2"/>
        <w:spacing w:after="100" w:before="220"/>
      </w:pPr>
      <w:r>
        <w:rPr>
          <w:rFonts w:ascii="Arial" w:cs="Arial" w:eastAsia="Arial" w:hAnsi="Arial"/>
          <w:b/>
          <w:bCs/>
          <w:color w:val="000000"/>
          <w:sz w:val="26"/>
          <w:szCs w:val="26"/>
        </w:rPr>
        <w:t xml:space="preserve">S (ESPECÍFICO) — O QUE DE FATO SERÁ FEITO?</w:t>
      </w:r>
    </w:p>
    <w:p>
      <w:pPr>
        <w:spacing w:after="100" w:before="100"/>
      </w:pPr>
      <w:r>
        <w:rPr>
          <w:rFonts w:ascii="Arial" w:cs="Arial" w:eastAsia="Arial" w:hAnsi="Arial"/>
          <w:sz w:val="24"/>
          <w:szCs w:val="24"/>
        </w:rPr>
        <w:t xml:space="preserve">Desenvolver uma plataforma digital voltada ao fortalecimento do ecossistema empreendedor da região de Araras/SP, conectando microempreendedores locais, como donos de bares, lanchonetes e padarias, a fornecedores da própria região. Os comerciantes poderão sinalizar suas demandas por insumos específicos, como bebidas, laticínios e descartáveis. O sistema promoverá a livre concorrência ao tornar as necessidades do mercado local visíveis a múltiplos fornecedores, incentivando preços mais justos e competitivos. O fechamento dos negócios ocorrerá diretamente entre as partes, sem intermediação financeira da plataforma, preservando o networking pessoal, mas com base em dados concretos de mercado em vez de indicações informais. Essa delimitação de escopo é intencional e evita desvios durante o desenvolvimento: a plataforma conecta compradores e fornecedores, mas não realiza pagamentos nem gerencia estoque.</w:t>
      </w:r>
    </w:p>
    <w:p>
      <w:pPr>
        <w:pStyle w:val="Heading2"/>
        <w:spacing w:after="100" w:before="220"/>
      </w:pPr>
      <w:r>
        <w:rPr>
          <w:rFonts w:ascii="Arial" w:cs="Arial" w:eastAsia="Arial" w:hAnsi="Arial"/>
          <w:b/>
          <w:bCs/>
          <w:color w:val="000000"/>
          <w:sz w:val="26"/>
          <w:szCs w:val="26"/>
        </w:rPr>
        <w:t xml:space="preserve">M (MENSURÁVEL) — COMO O PROGRESSO É MEDIDO?</w:t>
      </w:r>
    </w:p>
    <w:p>
      <w:pPr>
        <w:spacing w:after="100" w:before="100"/>
      </w:pPr>
      <w:r>
        <w:rPr>
          <w:rFonts w:ascii="Arial" w:cs="Arial" w:eastAsia="Arial" w:hAnsi="Arial"/>
          <w:sz w:val="24"/>
          <w:szCs w:val="24"/>
        </w:rPr>
        <w:t xml:space="preserve">As metas mensuráveis do projeto foram estabelecidas com base nos dados da pesquisa de campo exploratória (n=9 comerciantes e n=3 fornecedores, Araras/SP, mar. 2026) e nas condições operacionais definidas nas análises SWOT e de Cenário. Por tratar-se de uma amostra intencional, as metas são expressas em números absolutos. O Quadro 3 apresenta a meta definida para os comerciantes locais.</w:t>
      </w:r>
    </w:p>
    <w:p>
      <w:pPr>
        <w:spacing w:after="80" w:before="160"/>
      </w:pPr>
      <w:r>
        <w:rPr>
          <w:rFonts w:ascii="Arial" w:cs="Arial" w:eastAsia="Arial" w:hAnsi="Arial"/>
          <w:b/>
          <w:bCs/>
          <w:sz w:val="24"/>
          <w:szCs w:val="24"/>
        </w:rPr>
        <w:t xml:space="preserve">Quadro 3 – Metas mensuráveis do projeto (perspectiva do comerciante)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META</w:t>
            </w:r>
          </w:p>
        </w:tc>
        <w:tc>
          <w:tcPr>
            <w:tcW w:type="dxa" w:w="496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REFERÊNCIA / JUSTIFICATIVA</w:t>
            </w:r>
          </w:p>
        </w:tc>
      </w:tr>
      <w:tr>
        <w:tc>
          <w:tcPr>
            <w:tcW w:type="dxa" w:w="44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Uso ativo da plataforma por pelo menos 15 comerciantes nos primeiros 60 dias após o lançamento.</w:t>
            </w:r>
          </w:p>
        </w:tc>
        <w:tc>
          <w:tcPr>
            <w:tcW w:type="dxa" w:w="49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Meta absoluta compatível com a intenção de uso declarada na pesquisa: 88,9% dos comerciantes declararam intenção favorável de uso (55,6% utilizariam com certeza e 33,3% utilizariam caso os fornecedores de interesse estivessem cadastrados). Reconhece, contudo, que intenção declarada e adoção real divergem, conforme alerta a análise de cenário.</w:t>
            </w:r>
          </w:p>
        </w:tc>
      </w:tr>
    </w:tbl>
    <w:p>
      <w:pPr>
        <w:spacing w:after="200" w:before="80"/>
      </w:pPr>
      <w:r>
        <w:rPr>
          <w:rFonts w:ascii="Arial" w:cs="Arial" w:eastAsia="Arial" w:hAnsi="Arial"/>
          <w:i/>
          <w:iCs/>
          <w:sz w:val="24"/>
          <w:szCs w:val="24"/>
        </w:rPr>
        <w:t xml:space="preserve">As metas acima são acompanháveis diretamente pelo painel administrativo da plataforma. A evolução de cada indicador orientará as ações estratégicas de engajamento na fase pós-lançamento.</w:t>
      </w:r>
    </w:p>
    <w:p>
      <w:pPr>
        <w:pStyle w:val="Heading2"/>
        <w:spacing w:after="100" w:before="220"/>
      </w:pPr>
      <w:r>
        <w:rPr>
          <w:rFonts w:ascii="Arial" w:cs="Arial" w:eastAsia="Arial" w:hAnsi="Arial"/>
          <w:b/>
          <w:bCs/>
          <w:color w:val="000000"/>
          <w:sz w:val="26"/>
          <w:szCs w:val="26"/>
        </w:rPr>
        <w:t xml:space="preserve">A (ATINGÍVEL) — O QUE FAZER PARA ALCANÇAR A META?</w:t>
      </w:r>
    </w:p>
    <w:p>
      <w:pPr>
        <w:spacing w:after="100" w:before="100"/>
      </w:pPr>
      <w:r>
        <w:rPr>
          <w:rFonts w:ascii="Arial" w:cs="Arial" w:eastAsia="Arial" w:hAnsi="Arial"/>
          <w:sz w:val="24"/>
          <w:szCs w:val="24"/>
        </w:rPr>
        <w:t xml:space="preserve">A atingibilidade das metas estabelecidas é analisada em dois eixos: as ações que viabilizam o engajamento dos usuários e as restrições internas que precisam ser superadas para que o projeto seja entregue dentro do prazo. Para alcançar os microempreendedores, será desenvolvido um plano de comunicação voltado ao contexto local, com aproximação formal à ACIA (Associação Comercial e Industrial de Araras), que pode ampliar a credibilidade da plataforma e facilitar o acesso ao público-alvo. As restrições de atingibilidade identificadas nas análises anteriores são duas: primeiro, a equipe é reduzida com acúmulo de funções; a mitigação é a distribuição planejada de tarefas com cronograma de entregas parciais. Segundo, um plano de contingência para migração de hospedagem será mantido para garantir portabilidade rápida caso os planos gratuitos sejam descontinuados.</w:t>
      </w:r>
    </w:p>
    <w:p>
      <w:pPr>
        <w:pStyle w:val="Heading2"/>
        <w:spacing w:after="100" w:before="220"/>
      </w:pPr>
      <w:r>
        <w:rPr>
          <w:rFonts w:ascii="Arial" w:cs="Arial" w:eastAsia="Arial" w:hAnsi="Arial"/>
          <w:b/>
          <w:bCs/>
          <w:color w:val="000000"/>
          <w:sz w:val="26"/>
          <w:szCs w:val="26"/>
        </w:rPr>
        <w:t xml:space="preserve">R (RELEVANTE) — DE QUE MANEIRA CONTRIBUI PARA O PROJETO?</w:t>
      </w:r>
    </w:p>
    <w:p>
      <w:pPr>
        <w:spacing w:after="100" w:before="100"/>
      </w:pPr>
      <w:r>
        <w:rPr>
          <w:rFonts w:ascii="Arial" w:cs="Arial" w:eastAsia="Arial" w:hAnsi="Arial"/>
          <w:sz w:val="24"/>
          <w:szCs w:val="24"/>
        </w:rPr>
        <w:t xml:space="preserve">O projeto atende a uma necessidade real ainda não suprida na parcela empreendedora de Araras/SP. A pesquisa evidenciou que nenhum dos comerciantes entrevistados utiliza ferramentas digitais para cotação de fornecedores, realizando esse processo de forma manual e informal, por indicação de conhecidos (33,3%) ou raramente buscando novos fornecedores por hábito (11,1%). A plataforma permitirá que os comerciantes visualizem preços, comparem opções e acessem ofertas de forma mais clara, reduzindo a dependência de indicações informais e facilitando a busca por melhores condições de compra, o que pode contribuir para a redução de custos operacionais em um contexto de margens pressionadas, conforme identificado na análise PESTEL. Em termos institucionais, o projeto está alinhado à agenda de digitalização de pequenos negócios promovida pelo Sebrae e ao movimento de valorização de cadeias de fornecimento regionais, fatores que ampliam sua receptividade junto à ACIA e a outros atores locais.</w:t>
      </w:r>
    </w:p>
    <w:p>
      <w:pPr>
        <w:pStyle w:val="Heading2"/>
        <w:spacing w:after="100" w:before="220"/>
      </w:pPr>
      <w:r>
        <w:rPr>
          <w:rFonts w:ascii="Arial" w:cs="Arial" w:eastAsia="Arial" w:hAnsi="Arial"/>
          <w:b/>
          <w:bCs/>
          <w:color w:val="000000"/>
          <w:sz w:val="26"/>
          <w:szCs w:val="26"/>
        </w:rPr>
        <w:t xml:space="preserve">T (TEMPORAL) — QUANDO SERÁ REALIZADO? QUAL O PRAZO?</w:t>
      </w:r>
    </w:p>
    <w:p>
      <w:pPr>
        <w:spacing w:after="100" w:before="100"/>
      </w:pPr>
      <w:r>
        <w:rPr>
          <w:rFonts w:ascii="Arial" w:cs="Arial" w:eastAsia="Arial" w:hAnsi="Arial"/>
          <w:sz w:val="24"/>
          <w:szCs w:val="24"/>
        </w:rPr>
        <w:t xml:space="preserve">A implementação das metas para os comerciantes está organizada nos marcos temporais abaixo:</w:t>
      </w:r>
    </w:p>
    <w:p>
      <w:pPr>
        <w:spacing w:after="80" w:before="160"/>
      </w:pPr>
      <w:r>
        <w:rPr>
          <w:rFonts w:ascii="Arial" w:cs="Arial" w:eastAsia="Arial" w:hAnsi="Arial"/>
          <w:b/>
          <w:bCs/>
          <w:sz w:val="24"/>
          <w:szCs w:val="24"/>
        </w:rPr>
        <w:t xml:space="preserve">Quadro 4 – Marcos temporais do projeto (perspectiva do comerciante)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ETAPA</w:t>
            </w:r>
          </w:p>
        </w:tc>
        <w:tc>
          <w:tcPr>
            <w:tcW w:type="dxa" w:w="416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DESCRIÇÃO</w:t>
            </w:r>
          </w:p>
        </w:tc>
        <w:tc>
          <w:tcPr>
            <w:tcW w:type="dxa" w:w="320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PRAZO DE REFERÊNCIA</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1 — Conformidade legal</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Elaboração da Política de Privacidade (LGPD) e dos Termos de Uso, consultando materiais da ANPD e do Sebrae. Condição necessária ao lançamento em qualquer cenário.</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Concluída em </w:t>
            </w:r>
            <w:r>
              <w:rPr>
                <w:rFonts w:ascii="Arial" w:cs="Arial" w:eastAsia="Arial" w:hAnsi="Arial"/>
                <w:b/>
                <w:bCs/>
                <w:i/>
                <w:iCs/>
                <w:sz w:val="24"/>
                <w:szCs w:val="24"/>
              </w:rPr>
              <w:t xml:space="preserve">30 dias</w:t>
            </w:r>
            <w:r>
              <w:rPr>
                <w:rFonts w:ascii="Arial" w:cs="Arial" w:eastAsia="Arial" w:hAnsi="Arial"/>
                <w:i/>
                <w:iCs/>
                <w:sz w:val="24"/>
                <w:szCs w:val="24"/>
              </w:rPr>
              <w:t xml:space="preserve"> após o início do projeto.</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2 — Validação de Interface</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Ajustes na interface de sinalização de demandas para garantir usabilidade pelos microempreendedores.</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Concluída em </w:t>
            </w:r>
            <w:r>
              <w:rPr>
                <w:rFonts w:ascii="Arial" w:cs="Arial" w:eastAsia="Arial" w:hAnsi="Arial"/>
                <w:b/>
                <w:bCs/>
                <w:i/>
                <w:iCs/>
                <w:sz w:val="24"/>
                <w:szCs w:val="24"/>
              </w:rPr>
              <w:t xml:space="preserve">60 dias</w:t>
            </w:r>
            <w:r>
              <w:rPr>
                <w:rFonts w:ascii="Arial" w:cs="Arial" w:eastAsia="Arial" w:hAnsi="Arial"/>
                <w:i/>
                <w:iCs/>
                <w:sz w:val="24"/>
                <w:szCs w:val="24"/>
              </w:rPr>
              <w:t xml:space="preserve"> após o início do projeto.</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3 — Lançamento da plataforma</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Disponibilização oficial para uso dos comerciantes de Araras/SP.</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Realizado </w:t>
            </w:r>
            <w:r>
              <w:rPr>
                <w:rFonts w:ascii="Arial" w:cs="Arial" w:eastAsia="Arial" w:hAnsi="Arial"/>
                <w:b/>
                <w:bCs/>
                <w:i/>
                <w:iCs/>
                <w:sz w:val="24"/>
                <w:szCs w:val="24"/>
              </w:rPr>
              <w:t xml:space="preserve">90 dias</w:t>
            </w:r>
            <w:r>
              <w:rPr>
                <w:rFonts w:ascii="Arial" w:cs="Arial" w:eastAsia="Arial" w:hAnsi="Arial"/>
                <w:i/>
                <w:iCs/>
                <w:sz w:val="24"/>
                <w:szCs w:val="24"/>
              </w:rPr>
              <w:t xml:space="preserve"> após o início do projeto.</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4 — Avaliação de adoção inicial</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Monitoramento da meta de 15 comerciantes ativos realizando demandas no sistema.</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Finalizada </w:t>
            </w:r>
            <w:r>
              <w:rPr>
                <w:rFonts w:ascii="Arial" w:cs="Arial" w:eastAsia="Arial" w:hAnsi="Arial"/>
                <w:b/>
                <w:bCs/>
                <w:i/>
                <w:iCs/>
                <w:sz w:val="24"/>
                <w:szCs w:val="24"/>
              </w:rPr>
              <w:t xml:space="preserve">150 dias</w:t>
            </w:r>
            <w:r>
              <w:rPr>
                <w:rFonts w:ascii="Arial" w:cs="Arial" w:eastAsia="Arial" w:hAnsi="Arial"/>
                <w:i/>
                <w:iCs/>
                <w:sz w:val="24"/>
                <w:szCs w:val="24"/>
              </w:rPr>
              <w:t xml:space="preserve"> após o início (60 dias pós-lançamento).</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5 — Entrega dos Resultados</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Consolidação dos dados de uso e impacto na rotina de compras do comércio local.</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Finalizado em </w:t>
            </w:r>
            <w:r>
              <w:rPr>
                <w:rFonts w:ascii="Arial" w:cs="Arial" w:eastAsia="Arial" w:hAnsi="Arial"/>
                <w:b/>
                <w:bCs/>
                <w:i/>
                <w:iCs/>
                <w:sz w:val="24"/>
                <w:szCs w:val="24"/>
              </w:rPr>
              <w:t xml:space="preserve">180 dias</w:t>
            </w:r>
            <w:r>
              <w:rPr>
                <w:rFonts w:ascii="Arial" w:cs="Arial" w:eastAsia="Arial" w:hAnsi="Arial"/>
                <w:i/>
                <w:iCs/>
                <w:sz w:val="24"/>
                <w:szCs w:val="24"/>
              </w:rPr>
              <w:t xml:space="preserve"> após o início do projeto.</w:t>
            </w:r>
          </w:p>
        </w:tc>
      </w:tr>
    </w:tbl>
    <w:p>
      <w:pPr>
        <w:spacing w:after="200" w:before="80"/>
      </w:pPr>
      <w:r>
        <w:rPr>
          <w:rFonts w:ascii="Arial" w:cs="Arial" w:eastAsia="Arial" w:hAnsi="Arial"/>
          <w:i/>
          <w:iCs/>
          <w:sz w:val="24"/>
          <w:szCs w:val="24"/>
        </w:rPr>
        <w:t xml:space="preserve">Fonte: Elaborado pelos autores com base no cronograma do projeto e nas análises SWOT e de Cenário (2026).</w:t>
      </w:r>
    </w:p>
    <w:p>
      <w:pPr>
        <w:pStyle w:val="Heading1"/>
        <w:spacing w:after="120" w:before="280"/>
      </w:pPr>
      <w:r>
        <w:rPr>
          <w:rFonts w:ascii="Arial" w:cs="Arial" w:eastAsia="Arial" w:hAnsi="Arial"/>
          <w:b/>
          <w:bCs/>
          <w:color w:val="000000"/>
          <w:sz w:val="28"/>
          <w:szCs w:val="28"/>
        </w:rPr>
        <w:t xml:space="preserve">4 ANÁLISE SMART: VISÃO GERAL</w:t>
      </w:r>
    </w:p>
    <w:p>
      <w:pPr>
        <w:pStyle w:val="Heading2"/>
        <w:spacing w:after="100" w:before="220"/>
      </w:pPr>
      <w:r>
        <w:rPr>
          <w:rFonts w:ascii="Arial" w:cs="Arial" w:eastAsia="Arial" w:hAnsi="Arial"/>
          <w:b/>
          <w:bCs/>
          <w:color w:val="000000"/>
          <w:sz w:val="26"/>
          <w:szCs w:val="26"/>
        </w:rPr>
        <w:t xml:space="preserve">S (ESPECÍFICO) — O QUE DE FATO SERÁ FEITO?</w:t>
      </w:r>
    </w:p>
    <w:p>
      <w:pPr>
        <w:spacing w:after="100" w:before="100"/>
      </w:pPr>
      <w:r>
        <w:rPr>
          <w:rFonts w:ascii="Arial" w:cs="Arial" w:eastAsia="Arial" w:hAnsi="Arial"/>
          <w:sz w:val="24"/>
          <w:szCs w:val="24"/>
        </w:rPr>
        <w:t xml:space="preserve">Desenvolver uma plataforma digital voltada ao fortalecimento do ecossistema empreendedor da região de Araras/SP, conectando microempreendedores locais, como donos de bares, lanchonetes e padarias, a fornecedores da própria região. A plataforma funcionará como um hub de conexão e inteligência de mercado, no qual os fornecedores poderão cadastrar seus produtos e ofertas e os comerciantes poderão sinalizar suas demandas por insumos específicos, como bebidas, laticínios e descartáveis.</w:t>
      </w:r>
    </w:p>
    <w:p>
      <w:pPr>
        <w:spacing w:after="100" w:before="100"/>
      </w:pPr>
      <w:r>
        <w:rPr>
          <w:rFonts w:ascii="Arial" w:cs="Arial" w:eastAsia="Arial" w:hAnsi="Arial"/>
          <w:sz w:val="24"/>
          <w:szCs w:val="24"/>
        </w:rPr>
        <w:t xml:space="preserve">O sistema promoverá a livre concorrência ao tornar as necessidades do mercado local visíveis a múltiplos fornecedores, incentivando preços mais justos e competitivos. O fechamento dos negócios ocorrerá diretamente entre as partes, sem intermediação financeira da plataforma, preservando o networking pessoal, mas com base em dados concretos de mercado em vez de indicações informais. Essa delimitação de escopo é intencional e evita desvios durante o desenvolvimento: a plataforma conecta compradores e fornecedores, mas não realiza pagamentos nem gerencia estoque.</w:t>
      </w:r>
    </w:p>
    <w:p>
      <w:pPr>
        <w:pStyle w:val="Heading2"/>
        <w:spacing w:after="100" w:before="220"/>
      </w:pPr>
      <w:r>
        <w:rPr>
          <w:rFonts w:ascii="Arial" w:cs="Arial" w:eastAsia="Arial" w:hAnsi="Arial"/>
          <w:b/>
          <w:bCs/>
          <w:color w:val="000000"/>
          <w:sz w:val="26"/>
          <w:szCs w:val="26"/>
        </w:rPr>
        <w:t xml:space="preserve">M (MENSURÁVEL) — COMO O PROGRESSO É MEDIDO?</w:t>
      </w:r>
    </w:p>
    <w:p>
      <w:pPr>
        <w:spacing w:after="100" w:before="100"/>
      </w:pPr>
      <w:r>
        <w:rPr>
          <w:rFonts w:ascii="Arial" w:cs="Arial" w:eastAsia="Arial" w:hAnsi="Arial"/>
          <w:sz w:val="24"/>
          <w:szCs w:val="24"/>
        </w:rPr>
        <w:t xml:space="preserve">As metas mensuráveis do projeto foram estabelecidas com base nos dados da pesquisa de campo exploratória (n=9 comerciantes e n=3 fornecedores, Araras/SP, mar. 2026) e nas condições operacionais definidas nas análises SWOT e de Cenário. Por tratar-se de uma amostra intencional e não representativa do universo total de microempreendedores da cidade, as metas são expressas em números absolutos, permitindo acompanhamento direto e sem dependência de estimativas populacionais não verificadas.</w:t>
      </w:r>
    </w:p>
    <w:p>
      <w:pPr>
        <w:spacing w:after="100" w:before="100"/>
      </w:pPr>
      <w:r>
        <w:rPr>
          <w:rFonts w:ascii="Arial" w:cs="Arial" w:eastAsia="Arial" w:hAnsi="Arial"/>
          <w:sz w:val="24"/>
          <w:szCs w:val="24"/>
        </w:rPr>
        <w:t xml:space="preserve">O Quadro 5 apresenta as metas consolidadas do projeto, integrando as perspectivas do fornecedor e do comerciante.</w:t>
      </w:r>
    </w:p>
    <w:p>
      <w:pPr>
        <w:spacing w:after="80" w:before="160"/>
      </w:pPr>
      <w:r>
        <w:rPr>
          <w:rFonts w:ascii="Arial" w:cs="Arial" w:eastAsia="Arial" w:hAnsi="Arial"/>
          <w:b/>
          <w:bCs/>
          <w:sz w:val="24"/>
          <w:szCs w:val="24"/>
        </w:rPr>
        <w:t xml:space="preserve">Quadro 5 – Metas mensuráveis consolidadas do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META</w:t>
            </w:r>
          </w:p>
        </w:tc>
        <w:tc>
          <w:tcPr>
            <w:tcW w:type="dxa" w:w="496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REFERÊNCIA / JUSTIFICATIVA</w:t>
            </w:r>
          </w:p>
        </w:tc>
      </w:tr>
      <w:tr>
        <w:tc>
          <w:tcPr>
            <w:tcW w:type="dxa" w:w="44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Cadastro de pelo menos 10 fornecedores locais antes do lançamento público da plataforma.</w:t>
            </w:r>
          </w:p>
        </w:tc>
        <w:tc>
          <w:tcPr>
            <w:tcW w:type="dxa" w:w="49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Condição do cenário otimista. Dos 3 fornecedores pesquisados, 66,7% confirmaram uso com certeza e 33,3% utilizariam com ressalvas, sem rejeição à ideia.</w:t>
            </w:r>
          </w:p>
        </w:tc>
      </w:tr>
      <w:tr>
        <w:tc>
          <w:tcPr>
            <w:tcW w:type="dxa" w:w="44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Pelo menos 2 fornecedores cadastrados em cada categoria de insumo mais procurada pelos comerciantes.</w:t>
            </w:r>
          </w:p>
        </w:tc>
        <w:tc>
          <w:tcPr>
            <w:tcW w:type="dxa" w:w="49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Garante que os comerciantes possam comparar preços entre fornecedores, entregando a proposta de valor central da plataforma.</w:t>
            </w:r>
          </w:p>
        </w:tc>
      </w:tr>
      <w:tr>
        <w:tc>
          <w:tcPr>
            <w:tcW w:type="dxa" w:w="44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Pelo menos 40% dos fornecedores cadastrados registram ao menos um produto ativo no sistema no mês seguinte ao lançamento.</w:t>
            </w:r>
          </w:p>
        </w:tc>
        <w:tc>
          <w:tcPr>
            <w:tcW w:type="dxa" w:w="49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Assegura conteúdo real disponível para os comerciantes e valida o engajamento pós-cadastro.</w:t>
            </w:r>
          </w:p>
        </w:tc>
      </w:tr>
      <w:tr>
        <w:tc>
          <w:tcPr>
            <w:tcW w:type="dxa" w:w="44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Uso ativo da plataforma por pelo menos 15 comerciantes nos primeiros 60 dias após o lançamento.</w:t>
            </w:r>
          </w:p>
        </w:tc>
        <w:tc>
          <w:tcPr>
            <w:tcW w:type="dxa" w:w="49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Meta absoluta compatível com a intenção de uso declarada na pesquisa (88,9% favoráveis). Reconhece que intenção declarada e adoção real divergem, conforme alerta a análise de cenário.</w:t>
            </w:r>
          </w:p>
        </w:tc>
      </w:tr>
    </w:tbl>
    <w:p>
      <w:pPr>
        <w:spacing w:after="200" w:before="80"/>
      </w:pPr>
      <w:r>
        <w:rPr>
          <w:rFonts w:ascii="Arial" w:cs="Arial" w:eastAsia="Arial" w:hAnsi="Arial"/>
          <w:i/>
          <w:iCs/>
          <w:sz w:val="24"/>
          <w:szCs w:val="24"/>
        </w:rPr>
        <w:t xml:space="preserve">Fonte: Elaborado pelos autores com base na pesquisa de campo (Araras/SP, mar. 2026, n=9 comerciantes e n=3 fornecedores, amostra exploratória intencional) e nas análises SWOT e de Cenário do projeto (2026).</w:t>
      </w:r>
    </w:p>
    <w:p>
      <w:pPr>
        <w:spacing w:after="100" w:before="100"/>
      </w:pPr>
      <w:r>
        <w:rPr>
          <w:rFonts w:ascii="Arial" w:cs="Arial" w:eastAsia="Arial" w:hAnsi="Arial"/>
          <w:sz w:val="24"/>
          <w:szCs w:val="24"/>
        </w:rPr>
        <w:t xml:space="preserve">As metas acima são independentes entre si e acompanháveis diretamente pelo painel administrativo da plataforma. A ausência de massa crítica plena não compromete a viabilização em si, mas a evolução de cada indicador orientará as ações estratégicas de engajamento na fase pós-lançamento.</w:t>
      </w:r>
    </w:p>
    <w:p>
      <w:pPr>
        <w:pStyle w:val="Heading2"/>
        <w:spacing w:after="100" w:before="220"/>
      </w:pPr>
      <w:r>
        <w:rPr>
          <w:rFonts w:ascii="Arial" w:cs="Arial" w:eastAsia="Arial" w:hAnsi="Arial"/>
          <w:b/>
          <w:bCs/>
          <w:color w:val="000000"/>
          <w:sz w:val="26"/>
          <w:szCs w:val="26"/>
        </w:rPr>
        <w:t xml:space="preserve">A (ATINGÍVEL) — O QUE FAZER PARA ALCANÇAR A META?</w:t>
      </w:r>
    </w:p>
    <w:p>
      <w:pPr>
        <w:spacing w:after="100" w:before="100"/>
      </w:pPr>
      <w:r>
        <w:rPr>
          <w:rFonts w:ascii="Arial" w:cs="Arial" w:eastAsia="Arial" w:hAnsi="Arial"/>
          <w:sz w:val="24"/>
          <w:szCs w:val="24"/>
        </w:rPr>
        <w:t xml:space="preserve">A atingibilidade das metas estabelecidas é analisada em dois eixos: as ações que viabilizam o engajamento dos usuários e as restrições internas que precisam ser superadas para que o projeto seja entregue dentro do prazo.</w:t>
      </w:r>
    </w:p>
    <w:p>
      <w:pPr>
        <w:spacing w:after="100" w:before="100"/>
      </w:pPr>
      <w:r>
        <w:rPr>
          <w:rFonts w:ascii="Arial" w:cs="Arial" w:eastAsia="Arial" w:hAnsi="Arial"/>
          <w:sz w:val="24"/>
          <w:szCs w:val="24"/>
        </w:rPr>
        <w:t xml:space="preserve">Para alcançar os microempreendedores, será desenvolvido um plano de comunicação voltado ao contexto local, com aproximação formal à ACIA (Associação Comercial e Industrial de Araras), que pode ampliar a credibilidade da plataforma e facilitar o acesso ao público-alvo. Para os fornecedores, a estratégia prioritária é engajar o lado da oferta antes do lançamento público, uma vez que parte dos comerciantes pesquisados condicionou o uso da plataforma à presença dos fornecedores de seu interesse, lógica de efeito de rede identificada tanto na análise SWOT quanto na análise de Cenário.</w:t>
      </w:r>
    </w:p>
    <w:p>
      <w:pPr>
        <w:spacing w:after="100" w:before="100"/>
      </w:pPr>
      <w:r>
        <w:rPr>
          <w:rFonts w:ascii="Arial" w:cs="Arial" w:eastAsia="Arial" w:hAnsi="Arial"/>
          <w:sz w:val="24"/>
          <w:szCs w:val="24"/>
        </w:rPr>
        <w:t xml:space="preserve">As restrições de atingibilidade identificadas nas análises anteriores precisam ser monitoradas ativamente. Primeiro, a equipe é reduzida com acúmulo de funções, o que pode causar atrasos em períodos de maior demanda; a mitigação é a distribuição planejada de tarefas com cronograma de entregas parciais, conforme documentado na análise SWOT. Segundo, a conformidade legal ainda está pendente: a Política de Privacidade (LGPD) e os Termos de Uso precisam ser elaborados antes do lançamento, sendo condição necessária em qualquer dos três cenários projetados; a mitigação é a consulta antecipada aos materiais da ANPD e do Sebrae. Além disso, um plano de contingência para migração de hospedagem será mantido, documentando as configurações de Railway e Render para garantir portabilidade rápida caso os planos gratuitos sejam descontinuados.</w:t>
      </w:r>
    </w:p>
    <w:p>
      <w:pPr>
        <w:pStyle w:val="Heading2"/>
        <w:spacing w:after="100" w:before="220"/>
      </w:pPr>
      <w:r>
        <w:rPr>
          <w:rFonts w:ascii="Arial" w:cs="Arial" w:eastAsia="Arial" w:hAnsi="Arial"/>
          <w:b/>
          <w:bCs/>
          <w:color w:val="000000"/>
          <w:sz w:val="26"/>
          <w:szCs w:val="26"/>
        </w:rPr>
        <w:t xml:space="preserve">R (RELEVANTE) — DE QUE MANEIRA CONTRIBUI PARA O PROJETO?</w:t>
      </w:r>
    </w:p>
    <w:p>
      <w:pPr>
        <w:spacing w:after="100" w:before="100"/>
      </w:pPr>
      <w:r>
        <w:rPr>
          <w:rFonts w:ascii="Arial" w:cs="Arial" w:eastAsia="Arial" w:hAnsi="Arial"/>
          <w:sz w:val="24"/>
          <w:szCs w:val="24"/>
        </w:rPr>
        <w:t xml:space="preserve">O projeto atende a uma necessidade real ainda não suprida na parcela empreendedora de Araras/SP. A pesquisa evidenciou que nenhum dos comerciantes entrevistados utiliza ferramentas digitais para cotação de fornecedores, realizando esse processo de forma manual e informal, por indicação de conhecidos (33,3%) ou raramente buscando novos fornecedores por hábito (11,1%).</w:t>
      </w:r>
    </w:p>
    <w:p>
      <w:pPr>
        <w:spacing w:after="100" w:before="100"/>
      </w:pPr>
      <w:r>
        <w:rPr>
          <w:rFonts w:ascii="Arial" w:cs="Arial" w:eastAsia="Arial" w:hAnsi="Arial"/>
          <w:sz w:val="24"/>
          <w:szCs w:val="24"/>
        </w:rPr>
        <w:t xml:space="preserve">Do lado dos fornecedores, observa-se que muitos ainda comercializam seus produtos sem um canal organizado de divulgação junto ao mercado local. A plataforma permitirá que os comerciantes visualizem preços, comparem opções e acessem ofertas de forma mais clara, reduzindo a dependência de indicações informais e facilitando a busca por melhores condições de compra, o que pode contribuir para a redução de custos operacionais em um contexto de margens pressionadas, conforme identificado na análise PESTEL.</w:t>
      </w:r>
    </w:p>
    <w:p>
      <w:pPr>
        <w:spacing w:after="100" w:before="100"/>
      </w:pPr>
      <w:r>
        <w:rPr>
          <w:rFonts w:ascii="Arial" w:cs="Arial" w:eastAsia="Arial" w:hAnsi="Arial"/>
          <w:sz w:val="24"/>
          <w:szCs w:val="24"/>
        </w:rPr>
        <w:t xml:space="preserve">Para os fornecedores, a plataforma representa uma forma mais organizada de divulgar seus produtos e alcançar mais clientes locais, aumentando sua visibilidade no mercado regional. Ao agregar a demanda local e torná-la visível a múltiplos fornecedores, o Hub tem ainda o potencial de reduzir a assimetria de poder de negociação entre microcomércios e distribuidores regionais. Em termos institucionais, o projeto está alinhado à agenda de digitalização de pequenos negócios promovida pelo Sebrae e ao movimento de valorização de cadeias de fornecimento regionais, fatores que ampliam sua receptividade junto à ACIA e a outros atores locais.</w:t>
      </w:r>
    </w:p>
    <w:p>
      <w:pPr>
        <w:pStyle w:val="Heading2"/>
        <w:spacing w:after="100" w:before="220"/>
      </w:pPr>
      <w:r>
        <w:rPr>
          <w:rFonts w:ascii="Arial" w:cs="Arial" w:eastAsia="Arial" w:hAnsi="Arial"/>
          <w:b/>
          <w:bCs/>
          <w:color w:val="000000"/>
          <w:sz w:val="26"/>
          <w:szCs w:val="26"/>
        </w:rPr>
        <w:t xml:space="preserve">T (TEMPORAL) — QUANDO SERÁ REALIZADO? QUAL O PRAZO?</w:t>
      </w:r>
    </w:p>
    <w:p>
      <w:pPr>
        <w:spacing w:after="100" w:before="100"/>
      </w:pPr>
      <w:r>
        <w:rPr>
          <w:rFonts w:ascii="Arial" w:cs="Arial" w:eastAsia="Arial" w:hAnsi="Arial"/>
          <w:sz w:val="24"/>
          <w:szCs w:val="24"/>
        </w:rPr>
        <w:t xml:space="preserve">O desenvolvimento da plataforma está organizado em etapas com marcos temporais definidos, distribuídas ao longo do período de implementação do projeto. O Quadro 6 apresenta os marcos consolidados, integrando as entregas para os dois públicos da plataforma.</w:t>
      </w:r>
    </w:p>
    <w:p>
      <w:pPr>
        <w:spacing w:after="80" w:before="160"/>
      </w:pPr>
      <w:r>
        <w:rPr>
          <w:rFonts w:ascii="Arial" w:cs="Arial" w:eastAsia="Arial" w:hAnsi="Arial"/>
          <w:b/>
          <w:bCs/>
          <w:sz w:val="24"/>
          <w:szCs w:val="24"/>
        </w:rPr>
        <w:t xml:space="preserve">Quadro 6 – Marcos temporais consolidados do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ETAPA</w:t>
            </w:r>
          </w:p>
        </w:tc>
        <w:tc>
          <w:tcPr>
            <w:tcW w:type="dxa" w:w="416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DESCRIÇÃO</w:t>
            </w:r>
          </w:p>
        </w:tc>
        <w:tc>
          <w:tcPr>
            <w:tcW w:type="dxa" w:w="3200"/>
            <w:tcBorders>
              <w:top w:val="single" w:color="999999" w:sz="1"/>
              <w:left w:val="single" w:color="999999" w:sz="1"/>
              <w:bottom w:val="single" w:color="999999" w:sz="1"/>
              <w:right w:val="single" w:color="999999" w:sz="1"/>
            </w:tcBorders>
            <w:shd w:fill="D0D0D0" w:val="clear"/>
            <w:tcMar>
              <w:top w:type="dxa" w:w="100"/>
              <w:left w:type="dxa" w:w="150"/>
              <w:bottom w:type="dxa" w:w="100"/>
              <w:right w:type="dxa" w:w="150"/>
            </w:tcMar>
          </w:tcPr>
          <w:p>
            <w:r>
              <w:rPr>
                <w:rFonts w:ascii="Arial" w:cs="Arial" w:eastAsia="Arial" w:hAnsi="Arial"/>
                <w:b/>
                <w:bCs/>
                <w:sz w:val="24"/>
                <w:szCs w:val="24"/>
              </w:rPr>
              <w:t xml:space="preserve">PRAZO DE REFERÊNCIA</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1 — Conformidade legal</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Elaboração da Política de Privacidade (LGPD) e dos Termos de Uso, consultando materiais da ANPD e do Sebrae. Condição necessária ao lançamento em qualquer cenário.</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Concluída em </w:t>
            </w:r>
            <w:r>
              <w:rPr>
                <w:rFonts w:ascii="Arial" w:cs="Arial" w:eastAsia="Arial" w:hAnsi="Arial"/>
                <w:b/>
                <w:bCs/>
                <w:i/>
                <w:iCs/>
                <w:sz w:val="24"/>
                <w:szCs w:val="24"/>
              </w:rPr>
              <w:t xml:space="preserve">30 dias</w:t>
            </w:r>
            <w:r>
              <w:rPr>
                <w:rFonts w:ascii="Arial" w:cs="Arial" w:eastAsia="Arial" w:hAnsi="Arial"/>
                <w:i/>
                <w:iCs/>
                <w:sz w:val="24"/>
                <w:szCs w:val="24"/>
              </w:rPr>
              <w:t xml:space="preserve"> após o início do projeto.</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2 — Engajamento pré-lançamento</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Cadastramento ativo de fornecedores locais (meta: mínimo 10) e validação de interface para os comerciantes, com apoio da ACIA.</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Realizado entre o </w:t>
            </w:r>
            <w:r>
              <w:rPr>
                <w:rFonts w:ascii="Arial" w:cs="Arial" w:eastAsia="Arial" w:hAnsi="Arial"/>
                <w:b/>
                <w:bCs/>
                <w:i/>
                <w:iCs/>
                <w:sz w:val="24"/>
                <w:szCs w:val="24"/>
              </w:rPr>
              <w:t xml:space="preserve">dia 31 e o dia 80</w:t>
            </w:r>
            <w:r>
              <w:rPr>
                <w:rFonts w:ascii="Arial" w:cs="Arial" w:eastAsia="Arial" w:hAnsi="Arial"/>
                <w:i/>
                <w:iCs/>
                <w:sz w:val="24"/>
                <w:szCs w:val="24"/>
              </w:rPr>
              <w:t xml:space="preserve"> do projeto.</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3 — Lançamento da plataforma</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Disponibilização pública da plataforma com funcionalidades essenciais validadas, documentação legal concluída e base inicial de fornecedores cadastrados.</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A plataforma será lançada oficialmente </w:t>
            </w:r>
            <w:r>
              <w:rPr>
                <w:rFonts w:ascii="Arial" w:cs="Arial" w:eastAsia="Arial" w:hAnsi="Arial"/>
                <w:b/>
                <w:bCs/>
                <w:i/>
                <w:iCs/>
                <w:sz w:val="24"/>
                <w:szCs w:val="24"/>
              </w:rPr>
              <w:t xml:space="preserve">90 dias</w:t>
            </w:r>
            <w:r>
              <w:rPr>
                <w:rFonts w:ascii="Arial" w:cs="Arial" w:eastAsia="Arial" w:hAnsi="Arial"/>
                <w:i/>
                <w:iCs/>
                <w:sz w:val="24"/>
                <w:szCs w:val="24"/>
              </w:rPr>
              <w:t xml:space="preserve"> após o início da implementação.</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4 — Avaliação de adoção inicial</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Acompanhamento dos indicadores: fornecedores cadastrados, produtos registrados e comerciantes ativos. Auxilia ajustes na estratégia de engajamento.</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Finalizada </w:t>
            </w:r>
            <w:r>
              <w:rPr>
                <w:rFonts w:ascii="Arial" w:cs="Arial" w:eastAsia="Arial" w:hAnsi="Arial"/>
                <w:b/>
                <w:bCs/>
                <w:i/>
                <w:iCs/>
                <w:sz w:val="24"/>
                <w:szCs w:val="24"/>
              </w:rPr>
              <w:t xml:space="preserve">150 dias</w:t>
            </w:r>
            <w:r>
              <w:rPr>
                <w:rFonts w:ascii="Arial" w:cs="Arial" w:eastAsia="Arial" w:hAnsi="Arial"/>
                <w:i/>
                <w:iCs/>
                <w:sz w:val="24"/>
                <w:szCs w:val="24"/>
              </w:rPr>
              <w:t xml:space="preserve"> após o início (60 dias após o lançamento).</w:t>
            </w:r>
          </w:p>
        </w:tc>
      </w:tr>
      <w:tr>
        <w:tc>
          <w:tcPr>
            <w:tcW w:type="dxa" w:w="20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b/>
                <w:bCs/>
                <w:sz w:val="24"/>
                <w:szCs w:val="24"/>
              </w:rPr>
              <w:t xml:space="preserve">5 — Encerramento da Fase de Implementação e Relatório de Impacto</w:t>
            </w:r>
          </w:p>
        </w:tc>
        <w:tc>
          <w:tcPr>
            <w:tcW w:type="dxa" w:w="416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sz w:val="24"/>
                <w:szCs w:val="24"/>
              </w:rPr>
              <w:t xml:space="preserve">Consolidação dos dados de mercado, validação do modelo de negócios e entrega dos resultados finais de performance da plataforma após o primeiro ciclo de operação.</w:t>
            </w:r>
          </w:p>
        </w:tc>
        <w:tc>
          <w:tcPr>
            <w:tcW w:type="dxa" w:w="3200"/>
            <w:tcBorders>
              <w:top w:val="single" w:color="999999" w:sz="1"/>
              <w:left w:val="single" w:color="999999" w:sz="1"/>
              <w:bottom w:val="single" w:color="999999" w:sz="1"/>
              <w:right w:val="single" w:color="999999" w:sz="1"/>
            </w:tcBorders>
            <w:shd w:fill="FFFFFF" w:val="clear"/>
            <w:tcMar>
              <w:top w:type="dxa" w:w="100"/>
              <w:left w:type="dxa" w:w="150"/>
              <w:bottom w:type="dxa" w:w="100"/>
              <w:right w:type="dxa" w:w="150"/>
            </w:tcMar>
            <w:vAlign w:val="top"/>
          </w:tcPr>
          <w:p>
            <w:r>
              <w:rPr>
                <w:rFonts w:ascii="Arial" w:cs="Arial" w:eastAsia="Arial" w:hAnsi="Arial"/>
                <w:i/>
                <w:iCs/>
                <w:sz w:val="24"/>
                <w:szCs w:val="24"/>
              </w:rPr>
              <w:t xml:space="preserve">O projeto será finalizado em </w:t>
            </w:r>
            <w:r>
              <w:rPr>
                <w:rFonts w:ascii="Arial" w:cs="Arial" w:eastAsia="Arial" w:hAnsi="Arial"/>
                <w:b/>
                <w:bCs/>
                <w:i/>
                <w:iCs/>
                <w:sz w:val="24"/>
                <w:szCs w:val="24"/>
              </w:rPr>
              <w:t xml:space="preserve">180 dias</w:t>
            </w:r>
            <w:r>
              <w:rPr>
                <w:rFonts w:ascii="Arial" w:cs="Arial" w:eastAsia="Arial" w:hAnsi="Arial"/>
                <w:i/>
                <w:iCs/>
                <w:sz w:val="24"/>
                <w:szCs w:val="24"/>
              </w:rPr>
              <w:t xml:space="preserve"> após o início.</w:t>
            </w:r>
          </w:p>
        </w:tc>
      </w:tr>
    </w:tbl>
    <w:p>
      <w:pPr>
        <w:spacing w:after="200" w:before="80"/>
      </w:pPr>
      <w:r>
        <w:rPr>
          <w:rFonts w:ascii="Arial" w:cs="Arial" w:eastAsia="Arial" w:hAnsi="Arial"/>
          <w:i/>
          <w:iCs/>
          <w:sz w:val="24"/>
          <w:szCs w:val="24"/>
        </w:rPr>
        <w:t xml:space="preserve">Fonte: Elaborado pelos autores com base no cronograma do projeto e nas análises SWOT e de Cenário (2026).</w:t>
      </w:r>
    </w:p>
    <w:p>
      <w:pPr>
        <w:spacing w:after="100" w:before="100"/>
      </w:pPr>
      <w:r>
        <w:rPr>
          <w:rFonts w:ascii="Arial" w:cs="Arial" w:eastAsia="Arial" w:hAnsi="Arial"/>
          <w:sz w:val="24"/>
          <w:szCs w:val="24"/>
        </w:rPr>
        <w:t xml:space="preserve">A sequência de prioridades segue a lógica estabelecida na análise de Cenário: (1) conformidade legal, como pré-condição ao lançamento; (2) engajamento de fornecedores, como fator determinante da viabilidade do modelo; e (3) adoção pelos comerciantes, a ser intensificada conforme os fornecedores sejam incorporados à plataforma. Essa ordenação reconhece o efeito de rede característico de plataformas de dois lados e organiza as entregas de forma a maximizar as chances de o projeto se aproximar do cenário realista, ou otimista projetado.</w:t>
      </w:r>
    </w:p>
    <w:p>
      <w:pPr>
        <w:pStyle w:val="Heading1"/>
        <w:spacing w:after="120" w:before="280"/>
      </w:pPr>
      <w:r>
        <w:rPr>
          <w:rFonts w:ascii="Arial" w:cs="Arial" w:eastAsia="Arial" w:hAnsi="Arial"/>
          <w:b/>
          <w:bCs/>
          <w:color w:val="000000"/>
          <w:sz w:val="28"/>
          <w:szCs w:val="28"/>
        </w:rPr>
        <w:t xml:space="preserve">5 CONSIDERAÇÕES FINAIS</w:t>
      </w:r>
    </w:p>
    <w:p>
      <w:pPr>
        <w:spacing w:after="100" w:before="100"/>
      </w:pPr>
      <w:r>
        <w:rPr>
          <w:rFonts w:ascii="Arial" w:cs="Arial" w:eastAsia="Arial" w:hAnsi="Arial"/>
          <w:sz w:val="24"/>
          <w:szCs w:val="24"/>
        </w:rPr>
        <w:t xml:space="preserve">A análise SMART do projeto Hub de Fornecedores para Microempreendedores estruturou os objetivos do projeto em três perspectivas complementares: a do fornecedor, centrada na construção da base de oferta da plataforma; a do comerciante, focada na conversão da intenção de uso em adoção real; e uma visão geral consolidada, que integra ambas as perspectivas sob um conjunto unificado de metas e marcos temporais. Em conjunto, as três perspectivas refletem a natureza de plataforma de dois lados do Hub e reconhecem que o sucesso do projeto depende do crescimento simultâneo nos dois lados do mercado.</w:t>
      </w:r>
    </w:p>
    <w:p>
      <w:pPr>
        <w:spacing w:after="100" w:before="100"/>
      </w:pPr>
      <w:r>
        <w:rPr>
          <w:rFonts w:ascii="Arial" w:cs="Arial" w:eastAsia="Arial" w:hAnsi="Arial"/>
          <w:sz w:val="24"/>
          <w:szCs w:val="24"/>
        </w:rPr>
        <w:t xml:space="preserve">As metas definidas são expressas em números absolutos e acompanháveis diretamente pelo painel administrativo da plataforma, o que permite monitoramento contínuo sem dependência de estimativas populacionais. O cronograma de 180 dias foi organizado de forma a priorizar a conformidade legal como pré-condição ao lançamento, o engajamento de fornecedores como fator determinante da viabilidade do modelo e a adoção pelos comerciantes como resultado a ser consolidado na fase pós-lançamento. Essa sequência é coerente com a lógica de efeito de rede identificada nas análises SWOT e de Cenário do projeto.</w:t>
      </w:r>
    </w:p>
    <w:p>
      <w:pPr>
        <w:spacing w:after="100" w:before="100"/>
      </w:pPr>
      <w:r>
        <w:rPr>
          <w:rFonts w:ascii="Arial" w:cs="Arial" w:eastAsia="Arial" w:hAnsi="Arial"/>
          <w:sz w:val="24"/>
          <w:szCs w:val="24"/>
        </w:rPr>
        <w:t xml:space="preserve">As restrições identificadas — equipe reduzida e dependência de infraestrutura gratuita — são tratáveis mediante o planejamento preventivo já estabelecido. O conjunto de metas e marcos temporais apresentado neste documento oferece à equipe uma base objetiva para acompanhar o desempenho da plataforma e orientar as decisões estratégicas ao longo do ciclo de implementação.</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2026-04-12T17:41:12.353Z</dcterms:created>
  <dcterms:modified xsi:type="dcterms:W3CDTF">2026-04-12T17:41:12.354Z</dcterms:modified>
</cp:coreProperties>
</file>

<file path=docProps/custom.xml><?xml version="1.0" encoding="utf-8"?>
<Properties xmlns="http://schemas.openxmlformats.org/officeDocument/2006/custom-properties" xmlns:vt="http://schemas.openxmlformats.org/officeDocument/2006/docPropsVTypes"/>
</file>