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C14" w14:textId="77777777" w:rsidR="001D25B6" w:rsidRDefault="00045531">
      <w:pPr>
        <w:spacing w:after="48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ANÁLISE SWOT</w:t>
      </w:r>
    </w:p>
    <w:p w14:paraId="18279F13" w14:textId="77777777" w:rsidR="001D25B6" w:rsidRDefault="00045531">
      <w:pPr>
        <w:spacing w:after="24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Hub de Fornecedores para Microempreendedores</w:t>
      </w:r>
    </w:p>
    <w:p w14:paraId="430E4D48" w14:textId="77777777" w:rsidR="001D25B6" w:rsidRDefault="00045531">
      <w:pPr>
        <w:spacing w:after="7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Conectando comércios locais e fornecedores em Araras/SP</w:t>
      </w:r>
    </w:p>
    <w:p w14:paraId="16B79189" w14:textId="77777777" w:rsidR="001D25B6" w:rsidRDefault="00045531">
      <w:pPr>
        <w:spacing w:before="240" w:after="120" w:line="360" w:lineRule="auto"/>
        <w:jc w:val="left"/>
      </w:pPr>
      <w:r>
        <w:rPr>
          <w:rFonts w:ascii="Arial" w:eastAsia="Arial" w:hAnsi="Arial" w:cs="Arial"/>
          <w:b/>
          <w:bCs/>
          <w:sz w:val="24"/>
          <w:szCs w:val="24"/>
        </w:rPr>
        <w:t>1 INTRODUÇÃO</w:t>
      </w:r>
    </w:p>
    <w:p w14:paraId="1B56E819" w14:textId="77777777" w:rsidR="001D25B6" w:rsidRDefault="001D25B6">
      <w:pPr>
        <w:spacing w:line="360" w:lineRule="auto"/>
      </w:pPr>
    </w:p>
    <w:p w14:paraId="7012CAD1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A análise SWOT é uma ferramenta de diagnóstico estratégico que organiza os pontos fortes e fracos de um projeto junto com as oportunidades e ameaças do ambiente em que ele está inserido. O nome origina-se do inglês: Strengths (Forças), Weaknesses (Fraquezas), Opportunities (Oportunidades) e Threats (Ameaças).</w:t>
      </w:r>
    </w:p>
    <w:p w14:paraId="1BFB958F" w14:textId="77777777" w:rsidR="001D25B6" w:rsidRDefault="001D25B6">
      <w:pPr>
        <w:spacing w:line="360" w:lineRule="auto"/>
      </w:pPr>
    </w:p>
    <w:p w14:paraId="1DA55C81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É fundamental compreender a distinção entre os quatro elementos. Forças e Fraquezas são fatores internos, relacionados diretamente à equipe e ao projeto: o que ela sabe fazer, como o projeto foi planejado, quais recursos estão disponíveis e quais são suas limitações. Oportunidades e Ameaças são fatores externos, que dependem do mercado, do comportamento do público e do ambiente externo ao controle da equipe.</w:t>
      </w:r>
    </w:p>
    <w:p w14:paraId="6BDA7443" w14:textId="77777777" w:rsidR="001D25B6" w:rsidRDefault="001D25B6">
      <w:pPr>
        <w:spacing w:line="360" w:lineRule="auto"/>
      </w:pPr>
    </w:p>
    <w:p w14:paraId="36AB1F68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Esta análise foi elaborada com base nas informações levantadas durante o desenvolvimento do projeto Hub de Fornecedores para Microempreendedores, incluindo pesquisa de campo realizada com 9 comerciantes e 3 fornecedores de Araras/SP, a documentação de viabilidade já concluída e a análise PESTEL do projeto.</w:t>
      </w:r>
    </w:p>
    <w:p w14:paraId="5DE0B65D" w14:textId="77777777" w:rsidR="001D25B6" w:rsidRDefault="001D25B6">
      <w:pPr>
        <w:spacing w:line="360" w:lineRule="auto"/>
      </w:pPr>
    </w:p>
    <w:p w14:paraId="10C108F8" w14:textId="77777777" w:rsidR="001D25B6" w:rsidRDefault="00045531">
      <w:pPr>
        <w:spacing w:before="240" w:after="120" w:line="360" w:lineRule="auto"/>
        <w:jc w:val="left"/>
      </w:pPr>
      <w:r>
        <w:rPr>
          <w:rFonts w:ascii="Arial" w:eastAsia="Arial" w:hAnsi="Arial" w:cs="Arial"/>
          <w:b/>
          <w:bCs/>
          <w:sz w:val="24"/>
          <w:szCs w:val="24"/>
        </w:rPr>
        <w:t>2 FATORES INTERNOS</w:t>
      </w:r>
    </w:p>
    <w:p w14:paraId="5881DD3F" w14:textId="77777777" w:rsidR="001D25B6" w:rsidRDefault="001D25B6">
      <w:pPr>
        <w:spacing w:line="360" w:lineRule="auto"/>
      </w:pPr>
    </w:p>
    <w:p w14:paraId="09119AD9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Os fatores internos são aqueles que dependem diretamente da equipe de desenvolvimento. Eles refletem o que o grupo tem de positivo (Forças) e o que ainda precisa melhorar ou superar (Fraquezas) para que o projeto seja bem-sucedido.</w:t>
      </w:r>
    </w:p>
    <w:p w14:paraId="036E2BF6" w14:textId="77777777" w:rsidR="001D25B6" w:rsidRDefault="001D25B6">
      <w:pPr>
        <w:spacing w:line="360" w:lineRule="auto"/>
      </w:pPr>
    </w:p>
    <w:p w14:paraId="34992787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O Quadro 1 apresenta os fatores internos do projeto, separados entre forças e fraquezas.</w:t>
      </w:r>
    </w:p>
    <w:p w14:paraId="728E317E" w14:textId="77777777" w:rsidR="001D25B6" w:rsidRDefault="001D25B6">
      <w:pPr>
        <w:spacing w:line="360" w:lineRule="auto"/>
      </w:pPr>
    </w:p>
    <w:p w14:paraId="540DAB9A" w14:textId="77777777" w:rsidR="001D25B6" w:rsidRDefault="00045531">
      <w:pPr>
        <w:spacing w:after="60" w:line="360" w:lineRule="auto"/>
        <w:jc w:val="left"/>
      </w:pPr>
      <w:r>
        <w:rPr>
          <w:rFonts w:ascii="Arial" w:eastAsia="Arial" w:hAnsi="Arial" w:cs="Arial"/>
          <w:sz w:val="24"/>
          <w:szCs w:val="24"/>
        </w:rPr>
        <w:t>Quadro 1 – Fatores internos: forças e fraquezas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99"/>
        <w:gridCol w:w="1397"/>
        <w:gridCol w:w="5175"/>
      </w:tblGrid>
      <w:tr w:rsidR="001D25B6" w14:paraId="62E0E345" w14:textId="77777777">
        <w:trPr>
          <w:tblHeader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B7D2450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AE6E414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6C8DD5D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1D25B6" w14:paraId="2F7F321E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7BA787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Aprendizado ativo nas tecnologias do projeto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6E199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Força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99893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Os integrantes estudam regularmente Python, Django, JavaScript e MySQL por meio de aulas e materiais de apoio, garantindo condições reais de desenvolvimento do projeto.</w:t>
            </w:r>
          </w:p>
        </w:tc>
      </w:tr>
      <w:tr w:rsidR="001D25B6" w14:paraId="39972AD3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DB28642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Clareza sobre o escopo da plataforma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4D57842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Força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C732D22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A equipe definiu com precisão o que o projeto é e o que ele não é: a plataforma conecta compradores e fornecedores, mas não realiza pagamentos nem gerencia estoque. Essa delimitação evita desvios durante o desenvolvimento.</w:t>
            </w:r>
          </w:p>
        </w:tc>
      </w:tr>
      <w:tr w:rsidR="001D25B6" w14:paraId="6B50D92A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52A057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Projeto planejado e documentado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DE1295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Força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7BA409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O grupo elaborou análises de viabilidade econômica, técnica, operacional e legal, além de um cronograma com as etapas do projeto, facilitando o acompanhamento e a apresentação à banca avaliadora.</w:t>
            </w:r>
          </w:p>
        </w:tc>
      </w:tr>
      <w:tr w:rsidR="001D25B6" w14:paraId="7A944A5F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7A80FAE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Equipe colaborativa e multifuncional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56E3D96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Força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13D5FE3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Os integrantes atuam em diferentes partes do projeto simultaneamente. A comunicação ativa entre os membros compensa o tamanho reduzido da equipe.</w:t>
            </w:r>
          </w:p>
        </w:tc>
      </w:tr>
      <w:tr w:rsidR="001D25B6" w14:paraId="1B1CB278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62695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Capacidade de pesquisa aplicada e uso de dados na tomada de decisão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32F692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Força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A3415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A equipe demonstrou capacidade metodológica ao realizar pesquisa de campo com 9 comerciantes e 3 fornecedores de Araras/SP, utilizando os dados coletados para fundamentar as decisões do projeto.</w:t>
            </w:r>
          </w:p>
        </w:tc>
      </w:tr>
      <w:tr w:rsidR="001D25B6" w14:paraId="5E891858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6F758D8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Estratégia de adoção planejada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A183999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Força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E668856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O grupo planejou como engajar os usuários desde o início, com tutorial integrado ao site e um plano de comunicação para apresentar a plataforma à comunidade local, inclusive com aproximação à ACIA.</w:t>
            </w:r>
          </w:p>
        </w:tc>
      </w:tr>
      <w:tr w:rsidR="001D25B6" w14:paraId="3A88031D" w14:textId="77777777"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C77BE49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Equipe reduzida com acúmulo de funções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8CBD9F3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Fraqueza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F751A8B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Cada integrante acumula várias funções ao mesmo tempo. Em períodos de maior demanda, isso pode causar atrasos ou comprometer a qualidade de alguma entrega.</w:t>
            </w:r>
          </w:p>
        </w:tc>
      </w:tr>
    </w:tbl>
    <w:p w14:paraId="0EEC475B" w14:textId="77777777" w:rsidR="001D25B6" w:rsidRDefault="00045531">
      <w:pPr>
        <w:spacing w:before="60" w:after="240" w:line="360" w:lineRule="auto"/>
        <w:jc w:val="left"/>
      </w:pPr>
      <w:r>
        <w:rPr>
          <w:rFonts w:ascii="Arial" w:eastAsia="Arial" w:hAnsi="Arial" w:cs="Arial"/>
          <w:sz w:val="24"/>
          <w:szCs w:val="24"/>
        </w:rPr>
        <w:t>Fonte: Elaborado pelos autores (2026).</w:t>
      </w:r>
    </w:p>
    <w:p w14:paraId="197A1D0B" w14:textId="77777777" w:rsidR="001D25B6" w:rsidRDefault="001D25B6">
      <w:pPr>
        <w:spacing w:line="360" w:lineRule="auto"/>
      </w:pPr>
    </w:p>
    <w:p w14:paraId="7CB8DE33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 xml:space="preserve">Com base nos dados do Quadro 1, verifica-se que a equipe possui uma base técnica em desenvolvimento, com conhecimento em construção sobre as tecnologias utilizadas no projeto. O planejamento bem estruturado e a pesquisa realizada com o público-alvo nos dois lados do mercado representam pontos positivos relevantes para um projeto de TCC. As fraquezas identificadas são esperadas nesse contexto acadêmico e não impedem a execução do projeto, mas precisam ser monitoradas para que não comprometam o cronograma. </w:t>
      </w:r>
    </w:p>
    <w:p w14:paraId="5B313500" w14:textId="77777777" w:rsidR="001D25B6" w:rsidRDefault="001D25B6">
      <w:pPr>
        <w:spacing w:line="360" w:lineRule="auto"/>
      </w:pPr>
    </w:p>
    <w:p w14:paraId="09CB1F30" w14:textId="77777777" w:rsidR="001D25B6" w:rsidRDefault="00045531">
      <w:pPr>
        <w:spacing w:before="240" w:after="120" w:line="360" w:lineRule="auto"/>
        <w:jc w:val="left"/>
      </w:pPr>
      <w:r>
        <w:rPr>
          <w:rFonts w:ascii="Arial" w:eastAsia="Arial" w:hAnsi="Arial" w:cs="Arial"/>
          <w:b/>
          <w:bCs/>
          <w:sz w:val="24"/>
          <w:szCs w:val="24"/>
        </w:rPr>
        <w:t>3 FATORES EXTERNOS</w:t>
      </w:r>
    </w:p>
    <w:p w14:paraId="50783447" w14:textId="77777777" w:rsidR="001D25B6" w:rsidRDefault="001D25B6">
      <w:pPr>
        <w:spacing w:line="360" w:lineRule="auto"/>
      </w:pPr>
    </w:p>
    <w:p w14:paraId="2E7A5858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Os fatores externos estão fora do controle da equipe, mas precisam ser considerados no planejamento do projeto. As Oportunidades representam situações do ambiente que podem favorecer o desenvolvimento e a adoção da plataforma. As Ameaças são situações que podem dificultar seu desenvolvimento ou reduzir a adesão pelo público-alvo.</w:t>
      </w:r>
    </w:p>
    <w:p w14:paraId="269BE590" w14:textId="77777777" w:rsidR="001D25B6" w:rsidRDefault="001D25B6">
      <w:pPr>
        <w:spacing w:line="360" w:lineRule="auto"/>
      </w:pPr>
    </w:p>
    <w:p w14:paraId="45C284A0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O Quadro 2 apresenta os fatores externos do projeto, separados entre oportunidades e ameaças. Em relação à versão anterior desta análise, foram incorporados dois aprimoramentos: (a) a inclusão de uma coluna de intensidade, Alta, Média ou Baixa, que permite priorizar os fatores mais relevantes para o planejamento estratégico; e (b) a explicitação da justificativa de cada fator com base nos dados da pesquisa de campo, tornando a análise rastreável e fundamentada empiricamente.</w:t>
      </w:r>
    </w:p>
    <w:p w14:paraId="5266DA9F" w14:textId="77777777" w:rsidR="001D25B6" w:rsidRDefault="001D25B6">
      <w:pPr>
        <w:spacing w:line="360" w:lineRule="auto"/>
      </w:pPr>
    </w:p>
    <w:p w14:paraId="4EDDE033" w14:textId="77777777" w:rsidR="001D25B6" w:rsidRDefault="00045531">
      <w:pPr>
        <w:spacing w:after="60" w:line="360" w:lineRule="auto"/>
        <w:jc w:val="left"/>
      </w:pPr>
      <w:r>
        <w:rPr>
          <w:rFonts w:ascii="Arial" w:eastAsia="Arial" w:hAnsi="Arial" w:cs="Arial"/>
          <w:sz w:val="24"/>
          <w:szCs w:val="24"/>
        </w:rPr>
        <w:t>Quadro 2 – Fatores externos: oportunidades e ameaças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1"/>
        <w:gridCol w:w="1199"/>
        <w:gridCol w:w="1100"/>
        <w:gridCol w:w="4471"/>
      </w:tblGrid>
      <w:tr w:rsidR="001D25B6" w14:paraId="28D725D4" w14:textId="77777777">
        <w:trPr>
          <w:tblHeader/>
        </w:trPr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0EEE795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8371DE9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5836B3B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INTENSIDADE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2DB58C61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1D25B6" w14:paraId="63EDF70C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D2FF85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Ausência de solução digital focada em Araras/SP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A1726D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AF82A8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3456AD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Não foram identificadas plataformas digitais voltadas especificamente para conectar microempreendedores e fornecedores na cidade, representando uma entrada sem concorrência direta no nível local.</w:t>
            </w:r>
          </w:p>
        </w:tc>
      </w:tr>
      <w:tr w:rsidR="001D25B6" w14:paraId="1313FAFA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B2B7D26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Demanda reprimida confirmada pela pesquisa de campo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E6CE2F7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24BCE23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12FD53B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Na amostra pesquisada (n=8 respostas válidas para esta questão; 1 resposta desconsiderada por ser ininteligível), nenhum comerciante utiliza aplicativo ou site específico para cotação de fornecedores. Todos realizam esse processo de forma manual ou informal, evidenciando demanda não atendida.</w:t>
            </w:r>
          </w:p>
        </w:tc>
      </w:tr>
      <w:tr w:rsidR="001D25B6" w14:paraId="7650824C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8FF854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Alta receptividade dos comerciantes à plataforma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66823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45D457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EFF9D7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Na pesquisa com comerciantes (n=9), 55,6% afirmaram que utilizariam a plataforma com certeza e 33,3% utilizariam caso os fornecedores de interesse estivessem cadastrados. Apenas 11,1% recusaram a ideia.</w:t>
            </w:r>
          </w:p>
        </w:tc>
      </w:tr>
      <w:tr w:rsidR="001D25B6" w14:paraId="2ABA66D9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9A38B9C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Interesse confirmado dos fornecedores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622F85A9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542781C1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AA9AF65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Dos 3 fornecedores pesquisados, 2 (66,7%) afirmaram que certamente cadastrariam seus produtos na plataforma. O terceiro condicionou a adesão à presença dos comerciantes, refletindo a lógica de efeito de rede esperada nesse tipo de solução.</w:t>
            </w:r>
          </w:p>
        </w:tc>
      </w:tr>
      <w:tr w:rsidR="001D25B6" w14:paraId="7305AB95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084C4D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Crescimento contínuo de pequenos negócios e pressão por redução de custos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40C06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2E2B28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3A6370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Segundo dados do Sebrae e da Receita Federal (2024), 96% dos novos CNPJs abertos no país são de pequenos negócios. O contexto de inflação e margens pressionadas incentiva a busca por fornecedores mais competitivos, necessidade que a plataforma atende diretamente.</w:t>
            </w:r>
          </w:p>
        </w:tc>
      </w:tr>
      <w:tr w:rsidR="001D25B6" w14:paraId="429D87B7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B94628C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Agenda de digitalização e valorização do comércio local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6957298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6E5A13F9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0BD20BC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Programas de incentivo à transformação digital de pequenos negócios (Sebrae, governo federal) e a crescente valorização de cadeias regionais de fornecimento criam um ambiente institucional e cultural favorável à adoção do Hub.</w:t>
            </w:r>
          </w:p>
        </w:tc>
      </w:tr>
      <w:tr w:rsidR="001D25B6" w14:paraId="4BEC5B64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6C52E5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Possibilidade de parceria com a ACIA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B4E5BF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Oportunidade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DE9FF6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AB7677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A Associação Comercial e Industrial de Araras pode apoiar a divulgação da plataforma e facilitar o acesso a fornecedores locais, acelerando o engajamento inicial nos dois lados do mercado.</w:t>
            </w:r>
          </w:p>
        </w:tc>
      </w:tr>
      <w:tr w:rsidR="001D25B6" w14:paraId="52587FB3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57AF2F4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Resistência ao uso de tecnologia e cultura de indicação informal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8C75C80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33345685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Média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79E7F2BF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Na pesquisa, 33,3% dos comerciantes buscam fornecedores por indicação de conhecidos e 11,1% raramente buscam novos fornecedores por hábito. Mudar esse comportamento pode ser um processo lento, mesmo com proposta de valor clara.</w:t>
            </w:r>
          </w:p>
        </w:tc>
      </w:tr>
      <w:tr w:rsidR="001D25B6" w14:paraId="2BE69185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27C8AD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Dependência do engajamento dos fornecedores (efeito de rede)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4A55BD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7F2AD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B5A779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Se poucos fornecedores se cadastrarem, os comerciantes não terão razão para acessar a plataforma. A adesão do lado da oferta é condição essencial para o funcionamento do modelo, conforme sinalizado por 33,3% dos comerciantes pesquisados.</w:t>
            </w:r>
          </w:p>
        </w:tc>
      </w:tr>
      <w:tr w:rsidR="001D25B6" w14:paraId="3D97F66F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7695682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Concorrência de plataformas nacionais de marketplace B2B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F28A619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578E400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Baixa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49CFA273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Existem soluções de abrangência nacional que poderiam expandir para cidades menores. Essas empresas dispõem de mais recursos técnicos e financeiros do que a equipe do TCC.</w:t>
            </w:r>
          </w:p>
        </w:tc>
      </w:tr>
      <w:tr w:rsidR="001D25B6" w14:paraId="2EBD7AA3" w14:textId="77777777"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9D5E64E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Risco de descontinuidade dos serviços de hospedagem gratuitos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6DF0F9FA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Ameaça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50B2DC23" w14:textId="77777777" w:rsidR="001D25B6" w:rsidRDefault="0004553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Baixa</w:t>
            </w:r>
          </w:p>
        </w:tc>
        <w:tc>
          <w:tcPr>
            <w:tcW w:w="4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78B40F57" w14:textId="77777777" w:rsidR="001D25B6" w:rsidRDefault="00045531">
            <w:pPr>
              <w:spacing w:line="276" w:lineRule="auto"/>
            </w:pPr>
            <w:r>
              <w:rPr>
                <w:rFonts w:ascii="Arial" w:eastAsia="Arial" w:hAnsi="Arial" w:cs="Arial"/>
                <w:sz w:val="24"/>
                <w:szCs w:val="24"/>
              </w:rPr>
              <w:t>A hospedagem será realizada em plataformas com planos gratuitos, como Railway e Render. Esses planos podem ser encerrados ou apresentar limitações que exijam migração ou custos não previstos no orçamento atual do projeto.</w:t>
            </w:r>
          </w:p>
        </w:tc>
      </w:tr>
    </w:tbl>
    <w:p w14:paraId="3616869F" w14:textId="77777777" w:rsidR="001D25B6" w:rsidRDefault="00045531">
      <w:pPr>
        <w:spacing w:before="60" w:after="240" w:line="360" w:lineRule="auto"/>
        <w:jc w:val="left"/>
      </w:pPr>
      <w:r>
        <w:rPr>
          <w:rFonts w:ascii="Arial" w:eastAsia="Arial" w:hAnsi="Arial" w:cs="Arial"/>
          <w:sz w:val="24"/>
          <w:szCs w:val="24"/>
        </w:rPr>
        <w:t>Fonte: Elaborado pelos autores com base em pesquisa de campo (Araras/SP, mar. 2026, n=9 comerciantes e n=3 fornecedores, amostra exploratória intencional), dados do Sebrae/Receita Federal (2024)</w:t>
      </w:r>
    </w:p>
    <w:p w14:paraId="19375F93" w14:textId="77777777" w:rsidR="001D25B6" w:rsidRDefault="001D25B6">
      <w:pPr>
        <w:spacing w:line="360" w:lineRule="auto"/>
      </w:pPr>
    </w:p>
    <w:p w14:paraId="7C5A4DC2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 xml:space="preserve">Com base nos dados do Quadro 2, a principal oportunidade identificada é a ausência de uma solução digital voltada especificamente para Araras/SP, fator de intensidade alta, combinada com a constatação de que, na amostra pesquisada, nenhum comerciante utiliza ferramenta digital para cotação de fornecedores. A principal ameaça é a dependência do engajamento dos fornecedores (efeito de rede), também classificada como de intensidade alta, o que reforça a necessidade de priorizar o lado da oferta na fase inicial de lançamento. </w:t>
      </w:r>
    </w:p>
    <w:p w14:paraId="2F6616FF" w14:textId="77777777" w:rsidR="001D25B6" w:rsidRDefault="001D25B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A8CF05A" w14:textId="77777777" w:rsidR="001D25B6" w:rsidRDefault="001D25B6">
      <w:pPr>
        <w:spacing w:before="240" w:after="120" w:line="360" w:lineRule="auto"/>
        <w:jc w:val="left"/>
        <w:rPr>
          <w:rFonts w:ascii="Arial" w:hAnsi="Arial"/>
        </w:rPr>
      </w:pPr>
    </w:p>
    <w:p w14:paraId="0BEDA3FC" w14:textId="77777777" w:rsidR="001D25B6" w:rsidRDefault="00045531">
      <w:pPr>
        <w:spacing w:before="240" w:after="120" w:line="360" w:lineRule="auto"/>
        <w:jc w:val="left"/>
      </w:pPr>
      <w:r>
        <w:rPr>
          <w:rFonts w:ascii="Arial" w:eastAsia="Arial" w:hAnsi="Arial" w:cs="Arial"/>
          <w:b/>
          <w:bCs/>
          <w:sz w:val="24"/>
          <w:szCs w:val="24"/>
        </w:rPr>
        <w:t>4 ANÁLISE MITIGADORA</w:t>
      </w:r>
    </w:p>
    <w:p w14:paraId="36B8B49E" w14:textId="77777777" w:rsidR="001D25B6" w:rsidRDefault="001D25B6">
      <w:pPr>
        <w:spacing w:line="360" w:lineRule="auto"/>
      </w:pPr>
    </w:p>
    <w:p w14:paraId="66F5E278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Para garantir a viabilidade do projeto diante dos pontos levantados na matriz SWOT, estabeleceu-se o seguinte plano de mitigação estratégica:</w:t>
      </w:r>
    </w:p>
    <w:p w14:paraId="01FE03F8" w14:textId="77777777" w:rsidR="001D25B6" w:rsidRDefault="001D25B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8EAE391" w14:textId="77777777" w:rsidR="001D25B6" w:rsidRDefault="00045531">
      <w:pPr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Mitigação do Acúmulo de funções (Fraqueza):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628D412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Adoção de metodologias ágeis (Scrum/Kanban) com revisões semanais de tarefas. O objetivo é evitar a sobrecarga individual e garantir que o fluxo de trabalho não seja interrompido por dependências técnicas entre os membros.</w:t>
      </w:r>
    </w:p>
    <w:p w14:paraId="575C8F52" w14:textId="77777777" w:rsidR="001D25B6" w:rsidRDefault="001D25B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14F310B6" w14:textId="77777777" w:rsidR="001D25B6" w:rsidRDefault="00045531">
      <w:pPr>
        <w:spacing w:line="360" w:lineRule="auto"/>
        <w:rPr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>Mitigação da Resistência Cultural (Ameaça):</w:t>
      </w:r>
    </w:p>
    <w:p w14:paraId="4BD4DA60" w14:textId="77777777" w:rsidR="001D25B6" w:rsidRDefault="00045531">
      <w:pPr>
        <w:spacing w:line="36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Foco no desenvolvimento de uma interface (UX) extremamente simplificada e intuitiva. A estratégia consiste em mimetizar a facilidade de uso de aplicativos de mensagens já conhecidos, diminuindo drasticamente a barreira de entrada tecnológica para os comerciantes locais.</w:t>
      </w:r>
    </w:p>
    <w:p w14:paraId="3FCA80EC" w14:textId="77777777" w:rsidR="001D25B6" w:rsidRDefault="001D25B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C0B4BA" w14:textId="77777777" w:rsidR="001D25B6" w:rsidRDefault="00045531">
      <w:pPr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Mitigação do Efeito de Rede (Ameaça):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9E218FD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Concentração de esforços iniciais na prospecção ativa de fornecedores "âncoras" em Araras antes da liberação geral para os comerciantes. A parceria estratégica com a ACIA será o principal vetor para validar a base de oferta e mitigar o risco de falta de catálogo.</w:t>
      </w:r>
    </w:p>
    <w:p w14:paraId="31E57E73" w14:textId="77777777" w:rsidR="001D25B6" w:rsidRDefault="001D25B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4C30C1C4" w14:textId="77777777" w:rsidR="001D25B6" w:rsidRDefault="00045531">
      <w:pPr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Mitigação de Riscos de Hospedagem (Ameaça):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5865AB1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 xml:space="preserve">Manutenção de backups automáticos e atualizados do banco de dados, além da configuração de scripts de </w:t>
      </w:r>
      <w:r>
        <w:rPr>
          <w:rFonts w:ascii="Arial" w:eastAsia="Arial" w:hAnsi="Arial" w:cs="Arial"/>
          <w:i/>
          <w:sz w:val="24"/>
          <w:szCs w:val="24"/>
        </w:rPr>
        <w:t>deploy</w:t>
      </w:r>
      <w:r>
        <w:rPr>
          <w:rFonts w:ascii="Arial" w:eastAsia="Arial" w:hAnsi="Arial" w:cs="Arial"/>
          <w:sz w:val="24"/>
          <w:szCs w:val="24"/>
        </w:rPr>
        <w:t xml:space="preserve"> alternativos. Isso permite uma migração rápida entre plataformas (ex: de Render para Fly.io ou similares) sem qualquer perda de dados ou interrupção prolongada.</w:t>
      </w:r>
    </w:p>
    <w:p w14:paraId="0E51EDA7" w14:textId="77777777" w:rsidR="001D25B6" w:rsidRDefault="001D25B6">
      <w:pPr>
        <w:spacing w:before="240" w:after="120" w:line="360" w:lineRule="auto"/>
        <w:jc w:val="left"/>
        <w:rPr>
          <w:rFonts w:ascii="Arial" w:eastAsia="Arial" w:hAnsi="Arial" w:cs="Arial"/>
          <w:b/>
          <w:bCs/>
        </w:rPr>
      </w:pPr>
    </w:p>
    <w:p w14:paraId="7816DFBB" w14:textId="77777777" w:rsidR="001D25B6" w:rsidRDefault="00045531">
      <w:pPr>
        <w:spacing w:before="240" w:after="120" w:line="360" w:lineRule="auto"/>
        <w:jc w:val="left"/>
      </w:pPr>
      <w:r>
        <w:rPr>
          <w:rFonts w:ascii="Arial" w:eastAsia="Arial" w:hAnsi="Arial" w:cs="Arial"/>
          <w:b/>
          <w:bCs/>
          <w:sz w:val="24"/>
          <w:szCs w:val="24"/>
        </w:rPr>
        <w:t>5 CONSIDERAÇÕES FINAIS</w:t>
      </w:r>
    </w:p>
    <w:p w14:paraId="2091EE64" w14:textId="77777777" w:rsidR="001D25B6" w:rsidRDefault="001D25B6">
      <w:pPr>
        <w:spacing w:line="360" w:lineRule="auto"/>
      </w:pPr>
    </w:p>
    <w:p w14:paraId="1973238F" w14:textId="77777777" w:rsidR="001D25B6" w:rsidRDefault="00045531">
      <w:pPr>
        <w:spacing w:line="360" w:lineRule="auto"/>
      </w:pPr>
      <w:r>
        <w:rPr>
          <w:rFonts w:ascii="Arial" w:eastAsia="Arial" w:hAnsi="Arial" w:cs="Arial"/>
          <w:sz w:val="24"/>
          <w:szCs w:val="24"/>
        </w:rPr>
        <w:t>A análise SWOT do projeto Hub de Fornecedores para Microempreendedores indica que a equipe apresenta condições viáveis de desenvolvimento. O planejamento bem estruturado, a pesquisa de campo realizada com os dois lados do mercado e a clareza sobre o escopo de entrega do projeto formam uma base sólida para a continuidade do trabalho. O fato de o aprendizado das tecnologias ser contínuo reflete uma postura proativa da equipe, garantindo a atualização técnica do projeto.</w:t>
      </w:r>
    </w:p>
    <w:p w14:paraId="7127E563" w14:textId="77777777" w:rsidR="001D25B6" w:rsidRDefault="001D25B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2297E8E6" w14:textId="77777777" w:rsidR="001D25B6" w:rsidRDefault="0004553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principal oportunidade é a ausência de concorrência local direta, aliada à confirmação, pela pesquisa de campo, de que existe demanda não atendida nos dois lados da plataforma. A principal ameaça é a dependência do engajamento dos fornecedores, o que reforça a importância de priorizar o lado da oferta e buscar apoio institucional como a ACIA na fase inicial.</w:t>
      </w:r>
    </w:p>
    <w:sectPr w:rsidR="001D25B6">
      <w:pgSz w:w="11906" w:h="16838"/>
      <w:pgMar w:top="1440" w:right="108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Noto Serif CJK SC">
    <w:panose1 w:val="02020400000000000000"/>
    <w:charset w:val="00"/>
    <w:family w:val="roman"/>
    <w:pitch w:val="default"/>
  </w:font>
  <w:font w:name="Noto Sans Devanagari">
    <w:panose1 w:val="00000000000000000000"/>
    <w:charset w:val="00"/>
    <w:family w:val="roman"/>
    <w:pitch w:val="default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B6"/>
    <w:rsid w:val="00045531"/>
    <w:rsid w:val="001D25B6"/>
    <w:rsid w:val="0028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6E428"/>
  <w15:docId w15:val="{083649F0-EBB0-184B-B41F-C6C4370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1667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Rafael Felix</cp:lastModifiedBy>
  <cp:revision>2</cp:revision>
  <dcterms:created xsi:type="dcterms:W3CDTF">2026-04-08T08:46:00Z</dcterms:created>
  <dcterms:modified xsi:type="dcterms:W3CDTF">2026-04-08T08:46:00Z</dcterms:modified>
  <dc:language>pt-BR</dc:language>
</cp:coreProperties>
</file>