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ALUNO1: </w:t>
            </w:r>
            <w:r>
              <w:rPr>
                <w:lang w:val="pt-BR"/>
              </w:rPr>
              <w:t>Juliana Schlindwein.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rFonts w:cs="Calibri"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="Calibri" w:cstheme="minorHAnsi"/>
                <w:lang w:val="pt-BR"/>
              </w:rPr>
              <w:t xml:space="preserve"> </w:t>
            </w:r>
            <w:r>
              <w:rPr>
                <w:rFonts w:cs="Calibri" w:cstheme="minorHAnsi"/>
                <w:lang w:val="pt-BR"/>
              </w:rPr>
              <w:t>18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>Site de venda de perfumes.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>Login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 xml:space="preserve">Cadastro cliente 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>Cadastro produto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>Cadastro adm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 xml:space="preserve">Carinho de compras 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>Cadastro fornecedor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>Tabela cliente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 xml:space="preserve">Tabela produto 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>Tabela adm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 xml:space="preserve">Tabela fornecedor 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>Carinho de compras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FF0000"/>
                <w:lang w:val="pt-BR"/>
              </w:rPr>
              <w:t>Carinho de compras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rPr/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28"/>
              <w:szCs w:val="28"/>
              <w:highlight w:val="white"/>
              <w:lang w:val="pt-BR"/>
            </w:rPr>
          </w:pPr>
          <w:r>
            <w:rPr>
              <w:rFonts w:eastAsia="Arial" w:cs="Arial" w:ascii="Arial" w:hAnsi="Arial"/>
              <w:color w:val="202124"/>
              <w:sz w:val="28"/>
              <w:szCs w:val="28"/>
              <w:shd w:fill="FFFFFF" w:val="clear"/>
              <w:lang w:val="pt-BR"/>
            </w:rPr>
            <w:t>Centro Estadual de Educação Profissional Pedro Boaretto Neto</w:t>
          </w:r>
        </w:p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  <w:lang w:val="pt-BR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69</Words>
  <Characters>422</Characters>
  <CharactersWithSpaces>482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2023-03-03T15:18:08Z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95945B29D6BA46BABC5C63EB11EF0429</vt:lpwstr>
  </property>
  <property fmtid="{D5CDD505-2E9C-101B-9397-08002B2CF9AE}" pid="6" name="KSOProductBuildVer">
    <vt:lpwstr>1046-11.2.0.11440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