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 système de gestion de base de données pour l’Etat civil de la mairie de N’Djamena.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2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Réalisation d’une plateforme de déclaration des naissances pour les hôpitaux au Tchad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3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Mise en place d’une plateforme de réservation d'hôtel en ligne.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4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Développement d’un système de gestion des pointages horaires de travail pour WenakLabs.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5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 système de gestion des rendez-vous pour l'hôpital de la mère et l’enfant.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6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Réalisation d’un système de gestion de base de données pour la fonction publique du Tchad.</w:t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7: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 Réalisation d’une plateforme d’orientation et choix de filières universitaires pour les bacheliers du Tchad.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8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 système de suivi et numérisation des casiers judiciaires au Tchad.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9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Réalisation d’un système de base de données pour le suivi des élèves d’un Lycée au Tchad: Cas du Lycée Felix Eboue.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10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d’une plateforme de paiement des factures d’eau et d'électricité pour la SNE.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11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Mise en place d’une plateforme de suivi des anciens et nouveaux étudiants du projet Tech4Tchad.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12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 : Plateforme d’enregistrement et suivi des startups pour l’ANIE.</w:t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13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d’une plateforme de réservation des tickets de bus pour les agences de voyage.</w:t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14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Mise en place d’une plateforme pour le tracking des véhicules au Tchad.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15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d’une plateforme de commande des taxis pour les déplacements au Tchad.</w:t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16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d’une plateforme pour les anciens sujets des concours sous régionaux et internationaux pour les tchadiens.</w:t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17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réalisation d’une plateforme de commerce en ligne.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18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Système de gestion des notes pour les lycées au Tchad.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19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Réalisation d’une plateforme pour la demande des prêts bancaires.</w:t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52"/>
          <w:szCs w:val="52"/>
          <w:rtl w:val="0"/>
        </w:rPr>
        <w:t xml:space="preserve">Thème 20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: Conception et mise en place d’une plateforme pour les relevés des notes pour l’Université de N’Djamena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