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AE51C2" w:rsidP="005F055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>Synthèse du polystyrène</w:t>
      </w:r>
    </w:p>
    <w:p w:rsidR="00AE51C2" w:rsidRDefault="005F055B" w:rsidP="005F055B">
      <w:pPr>
        <w:pStyle w:val="Sansinterligne"/>
        <w:rPr>
          <w:i/>
        </w:rPr>
      </w:pPr>
      <w:r>
        <w:rPr>
          <w:i/>
        </w:rPr>
        <w:t>Référence</w:t>
      </w:r>
      <w:r w:rsidR="00AE51C2">
        <w:rPr>
          <w:i/>
        </w:rPr>
        <w:t>s</w:t>
      </w:r>
      <w:r>
        <w:rPr>
          <w:i/>
        </w:rPr>
        <w:t xml:space="preserve"> : </w:t>
      </w:r>
    </w:p>
    <w:p w:rsidR="005F055B" w:rsidRDefault="00AE51C2" w:rsidP="00AE51C2">
      <w:pPr>
        <w:pStyle w:val="Sansinterligne"/>
        <w:ind w:firstLine="708"/>
        <w:rPr>
          <w:i/>
        </w:rPr>
      </w:pPr>
      <w:r>
        <w:rPr>
          <w:iCs/>
        </w:rPr>
        <w:t xml:space="preserve">JFLM, </w:t>
      </w:r>
      <w:r>
        <w:rPr>
          <w:i/>
        </w:rPr>
        <w:t>La chimie expérimentale p.111 et suivantes</w:t>
      </w:r>
    </w:p>
    <w:p w:rsidR="00AE51C2" w:rsidRDefault="00AE51C2" w:rsidP="005F055B">
      <w:pPr>
        <w:pStyle w:val="Sansinterligne"/>
        <w:rPr>
          <w:i/>
        </w:rPr>
      </w:pPr>
      <w:r>
        <w:rPr>
          <w:i/>
        </w:rPr>
        <w:tab/>
      </w:r>
      <w:r>
        <w:rPr>
          <w:iCs/>
        </w:rPr>
        <w:t>DROUIN</w:t>
      </w:r>
      <w:r>
        <w:rPr>
          <w:i/>
        </w:rPr>
        <w:t>, Manipulations commentées de chimie organique p.186 et suivantes</w:t>
      </w:r>
    </w:p>
    <w:p w:rsidR="00AE51C2" w:rsidRPr="00AE51C2" w:rsidRDefault="00AE51C2" w:rsidP="00AE51C2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color w:val="0000CD"/>
          <w:sz w:val="20"/>
          <w:szCs w:val="20"/>
          <w:lang w:val="en-GB"/>
        </w:rPr>
      </w:pPr>
      <w:r>
        <w:rPr>
          <w:i/>
        </w:rPr>
        <w:tab/>
      </w:r>
      <w:r>
        <w:rPr>
          <w:rFonts w:ascii="Utopia-Italic" w:hAnsi="Utopia-Italic" w:cs="Utopia-Italic"/>
          <w:i/>
          <w:iCs/>
          <w:color w:val="000000"/>
        </w:rPr>
        <w:t>Cahier de laboratoire de la synthèse du polystyrène</w:t>
      </w:r>
      <w:r>
        <w:rPr>
          <w:rFonts w:ascii="Utopia-Regular" w:hAnsi="Utopia-Regular" w:cs="Utopia-Regular"/>
          <w:color w:val="000000"/>
        </w:rPr>
        <w:t xml:space="preserve">. </w:t>
      </w:r>
      <w:r w:rsidRPr="00AE51C2">
        <w:rPr>
          <w:rFonts w:ascii="Utopia-Regular" w:hAnsi="Utopia-Regular" w:cs="Utopia-Regular"/>
          <w:color w:val="000000"/>
          <w:sz w:val="18"/>
          <w:szCs w:val="18"/>
          <w:lang w:val="en-GB"/>
        </w:rPr>
        <w:t xml:space="preserve">URL </w:t>
      </w:r>
      <w:r w:rsidRPr="00AE51C2">
        <w:rPr>
          <w:rFonts w:ascii="Utopia-Regular" w:hAnsi="Utopia-Regular" w:cs="Utopia-Regular"/>
          <w:color w:val="000000"/>
          <w:lang w:val="en-GB"/>
        </w:rPr>
        <w:t xml:space="preserve">: </w:t>
      </w:r>
      <w:r w:rsidRPr="00AE51C2">
        <w:rPr>
          <w:rFonts w:ascii="LMMono12-Regular" w:hAnsi="LMMono12-Regular" w:cs="LMMono12-Regular"/>
          <w:color w:val="0000CD"/>
          <w:sz w:val="20"/>
          <w:szCs w:val="20"/>
          <w:lang w:val="en-GB"/>
        </w:rPr>
        <w:t>http://toulouse.udppc.asso.</w:t>
      </w:r>
    </w:p>
    <w:p w:rsidR="00AE51C2" w:rsidRPr="00AE51C2" w:rsidRDefault="00AE51C2" w:rsidP="00AE51C2">
      <w:pPr>
        <w:pStyle w:val="Sansinterligne"/>
        <w:rPr>
          <w:i/>
          <w:sz w:val="18"/>
          <w:szCs w:val="18"/>
        </w:rPr>
      </w:pPr>
      <w:proofErr w:type="spellStart"/>
      <w:r w:rsidRPr="00AE51C2">
        <w:rPr>
          <w:rFonts w:ascii="LMMono12-Regular" w:hAnsi="LMMono12-Regular" w:cs="LMMono12-Regular"/>
          <w:color w:val="0000CD"/>
          <w:sz w:val="20"/>
          <w:szCs w:val="20"/>
        </w:rPr>
        <w:t>fr</w:t>
      </w:r>
      <w:proofErr w:type="spellEnd"/>
      <w:r w:rsidRPr="00AE51C2">
        <w:rPr>
          <w:rFonts w:ascii="LMMono12-Regular" w:hAnsi="LMMono12-Regular" w:cs="LMMono12-Regular"/>
          <w:color w:val="0000CD"/>
          <w:sz w:val="20"/>
          <w:szCs w:val="20"/>
        </w:rPr>
        <w:t>/images/</w:t>
      </w:r>
      <w:proofErr w:type="spellStart"/>
      <w:r w:rsidRPr="00AE51C2">
        <w:rPr>
          <w:rFonts w:ascii="LMMono12-Regular" w:hAnsi="LMMono12-Regular" w:cs="LMMono12-Regular"/>
          <w:color w:val="0000CD"/>
          <w:sz w:val="20"/>
          <w:szCs w:val="20"/>
        </w:rPr>
        <w:t>pdf</w:t>
      </w:r>
      <w:proofErr w:type="spellEnd"/>
      <w:r w:rsidRPr="00AE51C2">
        <w:rPr>
          <w:rFonts w:ascii="LMMono12-Regular" w:hAnsi="LMMono12-Regular" w:cs="LMMono12-Regular"/>
          <w:color w:val="0000CD"/>
          <w:sz w:val="20"/>
          <w:szCs w:val="20"/>
        </w:rPr>
        <w:t>/Cahier_de_laboratoire_ONC_2013.pdf</w:t>
      </w:r>
      <w:r w:rsidRPr="00AE51C2">
        <w:rPr>
          <w:rFonts w:ascii="Utopia-Regular" w:hAnsi="Utopia-Regular" w:cs="Utopia-Regular"/>
          <w:color w:val="000000"/>
          <w:sz w:val="18"/>
          <w:szCs w:val="18"/>
        </w:rPr>
        <w:t>.</w:t>
      </w:r>
    </w:p>
    <w:p w:rsidR="005F055B" w:rsidRDefault="005F055B" w:rsidP="005F055B">
      <w:pPr>
        <w:pStyle w:val="Sansinterligne"/>
        <w:rPr>
          <w:i/>
        </w:rPr>
      </w:pPr>
    </w:p>
    <w:p w:rsidR="005F055B" w:rsidRDefault="005F055B" w:rsidP="005F055B">
      <w:pPr>
        <w:pStyle w:val="Sansinterligne"/>
      </w:pPr>
      <w:r>
        <w:t>Leçons potentielles :</w:t>
      </w:r>
      <w:r w:rsidR="00CC64FC">
        <w:t xml:space="preserve"> </w:t>
      </w:r>
      <w:r w:rsidR="00AE51C2">
        <w:t>2</w:t>
      </w:r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BC37E2" w:rsidRDefault="00BC37E2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5"/>
        <w:gridCol w:w="971"/>
        <w:gridCol w:w="1592"/>
        <w:gridCol w:w="1117"/>
        <w:gridCol w:w="1480"/>
        <w:gridCol w:w="1367"/>
      </w:tblGrid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Nom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Formule brute</w:t>
            </w:r>
          </w:p>
        </w:tc>
        <w:tc>
          <w:tcPr>
            <w:tcW w:w="1592" w:type="dxa"/>
          </w:tcPr>
          <w:p w:rsidR="00BC37E2" w:rsidRPr="000E3C51" w:rsidRDefault="00BC37E2" w:rsidP="005F055B">
            <w:pPr>
              <w:pStyle w:val="Sansinterligne"/>
            </w:pPr>
            <w:r w:rsidRPr="00BC37E2">
              <w:t>Masse molaire</w:t>
            </w:r>
            <w:r w:rsidR="000E3C51">
              <w:t xml:space="preserve"> (g.mol</w:t>
            </w:r>
            <w:r w:rsidR="000E3C51">
              <w:rPr>
                <w:vertAlign w:val="superscript"/>
              </w:rPr>
              <w:t>-1</w:t>
            </w:r>
            <w:r w:rsidR="000E3C51">
              <w:t>)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Densité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Température</w:t>
            </w:r>
          </w:p>
        </w:tc>
        <w:tc>
          <w:tcPr>
            <w:tcW w:w="1367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Sécurité</w:t>
            </w:r>
          </w:p>
        </w:tc>
      </w:tr>
      <w:tr w:rsidR="00AE51C2" w:rsidTr="000E3C51">
        <w:tc>
          <w:tcPr>
            <w:tcW w:w="2535" w:type="dxa"/>
          </w:tcPr>
          <w:p w:rsidR="00AE51C2" w:rsidRPr="00BC37E2" w:rsidRDefault="00AE51C2" w:rsidP="005F055B">
            <w:pPr>
              <w:pStyle w:val="Sansinterligne"/>
            </w:pPr>
            <w:r>
              <w:t>Styrène</w:t>
            </w:r>
          </w:p>
        </w:tc>
        <w:tc>
          <w:tcPr>
            <w:tcW w:w="971" w:type="dxa"/>
          </w:tcPr>
          <w:p w:rsidR="00AE51C2" w:rsidRPr="00AE51C2" w:rsidRDefault="00AE51C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8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1592" w:type="dxa"/>
          </w:tcPr>
          <w:p w:rsidR="00AE51C2" w:rsidRPr="00BC37E2" w:rsidRDefault="00AE51C2" w:rsidP="005F055B">
            <w:pPr>
              <w:pStyle w:val="Sansinterligne"/>
            </w:pPr>
            <w:r>
              <w:t>104,15</w:t>
            </w:r>
          </w:p>
        </w:tc>
        <w:tc>
          <w:tcPr>
            <w:tcW w:w="1117" w:type="dxa"/>
          </w:tcPr>
          <w:p w:rsidR="00AE51C2" w:rsidRPr="00BC37E2" w:rsidRDefault="00AE51C2" w:rsidP="005F055B">
            <w:pPr>
              <w:pStyle w:val="Sansinterligne"/>
            </w:pPr>
            <w:r>
              <w:t>0,91</w:t>
            </w:r>
          </w:p>
        </w:tc>
        <w:tc>
          <w:tcPr>
            <w:tcW w:w="1480" w:type="dxa"/>
          </w:tcPr>
          <w:p w:rsidR="00AE51C2" w:rsidRPr="00BC37E2" w:rsidRDefault="00AE51C2" w:rsidP="005F055B">
            <w:pPr>
              <w:pStyle w:val="Sansinterligne"/>
            </w:pPr>
            <w:r>
              <w:t>-</w:t>
            </w:r>
          </w:p>
        </w:tc>
        <w:tc>
          <w:tcPr>
            <w:tcW w:w="1367" w:type="dxa"/>
          </w:tcPr>
          <w:p w:rsidR="00AE51C2" w:rsidRDefault="00AE51C2" w:rsidP="005F055B">
            <w:pPr>
              <w:pStyle w:val="Sansinterligne"/>
            </w:pPr>
            <w:r>
              <w:t>Inflammable</w:t>
            </w:r>
          </w:p>
          <w:p w:rsidR="00AE51C2" w:rsidRDefault="00AE51C2" w:rsidP="005F055B">
            <w:pPr>
              <w:pStyle w:val="Sansinterligne"/>
            </w:pPr>
            <w:r>
              <w:t>Irritant</w:t>
            </w:r>
          </w:p>
          <w:p w:rsidR="00AE51C2" w:rsidRPr="00BC37E2" w:rsidRDefault="00AE51C2" w:rsidP="005F055B">
            <w:pPr>
              <w:pStyle w:val="Sansinterligne"/>
            </w:pPr>
            <w:r>
              <w:t>CMR</w:t>
            </w:r>
          </w:p>
        </w:tc>
      </w:tr>
      <w:tr w:rsidR="00AE51C2" w:rsidTr="000E3C51">
        <w:tc>
          <w:tcPr>
            <w:tcW w:w="2535" w:type="dxa"/>
          </w:tcPr>
          <w:p w:rsidR="00AE51C2" w:rsidRDefault="00AE51C2" w:rsidP="005F055B">
            <w:pPr>
              <w:pStyle w:val="Sansinterligne"/>
            </w:pPr>
            <w:r>
              <w:t xml:space="preserve">Soude </w:t>
            </w:r>
          </w:p>
        </w:tc>
        <w:tc>
          <w:tcPr>
            <w:tcW w:w="971" w:type="dxa"/>
          </w:tcPr>
          <w:p w:rsidR="00AE51C2" w:rsidRDefault="00AE51C2" w:rsidP="005F055B">
            <w:pPr>
              <w:pStyle w:val="Sansinterligne"/>
            </w:pPr>
            <w:proofErr w:type="spellStart"/>
            <w:r>
              <w:t>NaOH</w:t>
            </w:r>
            <w:proofErr w:type="spellEnd"/>
          </w:p>
        </w:tc>
        <w:tc>
          <w:tcPr>
            <w:tcW w:w="1592" w:type="dxa"/>
          </w:tcPr>
          <w:p w:rsidR="00AE51C2" w:rsidRDefault="00AE51C2" w:rsidP="005F055B">
            <w:pPr>
              <w:pStyle w:val="Sansinterligne"/>
            </w:pPr>
            <w:r>
              <w:t>39,9</w:t>
            </w:r>
          </w:p>
        </w:tc>
        <w:tc>
          <w:tcPr>
            <w:tcW w:w="1117" w:type="dxa"/>
          </w:tcPr>
          <w:p w:rsidR="00AE51C2" w:rsidRDefault="00AE51C2" w:rsidP="005F055B">
            <w:pPr>
              <w:pStyle w:val="Sansinterligne"/>
            </w:pPr>
            <w:r>
              <w:t>-</w:t>
            </w:r>
          </w:p>
        </w:tc>
        <w:tc>
          <w:tcPr>
            <w:tcW w:w="1480" w:type="dxa"/>
          </w:tcPr>
          <w:p w:rsidR="00AE51C2" w:rsidRDefault="00AE51C2" w:rsidP="005F055B">
            <w:pPr>
              <w:pStyle w:val="Sansinterligne"/>
            </w:pPr>
            <w:r>
              <w:t>-</w:t>
            </w:r>
          </w:p>
        </w:tc>
        <w:tc>
          <w:tcPr>
            <w:tcW w:w="1367" w:type="dxa"/>
          </w:tcPr>
          <w:p w:rsidR="00AE51C2" w:rsidRDefault="00AE51C2" w:rsidP="005F055B">
            <w:pPr>
              <w:pStyle w:val="Sansinterligne"/>
            </w:pPr>
            <w:r>
              <w:t>Corrosif</w:t>
            </w:r>
          </w:p>
        </w:tc>
      </w:tr>
      <w:tr w:rsidR="00042EFA" w:rsidTr="000E3C51">
        <w:tc>
          <w:tcPr>
            <w:tcW w:w="2535" w:type="dxa"/>
          </w:tcPr>
          <w:p w:rsidR="00042EFA" w:rsidRDefault="00042EFA" w:rsidP="005F055B">
            <w:pPr>
              <w:pStyle w:val="Sansinterligne"/>
            </w:pPr>
            <w:r>
              <w:t>Sulfate de magnésium anhydre</w:t>
            </w:r>
          </w:p>
        </w:tc>
        <w:tc>
          <w:tcPr>
            <w:tcW w:w="971" w:type="dxa"/>
          </w:tcPr>
          <w:p w:rsidR="00042EFA" w:rsidRPr="00D22905" w:rsidRDefault="00D22905" w:rsidP="005F055B">
            <w:pPr>
              <w:pStyle w:val="Sansinterligne"/>
            </w:pPr>
            <w:r>
              <w:t>MgSO</w:t>
            </w:r>
            <w:r>
              <w:rPr>
                <w:vertAlign w:val="subscript"/>
              </w:rPr>
              <w:t>4</w:t>
            </w:r>
          </w:p>
        </w:tc>
        <w:tc>
          <w:tcPr>
            <w:tcW w:w="1592" w:type="dxa"/>
          </w:tcPr>
          <w:p w:rsidR="00042EFA" w:rsidRDefault="00D22905" w:rsidP="005F055B">
            <w:pPr>
              <w:pStyle w:val="Sansinterligne"/>
            </w:pPr>
            <w:r>
              <w:t>120,37</w:t>
            </w:r>
          </w:p>
        </w:tc>
        <w:tc>
          <w:tcPr>
            <w:tcW w:w="1117" w:type="dxa"/>
          </w:tcPr>
          <w:p w:rsidR="00042EFA" w:rsidRDefault="00D22905" w:rsidP="005F055B">
            <w:pPr>
              <w:pStyle w:val="Sansinterligne"/>
            </w:pPr>
            <w:r>
              <w:t>-</w:t>
            </w:r>
          </w:p>
        </w:tc>
        <w:tc>
          <w:tcPr>
            <w:tcW w:w="1480" w:type="dxa"/>
          </w:tcPr>
          <w:p w:rsidR="00042EFA" w:rsidRDefault="00D22905" w:rsidP="005F055B">
            <w:pPr>
              <w:pStyle w:val="Sansinterligne"/>
            </w:pPr>
            <w:r>
              <w:t>-</w:t>
            </w:r>
          </w:p>
        </w:tc>
        <w:tc>
          <w:tcPr>
            <w:tcW w:w="1367" w:type="dxa"/>
          </w:tcPr>
          <w:p w:rsidR="00042EFA" w:rsidRDefault="00D22905" w:rsidP="005F055B">
            <w:pPr>
              <w:pStyle w:val="Sansinterligne"/>
            </w:pPr>
            <w:r>
              <w:t>-</w:t>
            </w:r>
          </w:p>
        </w:tc>
      </w:tr>
      <w:tr w:rsidR="00042EFA" w:rsidTr="000E3C51">
        <w:tc>
          <w:tcPr>
            <w:tcW w:w="2535" w:type="dxa"/>
          </w:tcPr>
          <w:p w:rsidR="00042EFA" w:rsidRDefault="00042EFA" w:rsidP="005F055B">
            <w:pPr>
              <w:pStyle w:val="Sansinterligne"/>
            </w:pPr>
            <w:r>
              <w:t>AIBN (solide)</w:t>
            </w:r>
          </w:p>
        </w:tc>
        <w:tc>
          <w:tcPr>
            <w:tcW w:w="971" w:type="dxa"/>
          </w:tcPr>
          <w:p w:rsidR="00042EFA" w:rsidRPr="00D22905" w:rsidRDefault="00D22905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8</w:t>
            </w:r>
            <w:r>
              <w:t>H</w:t>
            </w:r>
            <w:r>
              <w:rPr>
                <w:vertAlign w:val="subscript"/>
              </w:rPr>
              <w:t>12</w:t>
            </w:r>
            <w:r>
              <w:t>N</w:t>
            </w:r>
            <w:r>
              <w:rPr>
                <w:vertAlign w:val="subscript"/>
              </w:rPr>
              <w:t>4</w:t>
            </w:r>
          </w:p>
        </w:tc>
        <w:tc>
          <w:tcPr>
            <w:tcW w:w="1592" w:type="dxa"/>
          </w:tcPr>
          <w:p w:rsidR="00042EFA" w:rsidRDefault="00D22905" w:rsidP="005F055B">
            <w:pPr>
              <w:pStyle w:val="Sansinterligne"/>
            </w:pPr>
            <w:r>
              <w:t>164,21</w:t>
            </w:r>
          </w:p>
        </w:tc>
        <w:tc>
          <w:tcPr>
            <w:tcW w:w="1117" w:type="dxa"/>
          </w:tcPr>
          <w:p w:rsidR="00042EFA" w:rsidRDefault="00D22905" w:rsidP="005F055B">
            <w:pPr>
              <w:pStyle w:val="Sansinterligne"/>
            </w:pPr>
            <w:r>
              <w:t>-</w:t>
            </w:r>
          </w:p>
        </w:tc>
        <w:tc>
          <w:tcPr>
            <w:tcW w:w="1480" w:type="dxa"/>
          </w:tcPr>
          <w:p w:rsidR="00042EFA" w:rsidRDefault="00D22905" w:rsidP="005F055B">
            <w:pPr>
              <w:pStyle w:val="Sansinterligne"/>
            </w:pPr>
            <w:r>
              <w:t>-</w:t>
            </w:r>
          </w:p>
        </w:tc>
        <w:tc>
          <w:tcPr>
            <w:tcW w:w="1367" w:type="dxa"/>
          </w:tcPr>
          <w:p w:rsidR="00042EFA" w:rsidRDefault="00D22905" w:rsidP="005F055B">
            <w:pPr>
              <w:pStyle w:val="Sansinterligne"/>
            </w:pPr>
            <w:r>
              <w:t>Inflammable</w:t>
            </w:r>
          </w:p>
          <w:p w:rsidR="00D22905" w:rsidRDefault="00D22905" w:rsidP="005F055B">
            <w:pPr>
              <w:pStyle w:val="Sansinterligne"/>
            </w:pPr>
            <w:r>
              <w:t>Irritant</w:t>
            </w:r>
          </w:p>
        </w:tc>
      </w:tr>
      <w:tr w:rsidR="005E0354" w:rsidTr="000E3C51">
        <w:tc>
          <w:tcPr>
            <w:tcW w:w="2535" w:type="dxa"/>
          </w:tcPr>
          <w:p w:rsidR="005E0354" w:rsidRDefault="005E0354" w:rsidP="005F055B">
            <w:pPr>
              <w:pStyle w:val="Sansinterligne"/>
            </w:pPr>
            <w:r>
              <w:t>Toluène</w:t>
            </w:r>
          </w:p>
        </w:tc>
        <w:tc>
          <w:tcPr>
            <w:tcW w:w="971" w:type="dxa"/>
          </w:tcPr>
          <w:p w:rsidR="005E0354" w:rsidRPr="00D22905" w:rsidRDefault="00D22905" w:rsidP="005F055B">
            <w:pPr>
              <w:pStyle w:val="Sansinterligne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1592" w:type="dxa"/>
          </w:tcPr>
          <w:p w:rsidR="005E0354" w:rsidRDefault="00D22905" w:rsidP="005F055B">
            <w:pPr>
              <w:pStyle w:val="Sansinterligne"/>
            </w:pPr>
            <w:r>
              <w:t>92,14</w:t>
            </w:r>
          </w:p>
        </w:tc>
        <w:tc>
          <w:tcPr>
            <w:tcW w:w="1117" w:type="dxa"/>
          </w:tcPr>
          <w:p w:rsidR="005E0354" w:rsidRDefault="00D22905" w:rsidP="005F055B">
            <w:pPr>
              <w:pStyle w:val="Sansinterligne"/>
            </w:pPr>
            <w:r>
              <w:t>0,88</w:t>
            </w:r>
          </w:p>
        </w:tc>
        <w:tc>
          <w:tcPr>
            <w:tcW w:w="1480" w:type="dxa"/>
          </w:tcPr>
          <w:p w:rsidR="005E0354" w:rsidRPr="00D22905" w:rsidRDefault="00D22905" w:rsidP="005F055B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110 °C</w:t>
            </w:r>
          </w:p>
        </w:tc>
        <w:tc>
          <w:tcPr>
            <w:tcW w:w="1367" w:type="dxa"/>
          </w:tcPr>
          <w:p w:rsidR="005E0354" w:rsidRDefault="00D22905" w:rsidP="005F055B">
            <w:pPr>
              <w:pStyle w:val="Sansinterligne"/>
            </w:pPr>
            <w:r>
              <w:t>Inflammable</w:t>
            </w:r>
          </w:p>
          <w:p w:rsidR="00D22905" w:rsidRDefault="00D22905" w:rsidP="005F055B">
            <w:pPr>
              <w:pStyle w:val="Sansinterligne"/>
            </w:pPr>
            <w:r>
              <w:t>Irritant</w:t>
            </w:r>
          </w:p>
          <w:p w:rsidR="00D22905" w:rsidRDefault="00D22905" w:rsidP="005F055B">
            <w:pPr>
              <w:pStyle w:val="Sansinterligne"/>
            </w:pPr>
            <w:r>
              <w:t>CMR</w:t>
            </w:r>
          </w:p>
        </w:tc>
      </w:tr>
      <w:tr w:rsidR="005E0354" w:rsidTr="000E3C51">
        <w:tc>
          <w:tcPr>
            <w:tcW w:w="2535" w:type="dxa"/>
          </w:tcPr>
          <w:p w:rsidR="005E0354" w:rsidRDefault="005E0354" w:rsidP="005F055B">
            <w:pPr>
              <w:pStyle w:val="Sansinterligne"/>
            </w:pPr>
            <w:r>
              <w:t>Éthanol</w:t>
            </w:r>
          </w:p>
        </w:tc>
        <w:tc>
          <w:tcPr>
            <w:tcW w:w="971" w:type="dxa"/>
          </w:tcPr>
          <w:p w:rsidR="005E0354" w:rsidRPr="00D22905" w:rsidRDefault="00D22905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592" w:type="dxa"/>
          </w:tcPr>
          <w:p w:rsidR="005E0354" w:rsidRDefault="00D22905" w:rsidP="005F055B">
            <w:pPr>
              <w:pStyle w:val="Sansinterligne"/>
            </w:pPr>
            <w:r>
              <w:t>46,07</w:t>
            </w:r>
          </w:p>
        </w:tc>
        <w:tc>
          <w:tcPr>
            <w:tcW w:w="1117" w:type="dxa"/>
          </w:tcPr>
          <w:p w:rsidR="005E0354" w:rsidRDefault="00D22905" w:rsidP="005F055B">
            <w:pPr>
              <w:pStyle w:val="Sansinterligne"/>
            </w:pPr>
            <w:r>
              <w:t>0,789</w:t>
            </w:r>
          </w:p>
        </w:tc>
        <w:tc>
          <w:tcPr>
            <w:tcW w:w="1480" w:type="dxa"/>
          </w:tcPr>
          <w:p w:rsidR="005E0354" w:rsidRDefault="00D22905" w:rsidP="005F055B">
            <w:pPr>
              <w:pStyle w:val="Sansinterligne"/>
            </w:pPr>
            <w:r>
              <w:t>-</w:t>
            </w:r>
          </w:p>
        </w:tc>
        <w:tc>
          <w:tcPr>
            <w:tcW w:w="1367" w:type="dxa"/>
          </w:tcPr>
          <w:p w:rsidR="005E0354" w:rsidRDefault="00D22905" w:rsidP="005F055B">
            <w:pPr>
              <w:pStyle w:val="Sansinterligne"/>
            </w:pPr>
            <w:r>
              <w:t>-</w:t>
            </w:r>
          </w:p>
        </w:tc>
      </w:tr>
    </w:tbl>
    <w:p w:rsidR="005F055B" w:rsidRDefault="005F055B" w:rsidP="005F055B">
      <w:pPr>
        <w:pStyle w:val="Sansinterligne"/>
        <w:rPr>
          <w:u w:val="single"/>
        </w:rPr>
      </w:pPr>
    </w:p>
    <w:p w:rsidR="00AE51C2" w:rsidRDefault="00AE51C2" w:rsidP="005F055B">
      <w:pPr>
        <w:pStyle w:val="Sansinterligne"/>
        <w:rPr>
          <w:u w:val="single"/>
        </w:rPr>
      </w:pPr>
      <w:r>
        <w:rPr>
          <w:u w:val="single"/>
        </w:rPr>
        <w:t>Concentrations :</w:t>
      </w:r>
    </w:p>
    <w:p w:rsidR="00AE51C2" w:rsidRPr="00AE51C2" w:rsidRDefault="00AE51C2" w:rsidP="00AE51C2">
      <w:pPr>
        <w:pStyle w:val="Sansinterligne"/>
        <w:numPr>
          <w:ilvl w:val="0"/>
          <w:numId w:val="6"/>
        </w:numPr>
      </w:pPr>
      <w:r>
        <w:t>La soude doit être concentrée</w:t>
      </w:r>
      <w:r w:rsidR="00042EFA">
        <w:t xml:space="preserve"> (6 mol.L</w:t>
      </w:r>
      <w:r w:rsidR="00042EFA">
        <w:rPr>
          <w:vertAlign w:val="superscript"/>
        </w:rPr>
        <w:t>-1</w:t>
      </w:r>
      <w:r w:rsidR="00042EFA">
        <w:t>)</w:t>
      </w:r>
      <w:r>
        <w:t xml:space="preserve"> pour le lavage du styrène co</w:t>
      </w:r>
      <w:r w:rsidR="00042EFA">
        <w:t>mmercial</w:t>
      </w:r>
    </w:p>
    <w:p w:rsidR="00797E44" w:rsidRPr="00AE51C2" w:rsidRDefault="005F055B" w:rsidP="00AE51C2">
      <w:pPr>
        <w:pStyle w:val="Sansinterligne"/>
        <w:rPr>
          <w:u w:val="single"/>
        </w:rPr>
        <w:sectPr w:rsidR="00797E44" w:rsidRPr="00AE51C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u w:val="single"/>
        </w:rPr>
        <w:t>Matériels :</w:t>
      </w:r>
    </w:p>
    <w:p w:rsidR="00797E44" w:rsidRDefault="00797E44" w:rsidP="00AE51C2">
      <w:pPr>
        <w:pStyle w:val="Sansinterligne"/>
        <w:sectPr w:rsidR="00797E44" w:rsidSect="00AE51C2">
          <w:type w:val="continuous"/>
          <w:pgSz w:w="11906" w:h="16838"/>
          <w:pgMar w:top="1417" w:right="1417" w:bottom="1417" w:left="1417" w:header="708" w:footer="708" w:gutter="0"/>
          <w:cols w:space="0"/>
          <w:docGrid w:linePitch="360"/>
        </w:sectPr>
      </w:pPr>
    </w:p>
    <w:p w:rsidR="00B0724B" w:rsidRDefault="00AE51C2" w:rsidP="00AE51C2">
      <w:pPr>
        <w:pStyle w:val="Sansinterligne"/>
        <w:ind w:firstLine="708"/>
      </w:pPr>
      <w:r>
        <w:t>P</w:t>
      </w:r>
      <w:r w:rsidR="00B0724B">
        <w:t>our l</w:t>
      </w:r>
      <w:r>
        <w:t>e lavage du styrène commercial</w:t>
      </w:r>
      <w:r w:rsidR="00B0724B">
        <w:t> :</w:t>
      </w:r>
    </w:p>
    <w:p w:rsidR="00B0724B" w:rsidRPr="00B0724B" w:rsidRDefault="00AE51C2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Ampoule à décanter + support</w:t>
      </w:r>
    </w:p>
    <w:p w:rsidR="00B0724B" w:rsidRPr="00042EFA" w:rsidRDefault="00042EFA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 xml:space="preserve">Pipette jaugée de 15 </w:t>
      </w:r>
      <w:proofErr w:type="spellStart"/>
      <w:r>
        <w:t>mL</w:t>
      </w:r>
      <w:proofErr w:type="spellEnd"/>
      <w:r>
        <w:t xml:space="preserve"> + </w:t>
      </w:r>
      <w:proofErr w:type="spellStart"/>
      <w:r>
        <w:t>propipette</w:t>
      </w:r>
      <w:proofErr w:type="spellEnd"/>
    </w:p>
    <w:p w:rsidR="00042EFA" w:rsidRPr="00B0724B" w:rsidRDefault="00042EFA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 xml:space="preserve">Éprouvette graduée de 20 </w:t>
      </w:r>
      <w:proofErr w:type="spellStart"/>
      <w:r>
        <w:t>mL</w:t>
      </w:r>
      <w:proofErr w:type="spellEnd"/>
    </w:p>
    <w:p w:rsidR="00B0724B" w:rsidRPr="00797E44" w:rsidRDefault="00042EFA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Béchers (4) : styrène commercial, soude, phase aqueuse + styrène pur</w:t>
      </w:r>
    </w:p>
    <w:p w:rsidR="00797E44" w:rsidRPr="00797E44" w:rsidRDefault="00042EFA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Erlenmeyer (1) : phase organique</w:t>
      </w:r>
    </w:p>
    <w:p w:rsidR="00797E44" w:rsidRPr="00042EFA" w:rsidRDefault="00042EFA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Entonnoir à solide + support</w:t>
      </w:r>
    </w:p>
    <w:p w:rsidR="00042EFA" w:rsidRPr="00B0724B" w:rsidRDefault="00042EFA" w:rsidP="00042EFA">
      <w:pPr>
        <w:pStyle w:val="Sansinterligne"/>
        <w:ind w:left="2160"/>
        <w:rPr>
          <w:u w:val="single"/>
        </w:rPr>
      </w:pPr>
    </w:p>
    <w:p w:rsidR="00042EFA" w:rsidRDefault="00797E44" w:rsidP="00042EFA">
      <w:pPr>
        <w:pStyle w:val="Sansinterligne"/>
        <w:ind w:left="708"/>
      </w:pPr>
      <w:r>
        <w:t xml:space="preserve">Pour la </w:t>
      </w:r>
      <w:r w:rsidR="00042EFA">
        <w:t>synthèse</w:t>
      </w:r>
      <w:r>
        <w:t> :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Réfrigérant à eau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Potence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Pince deux doigts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Pince trois doigts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 xml:space="preserve">Ballon </w:t>
      </w:r>
      <w:proofErr w:type="spellStart"/>
      <w:r w:rsidR="00042EFA">
        <w:t>tricol</w:t>
      </w:r>
      <w:proofErr w:type="spellEnd"/>
    </w:p>
    <w:p w:rsidR="00042EFA" w:rsidRDefault="00042EFA" w:rsidP="00797E44">
      <w:pPr>
        <w:pStyle w:val="Sansinterligne"/>
        <w:numPr>
          <w:ilvl w:val="2"/>
          <w:numId w:val="1"/>
        </w:numPr>
      </w:pPr>
      <w:r>
        <w:t xml:space="preserve">Pipette jaugée de 5mL + </w:t>
      </w:r>
      <w:proofErr w:type="spellStart"/>
      <w:r>
        <w:t>propipette</w:t>
      </w:r>
      <w:proofErr w:type="spellEnd"/>
    </w:p>
    <w:p w:rsidR="00042EFA" w:rsidRDefault="00042EFA" w:rsidP="00797E44">
      <w:pPr>
        <w:pStyle w:val="Sansinterligne"/>
        <w:numPr>
          <w:ilvl w:val="2"/>
          <w:numId w:val="1"/>
        </w:numPr>
      </w:pPr>
      <w:r>
        <w:t>Balance + sabot de pesée + spatule</w:t>
      </w:r>
    </w:p>
    <w:p w:rsidR="005E0354" w:rsidRDefault="005E0354" w:rsidP="00797E44">
      <w:pPr>
        <w:pStyle w:val="Sansinterligne"/>
        <w:numPr>
          <w:ilvl w:val="2"/>
          <w:numId w:val="1"/>
        </w:numPr>
      </w:pPr>
      <w:r>
        <w:t xml:space="preserve">Éprouvette graduée de 10 </w:t>
      </w:r>
      <w:proofErr w:type="spellStart"/>
      <w:r>
        <w:t>mL</w:t>
      </w:r>
      <w:proofErr w:type="spellEnd"/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Agitateur magnétique chauffant</w:t>
      </w:r>
    </w:p>
    <w:p w:rsidR="00797E44" w:rsidRDefault="00042EFA" w:rsidP="00797E44">
      <w:pPr>
        <w:pStyle w:val="Sansinterligne"/>
        <w:numPr>
          <w:ilvl w:val="2"/>
          <w:numId w:val="1"/>
        </w:numPr>
      </w:pPr>
      <w:r>
        <w:t>Ampoule de coulée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 xml:space="preserve">Olive 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Support élévateur</w:t>
      </w:r>
    </w:p>
    <w:p w:rsidR="007875ED" w:rsidRDefault="007875ED" w:rsidP="00797E44">
      <w:pPr>
        <w:pStyle w:val="Sansinterligne"/>
        <w:ind w:left="708"/>
      </w:pPr>
    </w:p>
    <w:p w:rsidR="007875ED" w:rsidRDefault="007875ED" w:rsidP="00797E44">
      <w:pPr>
        <w:pStyle w:val="Sansinterligne"/>
        <w:ind w:left="708"/>
      </w:pPr>
    </w:p>
    <w:p w:rsidR="007875ED" w:rsidRDefault="007875ED" w:rsidP="00797E44">
      <w:pPr>
        <w:pStyle w:val="Sansinterligne"/>
        <w:ind w:left="708"/>
      </w:pPr>
    </w:p>
    <w:p w:rsidR="00797E44" w:rsidRDefault="00797E44" w:rsidP="00797E44">
      <w:pPr>
        <w:pStyle w:val="Sansinterligne"/>
        <w:ind w:left="708"/>
      </w:pPr>
      <w:r>
        <w:t xml:space="preserve">Pour </w:t>
      </w:r>
      <w:r w:rsidR="005E0354">
        <w:t>isoler le polystyrène</w:t>
      </w:r>
      <w:r>
        <w:t> :</w:t>
      </w:r>
    </w:p>
    <w:p w:rsidR="00797E44" w:rsidRDefault="007875ED" w:rsidP="00797E44">
      <w:pPr>
        <w:pStyle w:val="Sansinterligne"/>
        <w:numPr>
          <w:ilvl w:val="2"/>
          <w:numId w:val="1"/>
        </w:numPr>
      </w:pPr>
      <w:r>
        <w:t xml:space="preserve">Éprouvette graduée de 200 </w:t>
      </w:r>
      <w:proofErr w:type="spellStart"/>
      <w:r>
        <w:t>mL</w:t>
      </w:r>
      <w:proofErr w:type="spellEnd"/>
    </w:p>
    <w:p w:rsidR="00797E44" w:rsidRDefault="007875ED" w:rsidP="00797E44">
      <w:pPr>
        <w:pStyle w:val="Sansinterligne"/>
        <w:numPr>
          <w:ilvl w:val="2"/>
          <w:numId w:val="1"/>
        </w:numPr>
      </w:pPr>
      <w:r>
        <w:t xml:space="preserve">Bécher de 400 </w:t>
      </w:r>
      <w:proofErr w:type="spellStart"/>
      <w:r>
        <w:t>mL</w:t>
      </w:r>
      <w:proofErr w:type="spellEnd"/>
    </w:p>
    <w:p w:rsidR="00797E44" w:rsidRDefault="007875ED" w:rsidP="00797E44">
      <w:pPr>
        <w:pStyle w:val="Sansinterligne"/>
        <w:numPr>
          <w:ilvl w:val="2"/>
          <w:numId w:val="1"/>
        </w:numPr>
      </w:pPr>
      <w:r>
        <w:t>Baguette en verre</w:t>
      </w:r>
    </w:p>
    <w:p w:rsidR="00797E44" w:rsidRDefault="007875ED" w:rsidP="00797E44">
      <w:pPr>
        <w:pStyle w:val="Sansinterligne"/>
        <w:numPr>
          <w:ilvl w:val="2"/>
          <w:numId w:val="1"/>
        </w:numPr>
      </w:pPr>
      <w:r>
        <w:t>Fiole à vide + filtre Buchner</w:t>
      </w:r>
    </w:p>
    <w:p w:rsidR="00797E44" w:rsidRDefault="007875ED" w:rsidP="00797E44">
      <w:pPr>
        <w:pStyle w:val="Sansinterligne"/>
        <w:numPr>
          <w:ilvl w:val="2"/>
          <w:numId w:val="1"/>
        </w:numPr>
      </w:pPr>
      <w:r>
        <w:t>Verre de montre</w:t>
      </w:r>
    </w:p>
    <w:p w:rsidR="00656094" w:rsidRDefault="00656094" w:rsidP="00656094">
      <w:pPr>
        <w:pStyle w:val="Sansinterligne"/>
        <w:ind w:left="708"/>
      </w:pPr>
    </w:p>
    <w:p w:rsidR="00656094" w:rsidRDefault="00656094" w:rsidP="00656094">
      <w:pPr>
        <w:pStyle w:val="Sansinterligne"/>
        <w:ind w:left="708"/>
      </w:pPr>
      <w:r>
        <w:t>Pour isoler l</w:t>
      </w:r>
      <w:r>
        <w:t>a CCM</w:t>
      </w:r>
      <w:r>
        <w:t> :</w:t>
      </w:r>
    </w:p>
    <w:p w:rsidR="00656094" w:rsidRDefault="00656094" w:rsidP="00656094">
      <w:pPr>
        <w:pStyle w:val="Sansinterligne"/>
        <w:numPr>
          <w:ilvl w:val="2"/>
          <w:numId w:val="1"/>
        </w:numPr>
      </w:pPr>
      <w:r>
        <w:t>Cuve CCM</w:t>
      </w:r>
    </w:p>
    <w:p w:rsidR="00656094" w:rsidRDefault="00656094" w:rsidP="00656094">
      <w:pPr>
        <w:pStyle w:val="Sansinterligne"/>
        <w:numPr>
          <w:ilvl w:val="2"/>
          <w:numId w:val="1"/>
        </w:numPr>
      </w:pPr>
      <w:r>
        <w:t>Plaque CCM</w:t>
      </w:r>
    </w:p>
    <w:p w:rsidR="00656094" w:rsidRDefault="00656094" w:rsidP="00656094">
      <w:pPr>
        <w:pStyle w:val="Sansinterligne"/>
        <w:numPr>
          <w:ilvl w:val="2"/>
          <w:numId w:val="1"/>
        </w:numPr>
      </w:pPr>
      <w:r>
        <w:t>Lampe UV</w:t>
      </w:r>
    </w:p>
    <w:p w:rsidR="00656094" w:rsidRDefault="00656094" w:rsidP="00656094">
      <w:pPr>
        <w:pStyle w:val="Sansinterligne"/>
      </w:pPr>
    </w:p>
    <w:p w:rsidR="00797E44" w:rsidRDefault="00797E44" w:rsidP="005F055B">
      <w:pPr>
        <w:pStyle w:val="Sansinterligne"/>
        <w:rPr>
          <w:u w:val="single"/>
        </w:rPr>
      </w:pPr>
      <w:bookmarkStart w:id="0" w:name="_GoBack"/>
      <w:bookmarkEnd w:id="0"/>
    </w:p>
    <w:p w:rsidR="00B0724B" w:rsidRDefault="00D22905" w:rsidP="005F055B">
      <w:pPr>
        <w:pStyle w:val="Sansinterligne"/>
        <w:rPr>
          <w:u w:val="single"/>
        </w:rPr>
      </w:pPr>
      <w:r>
        <w:rPr>
          <w:u w:val="single"/>
        </w:rPr>
        <w:t>P</w:t>
      </w:r>
      <w:r w:rsidR="005F055B">
        <w:rPr>
          <w:u w:val="single"/>
        </w:rPr>
        <w:t>rotocole :</w:t>
      </w:r>
    </w:p>
    <w:p w:rsidR="00042EFA" w:rsidRDefault="00042EFA" w:rsidP="005F055B">
      <w:pPr>
        <w:pStyle w:val="Sansinterligne"/>
      </w:pPr>
      <w:r>
        <w:tab/>
        <w:t xml:space="preserve">Pour le lavage : </w:t>
      </w:r>
    </w:p>
    <w:p w:rsidR="00042EFA" w:rsidRDefault="00042EFA" w:rsidP="005F055B">
      <w:pPr>
        <w:pStyle w:val="Sansinterligne"/>
      </w:pPr>
      <w:r>
        <w:tab/>
      </w:r>
      <w:r>
        <w:tab/>
        <w:t xml:space="preserve">Dans une ampoule à décanter, introduire 15 </w:t>
      </w:r>
      <w:proofErr w:type="spellStart"/>
      <w:r>
        <w:t>mL</w:t>
      </w:r>
      <w:proofErr w:type="spellEnd"/>
      <w:r>
        <w:t xml:space="preserve"> de styrène commercial et de la soude (à peu près autant que de styrène). Séparer les deux phases. La phase organique (au-dessus) contient uniquement du styrène pur.</w:t>
      </w:r>
    </w:p>
    <w:p w:rsidR="00042EFA" w:rsidRDefault="00042EFA" w:rsidP="00042EFA">
      <w:pPr>
        <w:pStyle w:val="Sansinterligne"/>
        <w:ind w:left="708" w:firstLine="708"/>
      </w:pPr>
      <w:r>
        <w:t>Sécher la phase organique à l’aide de sulfate de magnésium anhydre.</w:t>
      </w:r>
    </w:p>
    <w:p w:rsidR="00042EFA" w:rsidRPr="00042EFA" w:rsidRDefault="00042EFA" w:rsidP="00042EFA">
      <w:pPr>
        <w:pStyle w:val="Sansinterligne"/>
        <w:ind w:left="708" w:firstLine="708"/>
      </w:pPr>
      <w:r>
        <w:t>Filtrer la phase organique par un dispositif de filtration simple.</w:t>
      </w:r>
    </w:p>
    <w:p w:rsidR="00042EFA" w:rsidRDefault="00B0724B" w:rsidP="005F055B">
      <w:pPr>
        <w:pStyle w:val="Sansinterligne"/>
      </w:pPr>
      <w:r>
        <w:tab/>
      </w:r>
    </w:p>
    <w:p w:rsidR="00042EFA" w:rsidRDefault="00042EFA" w:rsidP="005F055B">
      <w:pPr>
        <w:pStyle w:val="Sansinterligne"/>
      </w:pPr>
      <w:r>
        <w:tab/>
        <w:t>Pour la synthèse :</w:t>
      </w:r>
    </w:p>
    <w:p w:rsidR="00042EFA" w:rsidRDefault="00042EFA" w:rsidP="005F055B">
      <w:pPr>
        <w:pStyle w:val="Sansinterligne"/>
      </w:pPr>
      <w:r>
        <w:tab/>
      </w:r>
      <w:r>
        <w:tab/>
        <w:t xml:space="preserve">Monter un montage à reflux avec un ballon </w:t>
      </w:r>
      <w:proofErr w:type="spellStart"/>
      <w:r>
        <w:t>tricol</w:t>
      </w:r>
      <w:proofErr w:type="spellEnd"/>
      <w:r>
        <w:t>.</w:t>
      </w:r>
    </w:p>
    <w:p w:rsidR="00042EFA" w:rsidRDefault="00042EFA" w:rsidP="005F055B">
      <w:pPr>
        <w:pStyle w:val="Sansinterligne"/>
      </w:pPr>
      <w:r>
        <w:tab/>
      </w:r>
      <w:r>
        <w:tab/>
        <w:t xml:space="preserve">Introduire 5 </w:t>
      </w:r>
      <w:proofErr w:type="spellStart"/>
      <w:r>
        <w:t>mL</w:t>
      </w:r>
      <w:proofErr w:type="spellEnd"/>
      <w:r>
        <w:t xml:space="preserve"> de styrène pur (solution obtenue avant)</w:t>
      </w:r>
    </w:p>
    <w:p w:rsidR="00042EFA" w:rsidRDefault="00042EFA" w:rsidP="005F055B">
      <w:pPr>
        <w:pStyle w:val="Sansinterligne"/>
      </w:pPr>
      <w:r>
        <w:tab/>
      </w:r>
      <w:r>
        <w:tab/>
        <w:t>Ajouter 200 mg d’AIBN</w:t>
      </w:r>
    </w:p>
    <w:p w:rsidR="005E0354" w:rsidRDefault="005E0354" w:rsidP="005F055B">
      <w:pPr>
        <w:pStyle w:val="Sansinterligne"/>
      </w:pPr>
      <w:r>
        <w:tab/>
      </w:r>
      <w:r>
        <w:tab/>
        <w:t xml:space="preserve">Placer 10 </w:t>
      </w:r>
      <w:proofErr w:type="spellStart"/>
      <w:r>
        <w:t>mL</w:t>
      </w:r>
      <w:proofErr w:type="spellEnd"/>
      <w:r>
        <w:t xml:space="preserve"> de toluène dans l’ampoule de coulée</w:t>
      </w:r>
    </w:p>
    <w:p w:rsidR="005E0354" w:rsidRDefault="005E0354" w:rsidP="005F055B">
      <w:pPr>
        <w:pStyle w:val="Sansinterligne"/>
      </w:pPr>
      <w:r>
        <w:tab/>
      </w:r>
      <w:r>
        <w:tab/>
        <w:t>Chauffer à entre 100 et 110°C pendant 45 minutes</w:t>
      </w:r>
    </w:p>
    <w:p w:rsidR="005E0354" w:rsidRDefault="005E0354" w:rsidP="005F055B">
      <w:pPr>
        <w:pStyle w:val="Sansinterligne"/>
      </w:pPr>
    </w:p>
    <w:p w:rsidR="005E0354" w:rsidRDefault="005E0354" w:rsidP="005F055B">
      <w:pPr>
        <w:pStyle w:val="Sansinterligne"/>
      </w:pPr>
      <w:r>
        <w:tab/>
      </w:r>
      <w:r>
        <w:tab/>
        <w:t xml:space="preserve">Ajouter les 10 </w:t>
      </w:r>
      <w:proofErr w:type="spellStart"/>
      <w:r>
        <w:t>mL</w:t>
      </w:r>
      <w:proofErr w:type="spellEnd"/>
      <w:r>
        <w:t xml:space="preserve"> de toluène et maintenir l’agitation (ou ajout du toluène en cours de réaction pour que le mélange ne s’épaississe pas trop.</w:t>
      </w:r>
    </w:p>
    <w:p w:rsidR="00797E44" w:rsidRDefault="00797E44" w:rsidP="005F055B">
      <w:pPr>
        <w:pStyle w:val="Sansinterligne"/>
      </w:pPr>
    </w:p>
    <w:p w:rsidR="00AA5101" w:rsidRDefault="00797E44" w:rsidP="005E0354">
      <w:pPr>
        <w:pStyle w:val="Sansinterligne"/>
      </w:pPr>
      <w:r>
        <w:tab/>
        <w:t>P</w:t>
      </w:r>
      <w:r w:rsidR="005E0354">
        <w:t>our isoler le polystyrène :</w:t>
      </w:r>
    </w:p>
    <w:p w:rsidR="007875ED" w:rsidRDefault="007875ED" w:rsidP="005E0354">
      <w:pPr>
        <w:pStyle w:val="Sansinterligne"/>
      </w:pPr>
      <w:r>
        <w:tab/>
      </w:r>
      <w:r>
        <w:tab/>
        <w:t xml:space="preserve">Introduire dans un bécher de 400 </w:t>
      </w:r>
      <w:proofErr w:type="spellStart"/>
      <w:r>
        <w:t>mL</w:t>
      </w:r>
      <w:proofErr w:type="spellEnd"/>
      <w:r>
        <w:t xml:space="preserve"> 200mL d’éthanol </w:t>
      </w:r>
    </w:p>
    <w:p w:rsidR="007875ED" w:rsidRDefault="007875ED" w:rsidP="005E0354">
      <w:pPr>
        <w:pStyle w:val="Sansinterligne"/>
      </w:pPr>
      <w:r>
        <w:tab/>
      </w:r>
      <w:r>
        <w:tab/>
        <w:t>Introduire dans ce même bécher le mélange réactionnel</w:t>
      </w:r>
    </w:p>
    <w:p w:rsidR="007875ED" w:rsidRDefault="007875ED" w:rsidP="005E0354">
      <w:pPr>
        <w:pStyle w:val="Sansinterligne"/>
      </w:pPr>
      <w:r>
        <w:tab/>
      </w:r>
      <w:r>
        <w:tab/>
        <w:t>Essorer le mélange obtenu sur Büchner et récupérer le polymère (à l’aide d’une baguette en verre si non filtrable)</w:t>
      </w:r>
    </w:p>
    <w:p w:rsidR="005E0354" w:rsidRDefault="007875ED" w:rsidP="005E0354">
      <w:pPr>
        <w:pStyle w:val="Sansinterligne"/>
      </w:pPr>
      <w:r>
        <w:tab/>
      </w:r>
      <w:r>
        <w:tab/>
      </w:r>
    </w:p>
    <w:p w:rsidR="00D11E3D" w:rsidRDefault="00D11E3D" w:rsidP="005F055B">
      <w:pPr>
        <w:pStyle w:val="Sansinterligne"/>
      </w:pPr>
      <w:r>
        <w:tab/>
        <w:t>Pour la CCM :</w:t>
      </w:r>
    </w:p>
    <w:p w:rsidR="005F055B" w:rsidRPr="005F055B" w:rsidRDefault="00D11E3D" w:rsidP="00656094">
      <w:pPr>
        <w:pStyle w:val="Sansinterligne"/>
        <w:rPr>
          <w:u w:val="single"/>
        </w:rPr>
      </w:pPr>
      <w:r>
        <w:tab/>
      </w:r>
      <w:r>
        <w:tab/>
      </w:r>
    </w:p>
    <w:sectPr w:rsidR="005F055B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1362B"/>
    <w:multiLevelType w:val="hybridMultilevel"/>
    <w:tmpl w:val="4E14EC54"/>
    <w:lvl w:ilvl="0" w:tplc="7730F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74E09"/>
    <w:multiLevelType w:val="hybridMultilevel"/>
    <w:tmpl w:val="696CC010"/>
    <w:lvl w:ilvl="0" w:tplc="4D32D04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42EFA"/>
    <w:rsid w:val="000B6985"/>
    <w:rsid w:val="000E1EE7"/>
    <w:rsid w:val="000E3C51"/>
    <w:rsid w:val="00397AF0"/>
    <w:rsid w:val="004119FB"/>
    <w:rsid w:val="004A151E"/>
    <w:rsid w:val="005B4223"/>
    <w:rsid w:val="005E0354"/>
    <w:rsid w:val="005F055B"/>
    <w:rsid w:val="00656094"/>
    <w:rsid w:val="00674263"/>
    <w:rsid w:val="007202EC"/>
    <w:rsid w:val="00733D95"/>
    <w:rsid w:val="007875ED"/>
    <w:rsid w:val="00797E44"/>
    <w:rsid w:val="00AA5101"/>
    <w:rsid w:val="00AE51C2"/>
    <w:rsid w:val="00B0724B"/>
    <w:rsid w:val="00BC37E2"/>
    <w:rsid w:val="00CC64FC"/>
    <w:rsid w:val="00D11E3D"/>
    <w:rsid w:val="00D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6821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BC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5</cp:revision>
  <dcterms:created xsi:type="dcterms:W3CDTF">2020-03-27T09:14:00Z</dcterms:created>
  <dcterms:modified xsi:type="dcterms:W3CDTF">2020-03-27T11:08:00Z</dcterms:modified>
</cp:coreProperties>
</file>