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B" w:rsidRPr="005F055B" w:rsidRDefault="00674263" w:rsidP="005F055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>Condensation aldolique</w:t>
      </w:r>
    </w:p>
    <w:p w:rsidR="005F055B" w:rsidRDefault="005F055B" w:rsidP="005F055B">
      <w:pPr>
        <w:pStyle w:val="Sansinterligne"/>
        <w:rPr>
          <w:i/>
        </w:rPr>
      </w:pPr>
      <w:r>
        <w:rPr>
          <w:i/>
        </w:rPr>
        <w:t xml:space="preserve">Référence : </w:t>
      </w:r>
      <w:r w:rsidR="00674263">
        <w:rPr>
          <w:i/>
        </w:rPr>
        <w:t>40 expériences illustrées de chimie générale et organique (p.254 et suivantes)</w:t>
      </w:r>
    </w:p>
    <w:p w:rsidR="005F055B" w:rsidRDefault="005F055B" w:rsidP="005F055B">
      <w:pPr>
        <w:pStyle w:val="Sansinterligne"/>
        <w:rPr>
          <w:i/>
        </w:rPr>
      </w:pPr>
    </w:p>
    <w:p w:rsidR="005F055B" w:rsidRDefault="005F055B" w:rsidP="005F055B">
      <w:pPr>
        <w:pStyle w:val="Sansinterligne"/>
      </w:pPr>
      <w:r>
        <w:t>Leçons potentielles :</w:t>
      </w:r>
      <w:r w:rsidR="00CC64FC">
        <w:t xml:space="preserve"> 3</w:t>
      </w:r>
      <w:bookmarkStart w:id="0" w:name="_GoBack"/>
      <w:bookmarkEnd w:id="0"/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BC37E2" w:rsidRDefault="00BC37E2" w:rsidP="005F055B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35"/>
        <w:gridCol w:w="971"/>
        <w:gridCol w:w="1592"/>
        <w:gridCol w:w="1117"/>
        <w:gridCol w:w="1480"/>
        <w:gridCol w:w="1367"/>
      </w:tblGrid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Nom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Formule brute</w:t>
            </w:r>
          </w:p>
        </w:tc>
        <w:tc>
          <w:tcPr>
            <w:tcW w:w="1592" w:type="dxa"/>
          </w:tcPr>
          <w:p w:rsidR="00BC37E2" w:rsidRPr="000E3C51" w:rsidRDefault="00BC37E2" w:rsidP="005F055B">
            <w:pPr>
              <w:pStyle w:val="Sansinterligne"/>
            </w:pPr>
            <w:r w:rsidRPr="00BC37E2">
              <w:t>Masse molaire</w:t>
            </w:r>
            <w:r w:rsidR="000E3C51">
              <w:t xml:space="preserve"> (g.mol</w:t>
            </w:r>
            <w:r w:rsidR="000E3C51">
              <w:rPr>
                <w:vertAlign w:val="superscript"/>
              </w:rPr>
              <w:t>-1</w:t>
            </w:r>
            <w:r w:rsidR="000E3C51">
              <w:t>)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Densité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Température</w:t>
            </w:r>
          </w:p>
        </w:tc>
        <w:tc>
          <w:tcPr>
            <w:tcW w:w="1367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Sécurité</w:t>
            </w:r>
          </w:p>
        </w:tc>
      </w:tr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4-méthylacétophénone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C</w:t>
            </w:r>
            <w:r w:rsidRPr="00BC37E2">
              <w:rPr>
                <w:vertAlign w:val="subscript"/>
              </w:rPr>
              <w:t>9</w:t>
            </w:r>
            <w:r w:rsidRPr="00BC37E2">
              <w:t>H</w:t>
            </w:r>
            <w:r w:rsidRPr="00BC37E2">
              <w:rPr>
                <w:vertAlign w:val="subscript"/>
              </w:rPr>
              <w:t>10</w:t>
            </w:r>
            <w:r w:rsidRPr="00BC37E2">
              <w:t>0</w:t>
            </w:r>
          </w:p>
        </w:tc>
        <w:tc>
          <w:tcPr>
            <w:tcW w:w="1592" w:type="dxa"/>
          </w:tcPr>
          <w:p w:rsidR="00BC37E2" w:rsidRPr="00BC37E2" w:rsidRDefault="00BC37E2" w:rsidP="005F055B">
            <w:pPr>
              <w:pStyle w:val="Sansinterligne"/>
            </w:pPr>
            <w:r w:rsidRPr="00BC37E2">
              <w:t>1</w:t>
            </w:r>
            <w:r>
              <w:t>34,18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>
              <w:t>1,005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fus</w:t>
            </w:r>
            <w:r>
              <w:t xml:space="preserve"> = 22°C</w:t>
            </w:r>
          </w:p>
        </w:tc>
        <w:tc>
          <w:tcPr>
            <w:tcW w:w="1367" w:type="dxa"/>
          </w:tcPr>
          <w:p w:rsidR="00BC37E2" w:rsidRDefault="00BC37E2" w:rsidP="005F055B">
            <w:pPr>
              <w:pStyle w:val="Sansinterligne"/>
            </w:pPr>
            <w:r>
              <w:t>Inflammable</w:t>
            </w:r>
          </w:p>
          <w:p w:rsidR="00BC37E2" w:rsidRPr="00BC37E2" w:rsidRDefault="00BC37E2" w:rsidP="005F055B">
            <w:pPr>
              <w:pStyle w:val="Sansinterligne"/>
            </w:pPr>
            <w:r>
              <w:rPr>
                <w:noProof/>
              </w:rPr>
              <w:t>Irritant</w:t>
            </w:r>
          </w:p>
        </w:tc>
      </w:tr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>
              <w:t>4-méthoxybenzaldéhyde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8</w:t>
            </w:r>
            <w:r>
              <w:t>H</w:t>
            </w:r>
            <w:r>
              <w:rPr>
                <w:vertAlign w:val="subscript"/>
              </w:rPr>
              <w:t>8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592" w:type="dxa"/>
          </w:tcPr>
          <w:p w:rsidR="00BC37E2" w:rsidRPr="00BC37E2" w:rsidRDefault="00BC37E2" w:rsidP="005F055B">
            <w:pPr>
              <w:pStyle w:val="Sansinterligne"/>
            </w:pPr>
            <w:r>
              <w:t>136,15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>
              <w:t>1,119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 xml:space="preserve">fus </w:t>
            </w:r>
            <w:r>
              <w:t>= -1°C</w:t>
            </w:r>
          </w:p>
        </w:tc>
        <w:tc>
          <w:tcPr>
            <w:tcW w:w="1367" w:type="dxa"/>
          </w:tcPr>
          <w:p w:rsidR="00BC37E2" w:rsidRPr="00BC37E2" w:rsidRDefault="00BC37E2" w:rsidP="005F055B">
            <w:pPr>
              <w:pStyle w:val="Sansinterligne"/>
            </w:pPr>
            <w:r>
              <w:t>Irritant</w:t>
            </w:r>
          </w:p>
        </w:tc>
      </w:tr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>
              <w:t>Hydroxyde sodium (solide)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>
              <w:t>NaOH</w:t>
            </w:r>
          </w:p>
        </w:tc>
        <w:tc>
          <w:tcPr>
            <w:tcW w:w="1592" w:type="dxa"/>
          </w:tcPr>
          <w:p w:rsidR="00BC37E2" w:rsidRPr="00BC37E2" w:rsidRDefault="00BC37E2" w:rsidP="005F055B">
            <w:pPr>
              <w:pStyle w:val="Sansinterligne"/>
            </w:pPr>
            <w:r>
              <w:t>40,00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>
              <w:t>-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 xml:space="preserve">fus </w:t>
            </w:r>
            <w:r>
              <w:t>= 318°C</w:t>
            </w:r>
          </w:p>
        </w:tc>
        <w:tc>
          <w:tcPr>
            <w:tcW w:w="1367" w:type="dxa"/>
          </w:tcPr>
          <w:p w:rsidR="00BC37E2" w:rsidRPr="00BC37E2" w:rsidRDefault="00BC37E2" w:rsidP="005F055B">
            <w:pPr>
              <w:pStyle w:val="Sansinterligne"/>
            </w:pPr>
            <w:r>
              <w:t>Corrosif</w:t>
            </w:r>
          </w:p>
        </w:tc>
      </w:tr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>
              <w:t>Dichlorométhane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>
              <w:t>CH</w:t>
            </w:r>
            <w:r>
              <w:rPr>
                <w:vertAlign w:val="subscript"/>
              </w:rPr>
              <w:t>2</w:t>
            </w:r>
            <w:r>
              <w:t>Cl</w:t>
            </w:r>
            <w:r>
              <w:rPr>
                <w:vertAlign w:val="subscript"/>
              </w:rPr>
              <w:t>2</w:t>
            </w:r>
          </w:p>
        </w:tc>
        <w:tc>
          <w:tcPr>
            <w:tcW w:w="1592" w:type="dxa"/>
          </w:tcPr>
          <w:p w:rsidR="00BC37E2" w:rsidRPr="00BC37E2" w:rsidRDefault="00BC37E2" w:rsidP="005F055B">
            <w:pPr>
              <w:pStyle w:val="Sansinterligne"/>
            </w:pPr>
            <w:r>
              <w:t>84,93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>
              <w:t>1,325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40°C</w:t>
            </w:r>
          </w:p>
        </w:tc>
        <w:tc>
          <w:tcPr>
            <w:tcW w:w="1367" w:type="dxa"/>
          </w:tcPr>
          <w:p w:rsidR="00BC37E2" w:rsidRPr="00BC37E2" w:rsidRDefault="00BC37E2" w:rsidP="005F055B">
            <w:pPr>
              <w:pStyle w:val="Sansinterligne"/>
            </w:pPr>
            <w:r>
              <w:t>CMR</w:t>
            </w:r>
          </w:p>
        </w:tc>
      </w:tr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>
              <w:t>Cyclohexane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12</w:t>
            </w:r>
          </w:p>
        </w:tc>
        <w:tc>
          <w:tcPr>
            <w:tcW w:w="1592" w:type="dxa"/>
          </w:tcPr>
          <w:p w:rsidR="00BC37E2" w:rsidRPr="00BC37E2" w:rsidRDefault="00BC37E2" w:rsidP="005F055B">
            <w:pPr>
              <w:pStyle w:val="Sansinterligne"/>
            </w:pPr>
            <w:r>
              <w:t>84,16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>
              <w:t>0,778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80,7°C</w:t>
            </w:r>
          </w:p>
        </w:tc>
        <w:tc>
          <w:tcPr>
            <w:tcW w:w="1367" w:type="dxa"/>
          </w:tcPr>
          <w:p w:rsidR="00BC37E2" w:rsidRDefault="00BC37E2" w:rsidP="005F055B">
            <w:pPr>
              <w:pStyle w:val="Sansinterligne"/>
            </w:pPr>
            <w:r>
              <w:t>Inflammable</w:t>
            </w:r>
          </w:p>
          <w:p w:rsidR="00BC37E2" w:rsidRDefault="00BC37E2" w:rsidP="005F055B">
            <w:pPr>
              <w:pStyle w:val="Sansinterligne"/>
            </w:pPr>
            <w:r>
              <w:t>CMR</w:t>
            </w:r>
          </w:p>
          <w:p w:rsidR="00BC37E2" w:rsidRDefault="00BC37E2" w:rsidP="005F055B">
            <w:pPr>
              <w:pStyle w:val="Sansinterligne"/>
            </w:pPr>
            <w:r>
              <w:t>Irritant</w:t>
            </w:r>
          </w:p>
          <w:p w:rsidR="00BC37E2" w:rsidRPr="00BC37E2" w:rsidRDefault="00BC37E2" w:rsidP="005F055B">
            <w:pPr>
              <w:pStyle w:val="Sansinterligne"/>
            </w:pPr>
            <w:r>
              <w:t>Ecotoxique</w:t>
            </w:r>
          </w:p>
        </w:tc>
      </w:tr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>
              <w:t>Ethanol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</w:p>
        </w:tc>
        <w:tc>
          <w:tcPr>
            <w:tcW w:w="1592" w:type="dxa"/>
          </w:tcPr>
          <w:p w:rsidR="00BC37E2" w:rsidRPr="00BC37E2" w:rsidRDefault="00BC37E2" w:rsidP="005F055B">
            <w:pPr>
              <w:pStyle w:val="Sansinterligne"/>
            </w:pPr>
            <w:r>
              <w:t>46,07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>
              <w:t>0,789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78°C</w:t>
            </w:r>
          </w:p>
        </w:tc>
        <w:tc>
          <w:tcPr>
            <w:tcW w:w="1367" w:type="dxa"/>
          </w:tcPr>
          <w:p w:rsidR="00BC37E2" w:rsidRPr="00BC37E2" w:rsidRDefault="00BC37E2" w:rsidP="005F055B">
            <w:pPr>
              <w:pStyle w:val="Sansinterligne"/>
            </w:pPr>
            <w:r>
              <w:t>Inflammable</w:t>
            </w:r>
          </w:p>
        </w:tc>
      </w:tr>
      <w:tr w:rsidR="00BC37E2" w:rsidTr="000E3C51">
        <w:tc>
          <w:tcPr>
            <w:tcW w:w="2535" w:type="dxa"/>
          </w:tcPr>
          <w:p w:rsidR="00BC37E2" w:rsidRPr="00BC37E2" w:rsidRDefault="00BC37E2" w:rsidP="005F055B">
            <w:pPr>
              <w:pStyle w:val="Sansinterligne"/>
            </w:pPr>
            <w:r>
              <w:t>Diéthyléther</w:t>
            </w:r>
          </w:p>
        </w:tc>
        <w:tc>
          <w:tcPr>
            <w:tcW w:w="971" w:type="dxa"/>
          </w:tcPr>
          <w:p w:rsidR="00BC37E2" w:rsidRPr="00BC37E2" w:rsidRDefault="00BC37E2" w:rsidP="005F055B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10</w:t>
            </w:r>
            <w:r>
              <w:t>O</w:t>
            </w:r>
          </w:p>
        </w:tc>
        <w:tc>
          <w:tcPr>
            <w:tcW w:w="1592" w:type="dxa"/>
          </w:tcPr>
          <w:p w:rsidR="00BC37E2" w:rsidRPr="00BC37E2" w:rsidRDefault="00BC37E2" w:rsidP="005F055B">
            <w:pPr>
              <w:pStyle w:val="Sansinterligne"/>
            </w:pPr>
            <w:r>
              <w:t>74,12</w:t>
            </w:r>
          </w:p>
        </w:tc>
        <w:tc>
          <w:tcPr>
            <w:tcW w:w="1117" w:type="dxa"/>
          </w:tcPr>
          <w:p w:rsidR="00BC37E2" w:rsidRPr="00BC37E2" w:rsidRDefault="00BC37E2" w:rsidP="005F055B">
            <w:pPr>
              <w:pStyle w:val="Sansinterligne"/>
            </w:pPr>
            <w:r>
              <w:t>0,714</w:t>
            </w:r>
          </w:p>
        </w:tc>
        <w:tc>
          <w:tcPr>
            <w:tcW w:w="1480" w:type="dxa"/>
          </w:tcPr>
          <w:p w:rsidR="00BC37E2" w:rsidRPr="00BC37E2" w:rsidRDefault="00BC37E2" w:rsidP="005F055B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35°C</w:t>
            </w:r>
          </w:p>
        </w:tc>
        <w:tc>
          <w:tcPr>
            <w:tcW w:w="1367" w:type="dxa"/>
          </w:tcPr>
          <w:p w:rsidR="00BC37E2" w:rsidRDefault="00BC37E2" w:rsidP="005F055B">
            <w:pPr>
              <w:pStyle w:val="Sansinterligne"/>
            </w:pPr>
            <w:r>
              <w:t>Inflammable</w:t>
            </w:r>
          </w:p>
          <w:p w:rsidR="00BC37E2" w:rsidRPr="00BC37E2" w:rsidRDefault="00BC37E2" w:rsidP="005F055B">
            <w:pPr>
              <w:pStyle w:val="Sansinterligne"/>
            </w:pPr>
            <w:r>
              <w:t>Irritant</w:t>
            </w:r>
          </w:p>
        </w:tc>
      </w:tr>
    </w:tbl>
    <w:p w:rsidR="005F055B" w:rsidRDefault="005F055B" w:rsidP="005F055B">
      <w:pPr>
        <w:pStyle w:val="Sansinterligne"/>
        <w:rPr>
          <w:u w:val="single"/>
        </w:rPr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5F055B" w:rsidRDefault="00B0724B" w:rsidP="005F055B">
      <w:pPr>
        <w:pStyle w:val="Sansinterligne"/>
      </w:pPr>
      <w:r>
        <w:tab/>
        <w:t>Pour la synthèse :</w:t>
      </w:r>
    </w:p>
    <w:p w:rsidR="00797E44" w:rsidRDefault="00797E44" w:rsidP="00B0724B">
      <w:pPr>
        <w:pStyle w:val="Sansinterligne"/>
        <w:numPr>
          <w:ilvl w:val="2"/>
          <w:numId w:val="1"/>
        </w:numPr>
        <w:sectPr w:rsidR="00797E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0724B" w:rsidRPr="00797E44" w:rsidRDefault="00B0724B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>Ballon monocol (20 mL)</w:t>
      </w:r>
    </w:p>
    <w:p w:rsidR="00797E44" w:rsidRPr="00797E44" w:rsidRDefault="00797E44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 xml:space="preserve">Potence </w:t>
      </w:r>
    </w:p>
    <w:p w:rsidR="00797E44" w:rsidRPr="00797E44" w:rsidRDefault="00797E44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>Pince deux doigts</w:t>
      </w:r>
    </w:p>
    <w:p w:rsidR="00B0724B" w:rsidRPr="00B0724B" w:rsidRDefault="00B0724B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>Pipettes graduées de 2 mL (2)</w:t>
      </w:r>
    </w:p>
    <w:p w:rsidR="00B0724B" w:rsidRPr="00B0724B" w:rsidRDefault="00B0724B" w:rsidP="00397AF0">
      <w:pPr>
        <w:pStyle w:val="Sansinterligne"/>
        <w:numPr>
          <w:ilvl w:val="0"/>
          <w:numId w:val="4"/>
        </w:numPr>
        <w:rPr>
          <w:u w:val="single"/>
        </w:rPr>
      </w:pPr>
      <w:r>
        <w:t>Verre à pieds</w:t>
      </w:r>
    </w:p>
    <w:p w:rsidR="00B0724B" w:rsidRPr="00B0724B" w:rsidRDefault="00B0724B" w:rsidP="00397AF0">
      <w:pPr>
        <w:pStyle w:val="Sansinterligne"/>
        <w:numPr>
          <w:ilvl w:val="0"/>
          <w:numId w:val="3"/>
        </w:numPr>
        <w:rPr>
          <w:u w:val="single"/>
        </w:rPr>
      </w:pPr>
      <w:r>
        <w:t>Bécher (2 pour les solutions)</w:t>
      </w:r>
    </w:p>
    <w:p w:rsidR="00B0724B" w:rsidRPr="00B0724B" w:rsidRDefault="00B0724B" w:rsidP="00397AF0">
      <w:pPr>
        <w:pStyle w:val="Sansinterligne"/>
        <w:numPr>
          <w:ilvl w:val="0"/>
          <w:numId w:val="2"/>
        </w:numPr>
        <w:rPr>
          <w:u w:val="single"/>
        </w:rPr>
      </w:pPr>
      <w:r>
        <w:t>Mortier et pilon</w:t>
      </w:r>
    </w:p>
    <w:p w:rsidR="00B0724B" w:rsidRPr="00B0724B" w:rsidRDefault="00B0724B" w:rsidP="00397AF0">
      <w:pPr>
        <w:pStyle w:val="Sansinterligne"/>
        <w:numPr>
          <w:ilvl w:val="0"/>
          <w:numId w:val="2"/>
        </w:numPr>
        <w:rPr>
          <w:u w:val="single"/>
        </w:rPr>
      </w:pPr>
      <w:r>
        <w:t>Coupelle de pesée</w:t>
      </w:r>
    </w:p>
    <w:p w:rsidR="00B0724B" w:rsidRPr="00B0724B" w:rsidRDefault="00B0724B" w:rsidP="00397AF0">
      <w:pPr>
        <w:pStyle w:val="Sansinterligne"/>
        <w:numPr>
          <w:ilvl w:val="0"/>
          <w:numId w:val="2"/>
        </w:numPr>
        <w:rPr>
          <w:u w:val="single"/>
        </w:rPr>
      </w:pPr>
      <w:r>
        <w:t>Balance</w:t>
      </w:r>
    </w:p>
    <w:p w:rsidR="00B0724B" w:rsidRPr="00B0724B" w:rsidRDefault="00B0724B" w:rsidP="00397AF0">
      <w:pPr>
        <w:pStyle w:val="Sansinterligne"/>
        <w:numPr>
          <w:ilvl w:val="0"/>
          <w:numId w:val="2"/>
        </w:numPr>
        <w:rPr>
          <w:u w:val="single"/>
        </w:rPr>
      </w:pPr>
      <w:r>
        <w:t>Agitateur magnétique et olive</w:t>
      </w:r>
    </w:p>
    <w:p w:rsidR="00B0724B" w:rsidRPr="00B0724B" w:rsidRDefault="00B0724B" w:rsidP="00397AF0">
      <w:pPr>
        <w:pStyle w:val="Sansinterligne"/>
        <w:numPr>
          <w:ilvl w:val="0"/>
          <w:numId w:val="2"/>
        </w:numPr>
        <w:rPr>
          <w:u w:val="single"/>
        </w:rPr>
      </w:pPr>
      <w:r>
        <w:t>Éprouvette graduée de 10 mL</w:t>
      </w:r>
    </w:p>
    <w:p w:rsidR="00797E44" w:rsidRDefault="00797E44" w:rsidP="00B0724B">
      <w:pPr>
        <w:pStyle w:val="Sansinterligne"/>
        <w:ind w:left="708"/>
        <w:sectPr w:rsidR="00797E44" w:rsidSect="00797E44">
          <w:type w:val="continuous"/>
          <w:pgSz w:w="11906" w:h="16838"/>
          <w:pgMar w:top="1417" w:right="1417" w:bottom="1417" w:left="1417" w:header="708" w:footer="708" w:gutter="0"/>
          <w:cols w:num="2" w:space="0" w:equalWidth="0">
            <w:col w:w="4536" w:space="0"/>
            <w:col w:w="4536"/>
          </w:cols>
          <w:docGrid w:linePitch="360"/>
        </w:sectPr>
      </w:pPr>
    </w:p>
    <w:p w:rsidR="00B0724B" w:rsidRDefault="00B0724B" w:rsidP="00B0724B">
      <w:pPr>
        <w:pStyle w:val="Sansinterligne"/>
        <w:ind w:left="708"/>
      </w:pPr>
      <w:r>
        <w:t>Pour l’essorage :</w:t>
      </w:r>
    </w:p>
    <w:p w:rsidR="00B0724B" w:rsidRPr="00B0724B" w:rsidRDefault="00B0724B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Fiole à vide</w:t>
      </w:r>
    </w:p>
    <w:p w:rsidR="00B0724B" w:rsidRPr="00B0724B" w:rsidRDefault="00B0724B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Verre fritté</w:t>
      </w:r>
    </w:p>
    <w:p w:rsidR="00B0724B" w:rsidRPr="00797E44" w:rsidRDefault="00B0724B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Pissette d’eau distillée</w:t>
      </w:r>
    </w:p>
    <w:p w:rsidR="00797E44" w:rsidRPr="00797E44" w:rsidRDefault="00797E44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Potence</w:t>
      </w:r>
    </w:p>
    <w:p w:rsidR="00797E44" w:rsidRPr="00B0724B" w:rsidRDefault="00797E44" w:rsidP="00B0724B">
      <w:pPr>
        <w:pStyle w:val="Sansinterligne"/>
        <w:numPr>
          <w:ilvl w:val="2"/>
          <w:numId w:val="1"/>
        </w:numPr>
        <w:rPr>
          <w:u w:val="single"/>
        </w:rPr>
      </w:pPr>
      <w:r>
        <w:t>Pince deux doigts</w:t>
      </w:r>
    </w:p>
    <w:p w:rsidR="00B0724B" w:rsidRDefault="00797E44" w:rsidP="00797E44">
      <w:pPr>
        <w:pStyle w:val="Sansinterligne"/>
        <w:ind w:left="708"/>
      </w:pPr>
      <w:r>
        <w:t>Pour la recristallisation :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Réfrigérant à eau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Potence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Pince deux doigts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Pince trois doigts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Ballon (le même que celui de la synthèse pour le rendement)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Agitateur magnétique chauffant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Pipette pasteur en plastique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Olive (la même que pour la synthèse pour le rendement)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Support élévateur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Cristallisoir</w:t>
      </w:r>
    </w:p>
    <w:p w:rsidR="00797E44" w:rsidRDefault="00797E44" w:rsidP="00797E44">
      <w:pPr>
        <w:pStyle w:val="Sansinterligne"/>
        <w:ind w:left="708"/>
      </w:pPr>
      <w:r>
        <w:t>Pour la CCM :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Cuve CCM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Plaque CCM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lastRenderedPageBreak/>
        <w:t>Lampe de révélation UV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 xml:space="preserve">Eprouvette graduée de </w:t>
      </w:r>
      <w:r w:rsidR="00D11E3D">
        <w:t>5mL (2 pour les solvants de l’éluant)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Capillaire</w:t>
      </w:r>
    </w:p>
    <w:p w:rsidR="00797E44" w:rsidRDefault="00797E44" w:rsidP="00797E44">
      <w:pPr>
        <w:pStyle w:val="Sansinterligne"/>
        <w:numPr>
          <w:ilvl w:val="2"/>
          <w:numId w:val="1"/>
        </w:numPr>
      </w:pPr>
      <w:r>
        <w:t>Pilulier</w:t>
      </w:r>
    </w:p>
    <w:p w:rsidR="00797E44" w:rsidRDefault="00797E44" w:rsidP="00797E44">
      <w:pPr>
        <w:pStyle w:val="Sansinterligne"/>
      </w:pPr>
    </w:p>
    <w:p w:rsidR="00797E44" w:rsidRPr="00B0724B" w:rsidRDefault="00797E44" w:rsidP="00797E44">
      <w:pPr>
        <w:pStyle w:val="Sansinterligne"/>
        <w:ind w:left="708"/>
        <w:rPr>
          <w:u w:val="single"/>
        </w:rPr>
      </w:pPr>
    </w:p>
    <w:p w:rsidR="00B0724B" w:rsidRDefault="00B0724B" w:rsidP="005F055B">
      <w:pPr>
        <w:pStyle w:val="Sansinterligne"/>
        <w:rPr>
          <w:u w:val="single"/>
        </w:rPr>
      </w:pPr>
    </w:p>
    <w:p w:rsidR="00797E44" w:rsidRDefault="00797E44" w:rsidP="005F055B">
      <w:pPr>
        <w:pStyle w:val="Sansinterligne"/>
        <w:rPr>
          <w:u w:val="single"/>
        </w:rPr>
      </w:pPr>
    </w:p>
    <w:p w:rsidR="00797E44" w:rsidRDefault="00797E44" w:rsidP="005F055B">
      <w:pPr>
        <w:pStyle w:val="Sansinterligne"/>
        <w:rPr>
          <w:u w:val="single"/>
        </w:rPr>
      </w:pPr>
    </w:p>
    <w:p w:rsidR="00B0724B" w:rsidRDefault="005F055B" w:rsidP="005F055B">
      <w:pPr>
        <w:pStyle w:val="Sansinterligne"/>
        <w:rPr>
          <w:u w:val="single"/>
        </w:rPr>
      </w:pPr>
      <w:r>
        <w:rPr>
          <w:u w:val="single"/>
        </w:rPr>
        <w:t>Modification protocole :</w:t>
      </w:r>
    </w:p>
    <w:p w:rsidR="00B0724B" w:rsidRDefault="00B0724B" w:rsidP="005F055B">
      <w:pPr>
        <w:pStyle w:val="Sansinterligne"/>
      </w:pPr>
      <w:r>
        <w:tab/>
        <w:t>Pour la synthèse :</w:t>
      </w:r>
    </w:p>
    <w:p w:rsidR="00B0724B" w:rsidRDefault="00B0724B" w:rsidP="005F055B">
      <w:pPr>
        <w:pStyle w:val="Sansinterligne"/>
      </w:pPr>
      <w:r>
        <w:tab/>
      </w:r>
      <w:r>
        <w:tab/>
        <w:t>Prélever l’hydroxyde de sodium solide au dernier moment (caractère hygroscopique). Si préparé trop tôt, alors le solide se gorge d’eau.</w:t>
      </w:r>
    </w:p>
    <w:p w:rsidR="00797E44" w:rsidRDefault="00797E44" w:rsidP="005F055B">
      <w:pPr>
        <w:pStyle w:val="Sansinterligne"/>
      </w:pPr>
    </w:p>
    <w:p w:rsidR="00797E44" w:rsidRDefault="00797E44" w:rsidP="005F055B">
      <w:pPr>
        <w:pStyle w:val="Sansinterligne"/>
      </w:pPr>
      <w:r>
        <w:tab/>
        <w:t>Pour la recristallisation :</w:t>
      </w:r>
    </w:p>
    <w:p w:rsidR="00797E44" w:rsidRDefault="00797E44" w:rsidP="005F055B">
      <w:pPr>
        <w:pStyle w:val="Sansinterligne"/>
      </w:pPr>
      <w:r>
        <w:tab/>
      </w:r>
      <w:r>
        <w:tab/>
        <w:t>Laisser le ballon accrocher au réfrigérant (pour ne pas perturber la cristallisation). Descendre le dispositif de chauffage et laisser refroidir à l’air. Retirer le dispositif de chauffage, placer un cristallisoir rempli d’eau puis remplacer celui-ci par un mélange eau-glace. Retirer le ballon et essorer à nouveau.</w:t>
      </w:r>
    </w:p>
    <w:p w:rsidR="005F055B" w:rsidRDefault="00797E44" w:rsidP="005F055B">
      <w:pPr>
        <w:pStyle w:val="Sansinterligne"/>
      </w:pPr>
      <w:r>
        <w:tab/>
      </w:r>
      <w:r w:rsidR="00AA5101">
        <w:t>Après la recristallisation, le produit obtenu est gorgé de solvant. Il faut donc le passer à l’étuve avant de pouvoir en faire quelque chose d’intéressant (notamment mesure de la température de fusion).</w:t>
      </w:r>
    </w:p>
    <w:p w:rsidR="00AA5101" w:rsidRDefault="00AA5101" w:rsidP="005F055B">
      <w:pPr>
        <w:pStyle w:val="Sansinterligne"/>
      </w:pPr>
    </w:p>
    <w:p w:rsidR="00D11E3D" w:rsidRDefault="00D11E3D" w:rsidP="005F055B">
      <w:pPr>
        <w:pStyle w:val="Sansinterligne"/>
      </w:pPr>
      <w:r>
        <w:tab/>
        <w:t>Pour la CCM :</w:t>
      </w:r>
    </w:p>
    <w:p w:rsidR="00D11E3D" w:rsidRDefault="00D11E3D" w:rsidP="005F055B">
      <w:pPr>
        <w:pStyle w:val="Sansinterligne"/>
      </w:pPr>
      <w:r>
        <w:tab/>
      </w:r>
      <w:r>
        <w:tab/>
        <w:t>Éluant : mélange cyclohexane et diéthyléther en proportion 50/50</w:t>
      </w:r>
    </w:p>
    <w:p w:rsidR="00D11E3D" w:rsidRDefault="00D11E3D" w:rsidP="005F055B">
      <w:pPr>
        <w:pStyle w:val="Sansinterligne"/>
      </w:pPr>
      <w:r>
        <w:tab/>
      </w:r>
      <w:r>
        <w:tab/>
        <w:t>Nombre de dépôt : 5 avec dans l’ordre :</w:t>
      </w:r>
    </w:p>
    <w:p w:rsidR="00D11E3D" w:rsidRDefault="00D11E3D" w:rsidP="005F055B">
      <w:pPr>
        <w:pStyle w:val="Sansinterligne"/>
      </w:pPr>
      <w:r>
        <w:tab/>
      </w:r>
      <w:r>
        <w:tab/>
      </w:r>
      <w:r>
        <w:tab/>
        <w:t>1 : co-dépôt : produit et 4-méthoxybenzaldéhyde</w:t>
      </w:r>
    </w:p>
    <w:p w:rsidR="00D11E3D" w:rsidRDefault="00D11E3D" w:rsidP="005F055B">
      <w:pPr>
        <w:pStyle w:val="Sansinterligne"/>
      </w:pPr>
      <w:r>
        <w:tab/>
      </w:r>
      <w:r>
        <w:tab/>
      </w:r>
      <w:r>
        <w:tab/>
        <w:t>2 : 4-méthoxybenzaldéhyde</w:t>
      </w:r>
    </w:p>
    <w:p w:rsidR="00D11E3D" w:rsidRDefault="00D11E3D" w:rsidP="005F055B">
      <w:pPr>
        <w:pStyle w:val="Sansinterligne"/>
      </w:pPr>
      <w:r>
        <w:tab/>
      </w:r>
      <w:r>
        <w:tab/>
      </w:r>
      <w:r>
        <w:tab/>
        <w:t>3 : produit synthétisé</w:t>
      </w:r>
    </w:p>
    <w:p w:rsidR="00D11E3D" w:rsidRDefault="00D11E3D" w:rsidP="005F055B">
      <w:pPr>
        <w:pStyle w:val="Sansinterligne"/>
      </w:pPr>
      <w:r>
        <w:tab/>
      </w:r>
      <w:r>
        <w:tab/>
      </w:r>
      <w:r>
        <w:tab/>
        <w:t>4 : 4-métylacétophénone</w:t>
      </w:r>
    </w:p>
    <w:p w:rsidR="00D11E3D" w:rsidRDefault="00D11E3D" w:rsidP="005F055B">
      <w:pPr>
        <w:pStyle w:val="Sansinterligne"/>
      </w:pPr>
      <w:r>
        <w:tab/>
      </w:r>
      <w:r>
        <w:tab/>
      </w:r>
      <w:r>
        <w:tab/>
        <w:t>5 : co-dépôt : produit et 4-méthylacétophénone</w:t>
      </w:r>
    </w:p>
    <w:p w:rsidR="00D11E3D" w:rsidRDefault="00D11E3D" w:rsidP="005F055B">
      <w:pPr>
        <w:pStyle w:val="Sansinterligne"/>
      </w:pPr>
      <w:r>
        <w:tab/>
      </w:r>
      <w:r>
        <w:tab/>
        <w:t>Solubiliser le produit dans un peu de dichlorométhane (attention à ne pas trop le concentrer)</w:t>
      </w:r>
    </w:p>
    <w:p w:rsidR="00D11E3D" w:rsidRPr="00797E44" w:rsidRDefault="00D11E3D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Remarques éventuelles :</w:t>
      </w:r>
    </w:p>
    <w:p w:rsidR="005F055B" w:rsidRDefault="00797E44" w:rsidP="005F055B">
      <w:pPr>
        <w:pStyle w:val="Sansinterligne"/>
      </w:pPr>
      <w:r>
        <w:tab/>
        <w:t xml:space="preserve">Le produit obtenu avant recristallisation ne permet pas de faire grand-chose. La température de fusion trouvé est totalement absurde. </w:t>
      </w:r>
    </w:p>
    <w:p w:rsidR="00797E44" w:rsidRDefault="00797E44" w:rsidP="005F055B">
      <w:pPr>
        <w:pStyle w:val="Sansinterligne"/>
      </w:pPr>
      <w:r>
        <w:tab/>
        <w:t>Utiliser le produit recristallisé pour en faire le caractériser :</w:t>
      </w:r>
    </w:p>
    <w:p w:rsidR="00797E44" w:rsidRDefault="00797E44" w:rsidP="00797E44">
      <w:pPr>
        <w:pStyle w:val="Sansinterligne"/>
        <w:numPr>
          <w:ilvl w:val="0"/>
          <w:numId w:val="1"/>
        </w:numPr>
      </w:pPr>
      <w:r>
        <w:t>Température de fusion (à comparer avec la valeur donnée dans le protocole)</w:t>
      </w:r>
    </w:p>
    <w:p w:rsidR="00797E44" w:rsidRDefault="00D11E3D" w:rsidP="00797E44">
      <w:pPr>
        <w:pStyle w:val="Sansinterligne"/>
        <w:numPr>
          <w:ilvl w:val="0"/>
          <w:numId w:val="1"/>
        </w:numPr>
      </w:pPr>
      <w:r>
        <w:t>Spectre UV-visible (solvant : éther diéthylique ; utiliser des cuves en verre)</w:t>
      </w:r>
    </w:p>
    <w:p w:rsidR="00D11E3D" w:rsidRDefault="00D11E3D" w:rsidP="00D11E3D">
      <w:pPr>
        <w:pStyle w:val="Sansinterligne"/>
        <w:numPr>
          <w:ilvl w:val="0"/>
          <w:numId w:val="1"/>
        </w:numPr>
      </w:pPr>
      <w:r>
        <w:t>Spectre IR (repérage des bandes caractéristiques et notamment différences pour la liaison double CO dans le cas d’une cétone, d’un aldéhyde ou d’un alpha-énol</w:t>
      </w:r>
    </w:p>
    <w:p w:rsidR="00D11E3D" w:rsidRPr="00797E44" w:rsidRDefault="00D11E3D" w:rsidP="00D11E3D">
      <w:pPr>
        <w:pStyle w:val="Sansinterligne"/>
        <w:numPr>
          <w:ilvl w:val="0"/>
          <w:numId w:val="1"/>
        </w:numPr>
      </w:pPr>
      <w:r>
        <w:t>CCM</w:t>
      </w:r>
    </w:p>
    <w:p w:rsidR="005F055B" w:rsidRPr="005F055B" w:rsidRDefault="005F055B" w:rsidP="005F055B">
      <w:pPr>
        <w:pStyle w:val="Sansinterligne"/>
        <w:rPr>
          <w:u w:val="single"/>
        </w:rPr>
      </w:pPr>
    </w:p>
    <w:sectPr w:rsidR="005F055B" w:rsidRPr="005F055B" w:rsidSect="00797E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273C"/>
    <w:multiLevelType w:val="hybridMultilevel"/>
    <w:tmpl w:val="B31824E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18553C"/>
    <w:multiLevelType w:val="hybridMultilevel"/>
    <w:tmpl w:val="3D72AB0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27F6829"/>
    <w:multiLevelType w:val="hybridMultilevel"/>
    <w:tmpl w:val="D452C72E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81BDB"/>
    <w:multiLevelType w:val="hybridMultilevel"/>
    <w:tmpl w:val="ADAADAD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B"/>
    <w:rsid w:val="000B6985"/>
    <w:rsid w:val="000E1EE7"/>
    <w:rsid w:val="000E3C51"/>
    <w:rsid w:val="00397AF0"/>
    <w:rsid w:val="004119FB"/>
    <w:rsid w:val="005B4223"/>
    <w:rsid w:val="005F055B"/>
    <w:rsid w:val="00674263"/>
    <w:rsid w:val="007202EC"/>
    <w:rsid w:val="00797E44"/>
    <w:rsid w:val="00AA5101"/>
    <w:rsid w:val="00B0724B"/>
    <w:rsid w:val="00BC37E2"/>
    <w:rsid w:val="00CC64FC"/>
    <w:rsid w:val="00D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1439"/>
  <w15:chartTrackingRefBased/>
  <w15:docId w15:val="{17EC51CA-B830-4E0C-8A5A-7445903C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BC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8</cp:revision>
  <dcterms:created xsi:type="dcterms:W3CDTF">2019-12-12T21:24:00Z</dcterms:created>
  <dcterms:modified xsi:type="dcterms:W3CDTF">2020-03-26T11:28:00Z</dcterms:modified>
</cp:coreProperties>
</file>