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96515" w:rsidRDefault="007E7B77">
      <w:pPr>
        <w:pBdr>
          <w:top w:val="single" w:sz="4" w:space="1" w:color="000000"/>
          <w:left w:val="single" w:sz="4" w:space="4" w:color="000000"/>
          <w:bottom w:val="single" w:sz="4" w:space="1" w:color="000000"/>
          <w:right w:val="single" w:sz="4" w:space="4" w:color="000000"/>
          <w:between w:val="nil"/>
        </w:pBdr>
        <w:spacing w:after="0" w:line="240" w:lineRule="auto"/>
        <w:jc w:val="center"/>
        <w:rPr>
          <w:b/>
          <w:color w:val="000000"/>
          <w:sz w:val="24"/>
          <w:szCs w:val="24"/>
        </w:rPr>
      </w:pPr>
      <w:r>
        <w:rPr>
          <w:b/>
          <w:color w:val="000000"/>
          <w:sz w:val="24"/>
          <w:szCs w:val="24"/>
        </w:rPr>
        <w:t>Synthèse de l’eau de Javel</w:t>
      </w:r>
    </w:p>
    <w:p w14:paraId="00000002" w14:textId="77777777" w:rsidR="00896515" w:rsidRDefault="007E7B77">
      <w:pPr>
        <w:pBdr>
          <w:top w:val="nil"/>
          <w:left w:val="nil"/>
          <w:bottom w:val="nil"/>
          <w:right w:val="nil"/>
          <w:between w:val="nil"/>
        </w:pBdr>
        <w:spacing w:after="0" w:line="240" w:lineRule="auto"/>
        <w:rPr>
          <w:i/>
          <w:color w:val="000000"/>
        </w:rPr>
      </w:pPr>
      <w:r>
        <w:rPr>
          <w:i/>
          <w:color w:val="000000"/>
        </w:rPr>
        <w:t>Référence : Des expériences de la famille Red-Ox (Cachau Redox) (p. 337 et suivantes)</w:t>
      </w:r>
    </w:p>
    <w:p w14:paraId="00000003" w14:textId="77777777" w:rsidR="00896515" w:rsidRDefault="007E7B77">
      <w:pPr>
        <w:pBdr>
          <w:top w:val="nil"/>
          <w:left w:val="nil"/>
          <w:bottom w:val="nil"/>
          <w:right w:val="nil"/>
          <w:between w:val="nil"/>
        </w:pBdr>
        <w:spacing w:after="0" w:line="240" w:lineRule="auto"/>
        <w:rPr>
          <w:i/>
          <w:color w:val="000000"/>
        </w:rPr>
      </w:pPr>
      <w:r>
        <w:rPr>
          <w:i/>
          <w:color w:val="000000"/>
        </w:rPr>
        <w:tab/>
        <w:t>Rendement faradique (voir page 280)</w:t>
      </w:r>
    </w:p>
    <w:p w14:paraId="00000004" w14:textId="77777777" w:rsidR="00896515" w:rsidRDefault="007E7B77">
      <w:pPr>
        <w:pBdr>
          <w:top w:val="nil"/>
          <w:left w:val="nil"/>
          <w:bottom w:val="nil"/>
          <w:right w:val="nil"/>
          <w:between w:val="nil"/>
        </w:pBdr>
        <w:spacing w:after="0" w:line="240" w:lineRule="auto"/>
        <w:rPr>
          <w:i/>
          <w:color w:val="000000"/>
        </w:rPr>
      </w:pPr>
      <w:r>
        <w:rPr>
          <w:i/>
          <w:color w:val="000000"/>
        </w:rPr>
        <w:tab/>
        <w:t>Titrage des ions hypochlorites (voir page 391)</w:t>
      </w:r>
    </w:p>
    <w:p w14:paraId="00000005" w14:textId="77777777" w:rsidR="00896515" w:rsidRDefault="00896515">
      <w:pPr>
        <w:pBdr>
          <w:top w:val="nil"/>
          <w:left w:val="nil"/>
          <w:bottom w:val="nil"/>
          <w:right w:val="nil"/>
          <w:between w:val="nil"/>
        </w:pBdr>
        <w:spacing w:after="0" w:line="240" w:lineRule="auto"/>
        <w:rPr>
          <w:i/>
          <w:color w:val="000000"/>
        </w:rPr>
      </w:pPr>
    </w:p>
    <w:p w14:paraId="00000006" w14:textId="77777777" w:rsidR="00896515" w:rsidRDefault="007E7B77">
      <w:pPr>
        <w:pBdr>
          <w:top w:val="nil"/>
          <w:left w:val="nil"/>
          <w:bottom w:val="nil"/>
          <w:right w:val="nil"/>
          <w:between w:val="nil"/>
        </w:pBdr>
        <w:spacing w:after="0" w:line="240" w:lineRule="auto"/>
        <w:rPr>
          <w:i/>
          <w:color w:val="000000"/>
        </w:rPr>
      </w:pPr>
      <w:r>
        <w:rPr>
          <w:i/>
          <w:color w:val="000000"/>
        </w:rPr>
        <w:tab/>
        <w:t>La chimie générale (JFLM) (page 175 et suivantes)</w:t>
      </w:r>
    </w:p>
    <w:p w14:paraId="00000007" w14:textId="77777777" w:rsidR="00896515" w:rsidRDefault="00896515">
      <w:pPr>
        <w:pBdr>
          <w:top w:val="nil"/>
          <w:left w:val="nil"/>
          <w:bottom w:val="nil"/>
          <w:right w:val="nil"/>
          <w:between w:val="nil"/>
        </w:pBdr>
        <w:spacing w:after="0" w:line="240" w:lineRule="auto"/>
        <w:rPr>
          <w:i/>
          <w:color w:val="000000"/>
        </w:rPr>
      </w:pPr>
    </w:p>
    <w:p w14:paraId="00000008" w14:textId="77777777" w:rsidR="00896515" w:rsidRDefault="007E7B77">
      <w:pPr>
        <w:pBdr>
          <w:top w:val="nil"/>
          <w:left w:val="nil"/>
          <w:bottom w:val="nil"/>
          <w:right w:val="nil"/>
          <w:between w:val="nil"/>
        </w:pBdr>
        <w:spacing w:after="0" w:line="240" w:lineRule="auto"/>
      </w:pPr>
      <w:r>
        <w:rPr>
          <w:color w:val="000000"/>
        </w:rPr>
        <w:t xml:space="preserve">Leçons potentielles : </w:t>
      </w:r>
      <w:r>
        <w:t>4 (Synthèses inorganiques)</w:t>
      </w:r>
    </w:p>
    <w:p w14:paraId="00000009" w14:textId="77777777" w:rsidR="00896515" w:rsidRDefault="007E7B77">
      <w:pPr>
        <w:spacing w:after="0" w:line="240" w:lineRule="auto"/>
      </w:pPr>
      <w:r>
        <w:t>? 26 (Conversion réciproque d’énergie électrique en énergie chimique)</w:t>
      </w:r>
    </w:p>
    <w:p w14:paraId="0000000A" w14:textId="77777777" w:rsidR="00896515" w:rsidRDefault="007E7B77">
      <w:pPr>
        <w:spacing w:after="0" w:line="240" w:lineRule="auto"/>
      </w:pPr>
      <w:r>
        <w:t>? 28 Cinétique électrochimique</w:t>
      </w:r>
    </w:p>
    <w:p w14:paraId="0000000B" w14:textId="77777777" w:rsidR="00896515" w:rsidRDefault="00896515">
      <w:pPr>
        <w:pBdr>
          <w:top w:val="nil"/>
          <w:left w:val="nil"/>
          <w:bottom w:val="nil"/>
          <w:right w:val="nil"/>
          <w:between w:val="nil"/>
        </w:pBdr>
        <w:spacing w:after="0" w:line="240" w:lineRule="auto"/>
        <w:rPr>
          <w:color w:val="000000"/>
        </w:rPr>
      </w:pPr>
    </w:p>
    <w:p w14:paraId="0000000C" w14:textId="13237C92" w:rsidR="00896515" w:rsidRDefault="007E7B77">
      <w:pPr>
        <w:pBdr>
          <w:top w:val="nil"/>
          <w:left w:val="nil"/>
          <w:bottom w:val="nil"/>
          <w:right w:val="nil"/>
          <w:between w:val="nil"/>
        </w:pBdr>
        <w:spacing w:after="0" w:line="240" w:lineRule="auto"/>
        <w:rPr>
          <w:color w:val="000000"/>
          <w:u w:val="single"/>
        </w:rPr>
      </w:pPr>
      <w:r>
        <w:rPr>
          <w:color w:val="000000"/>
          <w:u w:val="single"/>
        </w:rPr>
        <w:t>Produits :</w:t>
      </w:r>
    </w:p>
    <w:p w14:paraId="536EB5DE" w14:textId="5943F4C4" w:rsidR="007E7B77" w:rsidRDefault="007E7B77">
      <w:pPr>
        <w:pBdr>
          <w:top w:val="nil"/>
          <w:left w:val="nil"/>
          <w:bottom w:val="nil"/>
          <w:right w:val="nil"/>
          <w:between w:val="nil"/>
        </w:pBdr>
        <w:spacing w:after="0" w:line="240" w:lineRule="auto"/>
        <w:rPr>
          <w:color w:val="000000"/>
          <w:u w:val="single"/>
        </w:rPr>
      </w:pPr>
    </w:p>
    <w:tbl>
      <w:tblPr>
        <w:tblStyle w:val="Grilledutableau"/>
        <w:tblW w:w="0" w:type="auto"/>
        <w:tblLook w:val="04A0" w:firstRow="1" w:lastRow="0" w:firstColumn="1" w:lastColumn="0" w:noHBand="0" w:noVBand="1"/>
      </w:tblPr>
      <w:tblGrid>
        <w:gridCol w:w="1526"/>
        <w:gridCol w:w="1506"/>
        <w:gridCol w:w="1656"/>
        <w:gridCol w:w="1341"/>
        <w:gridCol w:w="1528"/>
        <w:gridCol w:w="1505"/>
      </w:tblGrid>
      <w:tr w:rsidR="007E7B77" w:rsidRPr="0027753E" w14:paraId="32CFB89F" w14:textId="77777777" w:rsidTr="007E7B77">
        <w:tc>
          <w:tcPr>
            <w:tcW w:w="1526" w:type="dxa"/>
          </w:tcPr>
          <w:p w14:paraId="0D7EC7F8" w14:textId="77777777" w:rsidR="007E7B77" w:rsidRPr="0027753E" w:rsidRDefault="007E7B77" w:rsidP="00D15A4E">
            <w:pPr>
              <w:pStyle w:val="Sansinterligne"/>
            </w:pPr>
            <w:r>
              <w:t>Nom</w:t>
            </w:r>
          </w:p>
        </w:tc>
        <w:tc>
          <w:tcPr>
            <w:tcW w:w="1506" w:type="dxa"/>
          </w:tcPr>
          <w:p w14:paraId="53CA3AA0" w14:textId="77777777" w:rsidR="007E7B77" w:rsidRPr="0027753E" w:rsidRDefault="007E7B77" w:rsidP="00D15A4E">
            <w:pPr>
              <w:pStyle w:val="Sansinterligne"/>
            </w:pPr>
            <w:r>
              <w:t>Formule brute</w:t>
            </w:r>
          </w:p>
        </w:tc>
        <w:tc>
          <w:tcPr>
            <w:tcW w:w="1656" w:type="dxa"/>
          </w:tcPr>
          <w:p w14:paraId="1037FB8C" w14:textId="77777777" w:rsidR="007E7B77" w:rsidRPr="0027753E" w:rsidRDefault="007E7B77" w:rsidP="00D15A4E">
            <w:pPr>
              <w:pStyle w:val="Sansinterligne"/>
            </w:pPr>
            <w:r>
              <w:t>Masse molaire (g.mol</w:t>
            </w:r>
            <w:r>
              <w:rPr>
                <w:vertAlign w:val="superscript"/>
              </w:rPr>
              <w:t>-1</w:t>
            </w:r>
            <w:r>
              <w:t>)</w:t>
            </w:r>
          </w:p>
        </w:tc>
        <w:tc>
          <w:tcPr>
            <w:tcW w:w="1341" w:type="dxa"/>
          </w:tcPr>
          <w:p w14:paraId="4EB9E128" w14:textId="77777777" w:rsidR="007E7B77" w:rsidRPr="0027753E" w:rsidRDefault="007E7B77" w:rsidP="00D15A4E">
            <w:pPr>
              <w:pStyle w:val="Sansinterligne"/>
            </w:pPr>
            <w:r>
              <w:t>Densité</w:t>
            </w:r>
          </w:p>
        </w:tc>
        <w:tc>
          <w:tcPr>
            <w:tcW w:w="1528" w:type="dxa"/>
          </w:tcPr>
          <w:p w14:paraId="4BFF9751" w14:textId="77777777" w:rsidR="007E7B77" w:rsidRPr="0027753E" w:rsidRDefault="007E7B77" w:rsidP="00D15A4E">
            <w:pPr>
              <w:pStyle w:val="Sansinterligne"/>
            </w:pPr>
            <w:r>
              <w:t>Température</w:t>
            </w:r>
          </w:p>
        </w:tc>
        <w:tc>
          <w:tcPr>
            <w:tcW w:w="1505" w:type="dxa"/>
          </w:tcPr>
          <w:p w14:paraId="275CEBD3" w14:textId="77777777" w:rsidR="007E7B77" w:rsidRPr="0027753E" w:rsidRDefault="007E7B77" w:rsidP="00D15A4E">
            <w:pPr>
              <w:pStyle w:val="Sansinterligne"/>
            </w:pPr>
            <w:r>
              <w:t>Sécurité</w:t>
            </w:r>
          </w:p>
        </w:tc>
      </w:tr>
      <w:tr w:rsidR="007E7B77" w:rsidRPr="0027753E" w14:paraId="211AD388" w14:textId="77777777" w:rsidTr="007E7B77">
        <w:tc>
          <w:tcPr>
            <w:tcW w:w="1526" w:type="dxa"/>
          </w:tcPr>
          <w:p w14:paraId="4842707F" w14:textId="3A664F01" w:rsidR="007E7B77" w:rsidRDefault="007E7B77" w:rsidP="00D15A4E">
            <w:pPr>
              <w:pStyle w:val="Sansinterligne"/>
            </w:pPr>
            <w:r>
              <w:t>Chlorure de sodium</w:t>
            </w:r>
          </w:p>
        </w:tc>
        <w:tc>
          <w:tcPr>
            <w:tcW w:w="1506" w:type="dxa"/>
          </w:tcPr>
          <w:p w14:paraId="37E2A5D5" w14:textId="2AD67F99" w:rsidR="007E7B77" w:rsidRDefault="007E7B77" w:rsidP="00D15A4E">
            <w:pPr>
              <w:pStyle w:val="Sansinterligne"/>
            </w:pPr>
            <w:r>
              <w:t>NaCl</w:t>
            </w:r>
          </w:p>
        </w:tc>
        <w:tc>
          <w:tcPr>
            <w:tcW w:w="1656" w:type="dxa"/>
          </w:tcPr>
          <w:p w14:paraId="0D00B339" w14:textId="1641C59C" w:rsidR="007E7B77" w:rsidRDefault="007E7B77" w:rsidP="00D15A4E">
            <w:pPr>
              <w:pStyle w:val="Sansinterligne"/>
            </w:pPr>
            <w:r>
              <w:t>58,44</w:t>
            </w:r>
          </w:p>
        </w:tc>
        <w:tc>
          <w:tcPr>
            <w:tcW w:w="1341" w:type="dxa"/>
          </w:tcPr>
          <w:p w14:paraId="6EE85930" w14:textId="5427B0BC" w:rsidR="007E7B77" w:rsidRDefault="007E7B77" w:rsidP="00D15A4E">
            <w:pPr>
              <w:pStyle w:val="Sansinterligne"/>
            </w:pPr>
            <w:r>
              <w:t>-</w:t>
            </w:r>
          </w:p>
        </w:tc>
        <w:tc>
          <w:tcPr>
            <w:tcW w:w="1528" w:type="dxa"/>
          </w:tcPr>
          <w:p w14:paraId="62B26B37" w14:textId="11B406FF" w:rsidR="007E7B77" w:rsidRDefault="007E7B77" w:rsidP="00D15A4E">
            <w:pPr>
              <w:pStyle w:val="Sansinterligne"/>
            </w:pPr>
            <w:r>
              <w:t>-</w:t>
            </w:r>
          </w:p>
        </w:tc>
        <w:tc>
          <w:tcPr>
            <w:tcW w:w="1505" w:type="dxa"/>
          </w:tcPr>
          <w:p w14:paraId="71C802A8" w14:textId="427D314A" w:rsidR="007E7B77" w:rsidRDefault="007E7B77" w:rsidP="00D15A4E">
            <w:pPr>
              <w:pStyle w:val="Sansinterligne"/>
            </w:pPr>
            <w:r>
              <w:t>-</w:t>
            </w:r>
          </w:p>
        </w:tc>
      </w:tr>
      <w:tr w:rsidR="007E7B77" w:rsidRPr="0027753E" w14:paraId="0C66AEBF" w14:textId="77777777" w:rsidTr="007E7B77">
        <w:tc>
          <w:tcPr>
            <w:tcW w:w="1526" w:type="dxa"/>
          </w:tcPr>
          <w:p w14:paraId="7B66028C" w14:textId="58FD4876" w:rsidR="007E7B77" w:rsidRDefault="007E7B77" w:rsidP="007E7B77">
            <w:pPr>
              <w:pStyle w:val="Sansinterligne"/>
            </w:pPr>
            <w:r>
              <w:t>Iodure de potassium</w:t>
            </w:r>
          </w:p>
        </w:tc>
        <w:tc>
          <w:tcPr>
            <w:tcW w:w="1506" w:type="dxa"/>
          </w:tcPr>
          <w:p w14:paraId="137CBC55" w14:textId="1609D82C" w:rsidR="007E7B77" w:rsidRDefault="007E7B77" w:rsidP="007E7B77">
            <w:pPr>
              <w:pStyle w:val="Sansinterligne"/>
            </w:pPr>
            <w:r>
              <w:t>KI</w:t>
            </w:r>
          </w:p>
        </w:tc>
        <w:tc>
          <w:tcPr>
            <w:tcW w:w="1656" w:type="dxa"/>
          </w:tcPr>
          <w:p w14:paraId="3351CBF1" w14:textId="0E9BFA08" w:rsidR="007E7B77" w:rsidRDefault="007E7B77" w:rsidP="007E7B77">
            <w:pPr>
              <w:pStyle w:val="Sansinterligne"/>
            </w:pPr>
            <w:r>
              <w:t>166</w:t>
            </w:r>
          </w:p>
        </w:tc>
        <w:tc>
          <w:tcPr>
            <w:tcW w:w="1341" w:type="dxa"/>
          </w:tcPr>
          <w:p w14:paraId="6409A5D4" w14:textId="48AA478F" w:rsidR="007E7B77" w:rsidRDefault="007E7B77" w:rsidP="007E7B77">
            <w:pPr>
              <w:pStyle w:val="Sansinterligne"/>
            </w:pPr>
            <w:r>
              <w:t>-</w:t>
            </w:r>
          </w:p>
        </w:tc>
        <w:tc>
          <w:tcPr>
            <w:tcW w:w="1528" w:type="dxa"/>
          </w:tcPr>
          <w:p w14:paraId="612BA894" w14:textId="4C8FD2D5" w:rsidR="007E7B77" w:rsidRDefault="007E7B77" w:rsidP="007E7B77">
            <w:pPr>
              <w:pStyle w:val="Sansinterligne"/>
            </w:pPr>
            <w:r>
              <w:t>-</w:t>
            </w:r>
          </w:p>
        </w:tc>
        <w:tc>
          <w:tcPr>
            <w:tcW w:w="1505" w:type="dxa"/>
          </w:tcPr>
          <w:p w14:paraId="62EF2B8D" w14:textId="77777777" w:rsidR="007E7B77" w:rsidRDefault="007E7B77" w:rsidP="007E7B77">
            <w:pPr>
              <w:pStyle w:val="Sansinterligne"/>
            </w:pPr>
          </w:p>
        </w:tc>
      </w:tr>
      <w:tr w:rsidR="007E7B77" w:rsidRPr="0027753E" w14:paraId="3B7CD5A4" w14:textId="77777777" w:rsidTr="007E7B77">
        <w:tc>
          <w:tcPr>
            <w:tcW w:w="1526" w:type="dxa"/>
          </w:tcPr>
          <w:p w14:paraId="0CD1EF3D" w14:textId="13B401BA" w:rsidR="007E7B77" w:rsidRDefault="007E7B77" w:rsidP="007E7B77">
            <w:pPr>
              <w:pStyle w:val="Sansinterligne"/>
            </w:pPr>
            <w:r>
              <w:t>Indigo</w:t>
            </w:r>
          </w:p>
        </w:tc>
        <w:tc>
          <w:tcPr>
            <w:tcW w:w="1506" w:type="dxa"/>
          </w:tcPr>
          <w:p w14:paraId="6CD3BC77" w14:textId="09BB13B7" w:rsidR="007E7B77" w:rsidRPr="007E7B77" w:rsidRDefault="007E7B77" w:rsidP="007E7B77">
            <w:pPr>
              <w:rPr>
                <w:rFonts w:ascii="Arial" w:hAnsi="Arial" w:cs="Arial"/>
                <w:color w:val="222222"/>
                <w:sz w:val="21"/>
                <w:szCs w:val="21"/>
              </w:rPr>
            </w:pPr>
            <w:r>
              <w:rPr>
                <w:rFonts w:ascii="Arial" w:hAnsi="Arial" w:cs="Arial"/>
                <w:color w:val="222222"/>
                <w:sz w:val="21"/>
                <w:szCs w:val="21"/>
              </w:rPr>
              <w:t>C</w:t>
            </w:r>
            <w:r>
              <w:rPr>
                <w:rFonts w:ascii="Arial" w:hAnsi="Arial" w:cs="Arial"/>
                <w:color w:val="222222"/>
                <w:sz w:val="21"/>
                <w:szCs w:val="21"/>
                <w:vertAlign w:val="subscript"/>
              </w:rPr>
              <w:t>16</w:t>
            </w:r>
            <w:r>
              <w:rPr>
                <w:rFonts w:ascii="Arial" w:hAnsi="Arial" w:cs="Arial"/>
                <w:color w:val="222222"/>
                <w:sz w:val="21"/>
                <w:szCs w:val="21"/>
              </w:rPr>
              <w:t>H</w:t>
            </w:r>
            <w:r>
              <w:rPr>
                <w:rFonts w:ascii="Arial" w:hAnsi="Arial" w:cs="Arial"/>
                <w:color w:val="222222"/>
                <w:sz w:val="21"/>
                <w:szCs w:val="21"/>
                <w:vertAlign w:val="subscript"/>
              </w:rPr>
              <w:t>10</w:t>
            </w:r>
            <w:r>
              <w:rPr>
                <w:rFonts w:ascii="Arial" w:hAnsi="Arial" w:cs="Arial"/>
                <w:color w:val="222222"/>
                <w:sz w:val="21"/>
                <w:szCs w:val="21"/>
              </w:rPr>
              <w:t>N</w:t>
            </w:r>
            <w:r>
              <w:rPr>
                <w:rFonts w:ascii="Arial" w:hAnsi="Arial" w:cs="Arial"/>
                <w:color w:val="222222"/>
                <w:sz w:val="21"/>
                <w:szCs w:val="21"/>
                <w:vertAlign w:val="subscript"/>
              </w:rPr>
              <w:t>2</w:t>
            </w:r>
            <w:r>
              <w:rPr>
                <w:rFonts w:ascii="Arial" w:hAnsi="Arial" w:cs="Arial"/>
                <w:color w:val="222222"/>
                <w:sz w:val="21"/>
                <w:szCs w:val="21"/>
              </w:rPr>
              <w:t>O</w:t>
            </w:r>
            <w:r>
              <w:rPr>
                <w:rFonts w:ascii="Arial" w:hAnsi="Arial" w:cs="Arial"/>
                <w:color w:val="222222"/>
                <w:sz w:val="21"/>
                <w:szCs w:val="21"/>
                <w:vertAlign w:val="subscript"/>
              </w:rPr>
              <w:t>2</w:t>
            </w:r>
          </w:p>
        </w:tc>
        <w:tc>
          <w:tcPr>
            <w:tcW w:w="1656" w:type="dxa"/>
          </w:tcPr>
          <w:p w14:paraId="11F2221C" w14:textId="1B5B5197" w:rsidR="007E7B77" w:rsidRDefault="007E7B77" w:rsidP="007E7B77">
            <w:pPr>
              <w:pStyle w:val="Sansinterligne"/>
            </w:pPr>
            <w:r>
              <w:rPr>
                <w:rFonts w:ascii="Arial" w:hAnsi="Arial" w:cs="Arial"/>
                <w:color w:val="222222"/>
                <w:sz w:val="21"/>
                <w:szCs w:val="21"/>
                <w:shd w:val="clear" w:color="auto" w:fill="FFFFFF"/>
              </w:rPr>
              <w:t>262,2628</w:t>
            </w:r>
          </w:p>
        </w:tc>
        <w:tc>
          <w:tcPr>
            <w:tcW w:w="1341" w:type="dxa"/>
          </w:tcPr>
          <w:p w14:paraId="11134FD6" w14:textId="1955D3EB" w:rsidR="007E7B77" w:rsidRDefault="007E7B77" w:rsidP="007E7B77">
            <w:pPr>
              <w:pStyle w:val="Sansinterligne"/>
            </w:pPr>
            <w:r>
              <w:t>-</w:t>
            </w:r>
          </w:p>
        </w:tc>
        <w:tc>
          <w:tcPr>
            <w:tcW w:w="1528" w:type="dxa"/>
          </w:tcPr>
          <w:p w14:paraId="2CEA790B" w14:textId="0CAF8B7B" w:rsidR="007E7B77" w:rsidRDefault="007E7B77" w:rsidP="007E7B77">
            <w:pPr>
              <w:pStyle w:val="Sansinterligne"/>
            </w:pPr>
            <w:r>
              <w:t>-</w:t>
            </w:r>
          </w:p>
        </w:tc>
        <w:tc>
          <w:tcPr>
            <w:tcW w:w="1505" w:type="dxa"/>
          </w:tcPr>
          <w:p w14:paraId="3A326C98" w14:textId="4586AE7F" w:rsidR="007E7B77" w:rsidRDefault="007E7B77" w:rsidP="007E7B77">
            <w:pPr>
              <w:pStyle w:val="Sansinterligne"/>
            </w:pPr>
            <w:r>
              <w:t>-</w:t>
            </w:r>
          </w:p>
        </w:tc>
      </w:tr>
      <w:tr w:rsidR="007E7B77" w:rsidRPr="0027753E" w14:paraId="1476BBBB" w14:textId="77777777" w:rsidTr="007E7B77">
        <w:tc>
          <w:tcPr>
            <w:tcW w:w="1526" w:type="dxa"/>
          </w:tcPr>
          <w:p w14:paraId="2AD8F11F" w14:textId="6C3B8967" w:rsidR="007E7B77" w:rsidRDefault="007E7B77" w:rsidP="007E7B77">
            <w:pPr>
              <w:pStyle w:val="Sansinterligne"/>
            </w:pPr>
            <w:r>
              <w:t>Acide chlorhydrique</w:t>
            </w:r>
          </w:p>
        </w:tc>
        <w:tc>
          <w:tcPr>
            <w:tcW w:w="1506" w:type="dxa"/>
          </w:tcPr>
          <w:p w14:paraId="5FA6FEC3" w14:textId="6AA35255" w:rsidR="007E7B77" w:rsidRDefault="007E7B77" w:rsidP="007E7B77">
            <w:pPr>
              <w:pStyle w:val="Sansinterligne"/>
            </w:pPr>
            <w:r>
              <w:t>HCl</w:t>
            </w:r>
          </w:p>
        </w:tc>
        <w:tc>
          <w:tcPr>
            <w:tcW w:w="1656" w:type="dxa"/>
          </w:tcPr>
          <w:p w14:paraId="24886A24" w14:textId="77777777" w:rsidR="007E7B77" w:rsidRDefault="007E7B77" w:rsidP="007E7B77">
            <w:pPr>
              <w:pStyle w:val="Sansinterligne"/>
            </w:pPr>
          </w:p>
        </w:tc>
        <w:tc>
          <w:tcPr>
            <w:tcW w:w="1341" w:type="dxa"/>
          </w:tcPr>
          <w:p w14:paraId="205C9EC1" w14:textId="77777777" w:rsidR="007E7B77" w:rsidRDefault="007E7B77" w:rsidP="007E7B77">
            <w:pPr>
              <w:pStyle w:val="Sansinterligne"/>
            </w:pPr>
          </w:p>
        </w:tc>
        <w:tc>
          <w:tcPr>
            <w:tcW w:w="1528" w:type="dxa"/>
          </w:tcPr>
          <w:p w14:paraId="1C430405" w14:textId="77777777" w:rsidR="007E7B77" w:rsidRDefault="007E7B77" w:rsidP="007E7B77">
            <w:pPr>
              <w:pStyle w:val="Sansinterligne"/>
            </w:pPr>
          </w:p>
        </w:tc>
        <w:tc>
          <w:tcPr>
            <w:tcW w:w="1505" w:type="dxa"/>
          </w:tcPr>
          <w:p w14:paraId="51FDE63E" w14:textId="31D5CF6D" w:rsidR="007E7B77" w:rsidRDefault="007E7B77" w:rsidP="007E7B77">
            <w:pPr>
              <w:pStyle w:val="Sansinterligne"/>
            </w:pPr>
            <w:r>
              <w:t>Corrosif</w:t>
            </w:r>
          </w:p>
        </w:tc>
      </w:tr>
      <w:tr w:rsidR="007E7B77" w:rsidRPr="0027753E" w14:paraId="3C6D7A55" w14:textId="77777777" w:rsidTr="007E7B77">
        <w:tc>
          <w:tcPr>
            <w:tcW w:w="1526" w:type="dxa"/>
          </w:tcPr>
          <w:p w14:paraId="1CA4DECF" w14:textId="6B361032" w:rsidR="007E7B77" w:rsidRDefault="007E7B77" w:rsidP="007E7B77">
            <w:pPr>
              <w:pStyle w:val="Sansinterligne"/>
            </w:pPr>
            <w:r>
              <w:t>Permanganate de potassium (solide)</w:t>
            </w:r>
          </w:p>
        </w:tc>
        <w:tc>
          <w:tcPr>
            <w:tcW w:w="1506" w:type="dxa"/>
          </w:tcPr>
          <w:p w14:paraId="7C045D19" w14:textId="790B69D3" w:rsidR="007E7B77" w:rsidRPr="007E7B77" w:rsidRDefault="007E7B77" w:rsidP="007E7B77">
            <w:pPr>
              <w:pStyle w:val="Sansinterligne"/>
              <w:rPr>
                <w:vertAlign w:val="subscript"/>
              </w:rPr>
            </w:pPr>
            <w:r>
              <w:t>KMnO</w:t>
            </w:r>
            <w:r>
              <w:rPr>
                <w:vertAlign w:val="subscript"/>
              </w:rPr>
              <w:t>4</w:t>
            </w:r>
          </w:p>
        </w:tc>
        <w:tc>
          <w:tcPr>
            <w:tcW w:w="1656" w:type="dxa"/>
          </w:tcPr>
          <w:p w14:paraId="4E74873C" w14:textId="3DEA5272" w:rsidR="007E7B77" w:rsidRDefault="007E7B77" w:rsidP="007E7B77">
            <w:pPr>
              <w:pStyle w:val="Sansinterligne"/>
            </w:pPr>
            <w:r>
              <w:t>158,0</w:t>
            </w:r>
          </w:p>
        </w:tc>
        <w:tc>
          <w:tcPr>
            <w:tcW w:w="1341" w:type="dxa"/>
          </w:tcPr>
          <w:p w14:paraId="6774EC13" w14:textId="6169B9B3" w:rsidR="007E7B77" w:rsidRDefault="007E7B77" w:rsidP="007E7B77">
            <w:pPr>
              <w:pStyle w:val="Sansinterligne"/>
            </w:pPr>
            <w:r>
              <w:t>-</w:t>
            </w:r>
          </w:p>
        </w:tc>
        <w:tc>
          <w:tcPr>
            <w:tcW w:w="1528" w:type="dxa"/>
          </w:tcPr>
          <w:p w14:paraId="0B918898" w14:textId="30060383" w:rsidR="007E7B77" w:rsidRDefault="007E7B77" w:rsidP="007E7B77">
            <w:pPr>
              <w:pStyle w:val="Sansinterligne"/>
            </w:pPr>
            <w:r>
              <w:t>-</w:t>
            </w:r>
          </w:p>
        </w:tc>
        <w:tc>
          <w:tcPr>
            <w:tcW w:w="1505" w:type="dxa"/>
          </w:tcPr>
          <w:p w14:paraId="13ABBD7E" w14:textId="77777777" w:rsidR="007E7B77" w:rsidRDefault="007E7B77" w:rsidP="007E7B77">
            <w:pPr>
              <w:pStyle w:val="Sansinterligne"/>
            </w:pPr>
            <w:r>
              <w:t>Comburant</w:t>
            </w:r>
          </w:p>
          <w:p w14:paraId="7E34EAF0" w14:textId="77777777" w:rsidR="007E7B77" w:rsidRDefault="007E7B77" w:rsidP="007E7B77">
            <w:pPr>
              <w:pStyle w:val="Sansinterligne"/>
            </w:pPr>
            <w:r>
              <w:t>Corrosif</w:t>
            </w:r>
          </w:p>
          <w:p w14:paraId="6931F413" w14:textId="07016031" w:rsidR="007E7B77" w:rsidRDefault="007E7B77" w:rsidP="007E7B77">
            <w:pPr>
              <w:pStyle w:val="Sansinterligne"/>
            </w:pPr>
            <w:r>
              <w:t>Ecotoxique</w:t>
            </w:r>
          </w:p>
        </w:tc>
      </w:tr>
      <w:tr w:rsidR="007E7B77" w:rsidRPr="0027753E" w14:paraId="0D54B803" w14:textId="77777777" w:rsidTr="007E7B77">
        <w:tc>
          <w:tcPr>
            <w:tcW w:w="1526" w:type="dxa"/>
          </w:tcPr>
          <w:p w14:paraId="7C4F9B3E" w14:textId="70C063B1" w:rsidR="007E7B77" w:rsidRDefault="007E7B77" w:rsidP="007E7B77">
            <w:pPr>
              <w:pStyle w:val="Sansinterligne"/>
            </w:pPr>
            <w:r>
              <w:t>Thiosulfate de sodium (solide)</w:t>
            </w:r>
          </w:p>
        </w:tc>
        <w:tc>
          <w:tcPr>
            <w:tcW w:w="1506" w:type="dxa"/>
          </w:tcPr>
          <w:p w14:paraId="1503A44B" w14:textId="1AEF2640" w:rsidR="007E7B77" w:rsidRPr="007E7B77" w:rsidRDefault="007E7B77" w:rsidP="007E7B77">
            <w:pPr>
              <w:pStyle w:val="Sansinterligne"/>
            </w:pPr>
            <w:r>
              <w:t>Na</w:t>
            </w:r>
            <w:r>
              <w:rPr>
                <w:vertAlign w:val="subscript"/>
              </w:rPr>
              <w:t>2</w:t>
            </w:r>
            <w:r>
              <w:t>S</w:t>
            </w:r>
            <w:r>
              <w:rPr>
                <w:vertAlign w:val="subscript"/>
              </w:rPr>
              <w:t>2</w:t>
            </w:r>
            <w:r>
              <w:t>O</w:t>
            </w:r>
            <w:r>
              <w:rPr>
                <w:vertAlign w:val="subscript"/>
              </w:rPr>
              <w:t>3</w:t>
            </w:r>
          </w:p>
        </w:tc>
        <w:tc>
          <w:tcPr>
            <w:tcW w:w="1656" w:type="dxa"/>
          </w:tcPr>
          <w:p w14:paraId="47C29402" w14:textId="0624CE58" w:rsidR="007E7B77" w:rsidRDefault="007E7B77" w:rsidP="007E7B77">
            <w:pPr>
              <w:pStyle w:val="Sansinterligne"/>
            </w:pPr>
            <w:r>
              <w:t>158,108</w:t>
            </w:r>
          </w:p>
        </w:tc>
        <w:tc>
          <w:tcPr>
            <w:tcW w:w="1341" w:type="dxa"/>
          </w:tcPr>
          <w:p w14:paraId="0EB4E480" w14:textId="7DFBE3A8" w:rsidR="007E7B77" w:rsidRDefault="007E7B77" w:rsidP="007E7B77">
            <w:pPr>
              <w:pStyle w:val="Sansinterligne"/>
            </w:pPr>
            <w:r>
              <w:t>1,67</w:t>
            </w:r>
          </w:p>
        </w:tc>
        <w:tc>
          <w:tcPr>
            <w:tcW w:w="1528" w:type="dxa"/>
          </w:tcPr>
          <w:p w14:paraId="4CAEB8D3" w14:textId="77777777" w:rsidR="007E7B77" w:rsidRDefault="007E7B77" w:rsidP="007E7B77">
            <w:pPr>
              <w:pStyle w:val="Sansinterligne"/>
            </w:pPr>
          </w:p>
        </w:tc>
        <w:tc>
          <w:tcPr>
            <w:tcW w:w="1505" w:type="dxa"/>
          </w:tcPr>
          <w:p w14:paraId="65F54493" w14:textId="77777777" w:rsidR="007E7B77" w:rsidRDefault="007E7B77" w:rsidP="007E7B77">
            <w:pPr>
              <w:pStyle w:val="Sansinterligne"/>
            </w:pPr>
          </w:p>
        </w:tc>
      </w:tr>
    </w:tbl>
    <w:p w14:paraId="1F11EB5B" w14:textId="14183C03" w:rsidR="007E7B77" w:rsidRDefault="007E7B77">
      <w:pPr>
        <w:pBdr>
          <w:top w:val="nil"/>
          <w:left w:val="nil"/>
          <w:bottom w:val="nil"/>
          <w:right w:val="nil"/>
          <w:between w:val="nil"/>
        </w:pBdr>
        <w:spacing w:after="0" w:line="240" w:lineRule="auto"/>
        <w:rPr>
          <w:color w:val="000000"/>
          <w:u w:val="single"/>
        </w:rPr>
      </w:pPr>
    </w:p>
    <w:p w14:paraId="00C2FDA9" w14:textId="31A041CA" w:rsidR="007E7B77" w:rsidRDefault="007E7B77">
      <w:pPr>
        <w:pBdr>
          <w:top w:val="nil"/>
          <w:left w:val="nil"/>
          <w:bottom w:val="nil"/>
          <w:right w:val="nil"/>
          <w:between w:val="nil"/>
        </w:pBdr>
        <w:spacing w:after="0" w:line="240" w:lineRule="auto"/>
        <w:rPr>
          <w:color w:val="000000"/>
          <w:u w:val="single"/>
        </w:rPr>
      </w:pPr>
      <w:r>
        <w:rPr>
          <w:color w:val="000000"/>
          <w:u w:val="single"/>
        </w:rPr>
        <w:t>Concentrations :</w:t>
      </w:r>
    </w:p>
    <w:p w14:paraId="0000000D" w14:textId="77777777" w:rsidR="00896515" w:rsidRDefault="007E7B77">
      <w:pPr>
        <w:numPr>
          <w:ilvl w:val="0"/>
          <w:numId w:val="1"/>
        </w:numPr>
        <w:pBdr>
          <w:top w:val="nil"/>
          <w:left w:val="nil"/>
          <w:bottom w:val="nil"/>
          <w:right w:val="nil"/>
          <w:between w:val="nil"/>
        </w:pBdr>
        <w:spacing w:after="0" w:line="240" w:lineRule="auto"/>
      </w:pPr>
      <w:r>
        <w:rPr>
          <w:color w:val="000000"/>
        </w:rPr>
        <w:t>Chlorure de sodium (5 mol.L</w:t>
      </w:r>
      <w:r>
        <w:rPr>
          <w:color w:val="000000"/>
          <w:vertAlign w:val="superscript"/>
        </w:rPr>
        <w:t>-1</w:t>
      </w:r>
      <w:r>
        <w:rPr>
          <w:color w:val="000000"/>
        </w:rPr>
        <w:t>)</w:t>
      </w:r>
    </w:p>
    <w:p w14:paraId="0000000E" w14:textId="77777777" w:rsidR="00896515" w:rsidRDefault="007E7B77">
      <w:pPr>
        <w:numPr>
          <w:ilvl w:val="0"/>
          <w:numId w:val="1"/>
        </w:numPr>
        <w:pBdr>
          <w:top w:val="nil"/>
          <w:left w:val="nil"/>
          <w:bottom w:val="nil"/>
          <w:right w:val="nil"/>
          <w:between w:val="nil"/>
        </w:pBdr>
        <w:spacing w:after="0" w:line="240" w:lineRule="auto"/>
      </w:pPr>
      <w:r>
        <w:rPr>
          <w:color w:val="000000"/>
        </w:rPr>
        <w:t>Iodure de potassium (environ 0,1 mol.L</w:t>
      </w:r>
      <w:r>
        <w:rPr>
          <w:color w:val="000000"/>
          <w:vertAlign w:val="superscript"/>
        </w:rPr>
        <w:t>-1</w:t>
      </w:r>
      <w:r>
        <w:rPr>
          <w:color w:val="000000"/>
        </w:rPr>
        <w:t>)</w:t>
      </w:r>
    </w:p>
    <w:p w14:paraId="0000000F" w14:textId="77777777" w:rsidR="00896515" w:rsidRDefault="007E7B77">
      <w:pPr>
        <w:numPr>
          <w:ilvl w:val="0"/>
          <w:numId w:val="1"/>
        </w:numPr>
        <w:pBdr>
          <w:top w:val="nil"/>
          <w:left w:val="nil"/>
          <w:bottom w:val="nil"/>
          <w:right w:val="nil"/>
          <w:between w:val="nil"/>
        </w:pBdr>
        <w:spacing w:after="0" w:line="240" w:lineRule="auto"/>
      </w:pPr>
      <w:r>
        <w:rPr>
          <w:color w:val="000000"/>
        </w:rPr>
        <w:t>Indigo (0,05 % dans l’eau)</w:t>
      </w:r>
    </w:p>
    <w:p w14:paraId="00000010" w14:textId="77777777" w:rsidR="00896515" w:rsidRDefault="007E7B77">
      <w:pPr>
        <w:numPr>
          <w:ilvl w:val="0"/>
          <w:numId w:val="1"/>
        </w:numPr>
        <w:pBdr>
          <w:top w:val="nil"/>
          <w:left w:val="nil"/>
          <w:bottom w:val="nil"/>
          <w:right w:val="nil"/>
          <w:between w:val="nil"/>
        </w:pBdr>
        <w:spacing w:after="0" w:line="240" w:lineRule="auto"/>
      </w:pPr>
      <w:r>
        <w:rPr>
          <w:color w:val="000000"/>
        </w:rPr>
        <w:t>Acide chlorhydrique (6 mol.L</w:t>
      </w:r>
      <w:r>
        <w:rPr>
          <w:color w:val="000000"/>
          <w:vertAlign w:val="superscript"/>
        </w:rPr>
        <w:t>-1</w:t>
      </w:r>
      <w:r>
        <w:rPr>
          <w:color w:val="000000"/>
        </w:rPr>
        <w:t>)</w:t>
      </w:r>
    </w:p>
    <w:p w14:paraId="00000011" w14:textId="77777777" w:rsidR="00896515" w:rsidRDefault="007E7B77">
      <w:pPr>
        <w:numPr>
          <w:ilvl w:val="0"/>
          <w:numId w:val="1"/>
        </w:numPr>
        <w:pBdr>
          <w:top w:val="nil"/>
          <w:left w:val="nil"/>
          <w:bottom w:val="nil"/>
          <w:right w:val="nil"/>
          <w:between w:val="nil"/>
        </w:pBdr>
        <w:spacing w:after="0" w:line="240" w:lineRule="auto"/>
      </w:pPr>
      <w:r>
        <w:rPr>
          <w:color w:val="000000"/>
        </w:rPr>
        <w:t>Permanganate de potassium (solide)</w:t>
      </w:r>
    </w:p>
    <w:p w14:paraId="00000012" w14:textId="77777777" w:rsidR="00896515" w:rsidRDefault="007E7B77">
      <w:pPr>
        <w:numPr>
          <w:ilvl w:val="0"/>
          <w:numId w:val="1"/>
        </w:numPr>
        <w:pBdr>
          <w:top w:val="nil"/>
          <w:left w:val="nil"/>
          <w:bottom w:val="nil"/>
          <w:right w:val="nil"/>
          <w:between w:val="nil"/>
        </w:pBdr>
        <w:spacing w:after="0" w:line="240" w:lineRule="auto"/>
      </w:pPr>
      <w:r>
        <w:rPr>
          <w:color w:val="000000"/>
        </w:rPr>
        <w:t>Thiosulfate de sodium (solide) ou en solution préparée pour le titrage</w:t>
      </w:r>
    </w:p>
    <w:p w14:paraId="00000013" w14:textId="77777777" w:rsidR="00896515" w:rsidRDefault="00896515">
      <w:pPr>
        <w:pBdr>
          <w:top w:val="nil"/>
          <w:left w:val="nil"/>
          <w:bottom w:val="nil"/>
          <w:right w:val="nil"/>
          <w:between w:val="nil"/>
        </w:pBdr>
        <w:spacing w:after="0" w:line="240" w:lineRule="auto"/>
        <w:ind w:left="360"/>
        <w:rPr>
          <w:color w:val="000000"/>
        </w:rPr>
      </w:pPr>
    </w:p>
    <w:p w14:paraId="00000014" w14:textId="77777777" w:rsidR="00896515" w:rsidRDefault="007E7B77">
      <w:pPr>
        <w:pBdr>
          <w:top w:val="nil"/>
          <w:left w:val="nil"/>
          <w:bottom w:val="nil"/>
          <w:right w:val="nil"/>
          <w:between w:val="nil"/>
        </w:pBdr>
        <w:spacing w:after="0" w:line="240" w:lineRule="auto"/>
        <w:rPr>
          <w:color w:val="000000"/>
          <w:u w:val="single"/>
        </w:rPr>
      </w:pPr>
      <w:r>
        <w:rPr>
          <w:color w:val="000000"/>
          <w:u w:val="single"/>
        </w:rPr>
        <w:t>Matériels :</w:t>
      </w:r>
    </w:p>
    <w:p w14:paraId="00000015" w14:textId="77777777" w:rsidR="00896515" w:rsidRDefault="007E7B77">
      <w:pPr>
        <w:numPr>
          <w:ilvl w:val="0"/>
          <w:numId w:val="1"/>
        </w:numPr>
        <w:pBdr>
          <w:top w:val="nil"/>
          <w:left w:val="nil"/>
          <w:bottom w:val="nil"/>
          <w:right w:val="nil"/>
          <w:between w:val="nil"/>
        </w:pBdr>
        <w:spacing w:after="0" w:line="240" w:lineRule="auto"/>
      </w:pPr>
      <w:r>
        <w:rPr>
          <w:color w:val="000000"/>
        </w:rPr>
        <w:t>Électrode fer</w:t>
      </w:r>
    </w:p>
    <w:p w14:paraId="00000016" w14:textId="77777777" w:rsidR="00896515" w:rsidRDefault="007E7B77">
      <w:pPr>
        <w:numPr>
          <w:ilvl w:val="0"/>
          <w:numId w:val="1"/>
        </w:numPr>
        <w:pBdr>
          <w:top w:val="nil"/>
          <w:left w:val="nil"/>
          <w:bottom w:val="nil"/>
          <w:right w:val="nil"/>
          <w:between w:val="nil"/>
        </w:pBdr>
        <w:spacing w:after="0" w:line="240" w:lineRule="auto"/>
      </w:pPr>
      <w:r>
        <w:rPr>
          <w:color w:val="000000"/>
        </w:rPr>
        <w:t>Électrode de graphite</w:t>
      </w:r>
    </w:p>
    <w:p w14:paraId="00000017" w14:textId="77777777" w:rsidR="00896515" w:rsidRDefault="007E7B77">
      <w:pPr>
        <w:numPr>
          <w:ilvl w:val="0"/>
          <w:numId w:val="1"/>
        </w:numPr>
        <w:pBdr>
          <w:top w:val="nil"/>
          <w:left w:val="nil"/>
          <w:bottom w:val="nil"/>
          <w:right w:val="nil"/>
          <w:between w:val="nil"/>
        </w:pBdr>
        <w:spacing w:after="0" w:line="240" w:lineRule="auto"/>
      </w:pPr>
      <w:r>
        <w:rPr>
          <w:color w:val="000000"/>
        </w:rPr>
        <w:t>Potence</w:t>
      </w:r>
    </w:p>
    <w:p w14:paraId="00000018" w14:textId="77777777" w:rsidR="00896515" w:rsidRDefault="007E7B77">
      <w:pPr>
        <w:numPr>
          <w:ilvl w:val="0"/>
          <w:numId w:val="1"/>
        </w:numPr>
        <w:pBdr>
          <w:top w:val="nil"/>
          <w:left w:val="nil"/>
          <w:bottom w:val="nil"/>
          <w:right w:val="nil"/>
          <w:between w:val="nil"/>
        </w:pBdr>
        <w:spacing w:after="0" w:line="240" w:lineRule="auto"/>
      </w:pPr>
      <w:r>
        <w:rPr>
          <w:color w:val="000000"/>
        </w:rPr>
        <w:t>Agitateur magnétique et barreau aimanté</w:t>
      </w:r>
    </w:p>
    <w:p w14:paraId="00000019" w14:textId="77777777" w:rsidR="00896515" w:rsidRDefault="007E7B77">
      <w:pPr>
        <w:numPr>
          <w:ilvl w:val="0"/>
          <w:numId w:val="1"/>
        </w:numPr>
        <w:pBdr>
          <w:top w:val="nil"/>
          <w:left w:val="nil"/>
          <w:bottom w:val="nil"/>
          <w:right w:val="nil"/>
          <w:between w:val="nil"/>
        </w:pBdr>
        <w:spacing w:after="0" w:line="240" w:lineRule="auto"/>
      </w:pPr>
      <w:r>
        <w:rPr>
          <w:color w:val="000000"/>
        </w:rPr>
        <w:t>Cristallisoir  (pour bain eau glace)</w:t>
      </w:r>
    </w:p>
    <w:p w14:paraId="0000001A" w14:textId="77777777" w:rsidR="00896515" w:rsidRDefault="007E7B77">
      <w:pPr>
        <w:numPr>
          <w:ilvl w:val="0"/>
          <w:numId w:val="1"/>
        </w:numPr>
        <w:pBdr>
          <w:top w:val="nil"/>
          <w:left w:val="nil"/>
          <w:bottom w:val="nil"/>
          <w:right w:val="nil"/>
          <w:between w:val="nil"/>
        </w:pBdr>
        <w:spacing w:after="0" w:line="240" w:lineRule="auto"/>
      </w:pPr>
      <w:r>
        <w:rPr>
          <w:color w:val="000000"/>
        </w:rPr>
        <w:t>Bécher (250 mL)</w:t>
      </w:r>
    </w:p>
    <w:p w14:paraId="0000001B" w14:textId="77777777" w:rsidR="00896515" w:rsidRDefault="007E7B77">
      <w:pPr>
        <w:numPr>
          <w:ilvl w:val="0"/>
          <w:numId w:val="1"/>
        </w:numPr>
        <w:pBdr>
          <w:top w:val="nil"/>
          <w:left w:val="nil"/>
          <w:bottom w:val="nil"/>
          <w:right w:val="nil"/>
          <w:between w:val="nil"/>
        </w:pBdr>
        <w:spacing w:after="0" w:line="240" w:lineRule="auto"/>
      </w:pPr>
      <w:r>
        <w:rPr>
          <w:color w:val="000000"/>
        </w:rPr>
        <w:t>Alimentation stabilisée</w:t>
      </w:r>
    </w:p>
    <w:p w14:paraId="0000001C" w14:textId="77777777" w:rsidR="00896515" w:rsidRDefault="007E7B77">
      <w:pPr>
        <w:numPr>
          <w:ilvl w:val="0"/>
          <w:numId w:val="1"/>
        </w:numPr>
        <w:pBdr>
          <w:top w:val="nil"/>
          <w:left w:val="nil"/>
          <w:bottom w:val="nil"/>
          <w:right w:val="nil"/>
          <w:between w:val="nil"/>
        </w:pBdr>
        <w:spacing w:after="0" w:line="240" w:lineRule="auto"/>
      </w:pPr>
      <w:r>
        <w:rPr>
          <w:color w:val="000000"/>
        </w:rPr>
        <w:t xml:space="preserve">Multimètres (deux) </w:t>
      </w:r>
    </w:p>
    <w:p w14:paraId="0000001D" w14:textId="77777777" w:rsidR="00896515" w:rsidRDefault="007E7B77">
      <w:pPr>
        <w:numPr>
          <w:ilvl w:val="0"/>
          <w:numId w:val="1"/>
        </w:numPr>
        <w:pBdr>
          <w:top w:val="nil"/>
          <w:left w:val="nil"/>
          <w:bottom w:val="nil"/>
          <w:right w:val="nil"/>
          <w:between w:val="nil"/>
        </w:pBdr>
        <w:spacing w:after="0" w:line="240" w:lineRule="auto"/>
      </w:pPr>
      <w:r>
        <w:rPr>
          <w:color w:val="000000"/>
        </w:rPr>
        <w:t xml:space="preserve">Dispositif de dosage : burette graduée, pince, potence, agitateur magnétique et </w:t>
      </w:r>
    </w:p>
    <w:p w14:paraId="0000001E" w14:textId="77777777" w:rsidR="00896515" w:rsidRDefault="007E7B77">
      <w:pPr>
        <w:pBdr>
          <w:top w:val="nil"/>
          <w:left w:val="nil"/>
          <w:bottom w:val="nil"/>
          <w:right w:val="nil"/>
          <w:between w:val="nil"/>
        </w:pBdr>
        <w:spacing w:after="0" w:line="240" w:lineRule="auto"/>
        <w:ind w:left="720"/>
        <w:rPr>
          <w:color w:val="000000"/>
        </w:rPr>
      </w:pPr>
      <w:r>
        <w:rPr>
          <w:color w:val="000000"/>
        </w:rPr>
        <w:t>bécher (200 mL)</w:t>
      </w:r>
    </w:p>
    <w:p w14:paraId="0000001F" w14:textId="77777777" w:rsidR="00896515" w:rsidRDefault="00896515">
      <w:pPr>
        <w:pBdr>
          <w:top w:val="nil"/>
          <w:left w:val="nil"/>
          <w:bottom w:val="nil"/>
          <w:right w:val="nil"/>
          <w:between w:val="nil"/>
        </w:pBdr>
        <w:spacing w:after="0" w:line="240" w:lineRule="auto"/>
        <w:rPr>
          <w:color w:val="000000"/>
          <w:u w:val="single"/>
        </w:rPr>
      </w:pPr>
    </w:p>
    <w:p w14:paraId="00000020" w14:textId="77777777" w:rsidR="00896515" w:rsidRDefault="007E7B77">
      <w:pPr>
        <w:pBdr>
          <w:top w:val="nil"/>
          <w:left w:val="nil"/>
          <w:bottom w:val="nil"/>
          <w:right w:val="nil"/>
          <w:between w:val="nil"/>
        </w:pBdr>
        <w:spacing w:after="0" w:line="240" w:lineRule="auto"/>
        <w:rPr>
          <w:color w:val="000000"/>
          <w:u w:val="single"/>
        </w:rPr>
      </w:pPr>
      <w:r>
        <w:rPr>
          <w:color w:val="000000"/>
          <w:u w:val="single"/>
        </w:rPr>
        <w:t>Modification protocole :</w:t>
      </w:r>
    </w:p>
    <w:p w14:paraId="00000021" w14:textId="77777777" w:rsidR="00896515" w:rsidRDefault="007E7B77">
      <w:pPr>
        <w:pBdr>
          <w:top w:val="nil"/>
          <w:left w:val="nil"/>
          <w:bottom w:val="nil"/>
          <w:right w:val="nil"/>
          <w:between w:val="nil"/>
        </w:pBdr>
        <w:spacing w:after="0" w:line="240" w:lineRule="auto"/>
        <w:rPr>
          <w:color w:val="000000"/>
        </w:rPr>
      </w:pPr>
      <w:r>
        <w:rPr>
          <w:color w:val="000000"/>
        </w:rPr>
        <w:tab/>
        <w:t>On a utilisé 150 mL de solution de chlorure de sodium (au lieu de 100 mL)</w:t>
      </w:r>
    </w:p>
    <w:p w14:paraId="00000022" w14:textId="77777777" w:rsidR="00896515" w:rsidRDefault="00896515">
      <w:pPr>
        <w:pBdr>
          <w:top w:val="nil"/>
          <w:left w:val="nil"/>
          <w:bottom w:val="nil"/>
          <w:right w:val="nil"/>
          <w:between w:val="nil"/>
        </w:pBdr>
        <w:spacing w:after="0" w:line="240" w:lineRule="auto"/>
        <w:rPr>
          <w:color w:val="000000"/>
        </w:rPr>
      </w:pPr>
    </w:p>
    <w:p w14:paraId="00000023" w14:textId="77777777" w:rsidR="00896515" w:rsidRDefault="007E7B77">
      <w:pPr>
        <w:pBdr>
          <w:top w:val="nil"/>
          <w:left w:val="nil"/>
          <w:bottom w:val="nil"/>
          <w:right w:val="nil"/>
          <w:between w:val="nil"/>
        </w:pBdr>
        <w:spacing w:after="0" w:line="240" w:lineRule="auto"/>
        <w:rPr>
          <w:color w:val="000000"/>
        </w:rPr>
      </w:pPr>
      <w:r>
        <w:rPr>
          <w:color w:val="000000"/>
        </w:rPr>
        <w:tab/>
        <w:t>Il faut regarder le protocole des ions hypochlorites par du thiosulfate de sodium p.391 ainsi que les remarques suivantes.</w:t>
      </w:r>
    </w:p>
    <w:p w14:paraId="00000024" w14:textId="77777777" w:rsidR="00896515" w:rsidRDefault="00896515">
      <w:pPr>
        <w:pBdr>
          <w:top w:val="nil"/>
          <w:left w:val="nil"/>
          <w:bottom w:val="nil"/>
          <w:right w:val="nil"/>
          <w:between w:val="nil"/>
        </w:pBdr>
        <w:spacing w:after="0" w:line="240" w:lineRule="auto"/>
        <w:rPr>
          <w:color w:val="000000"/>
        </w:rPr>
      </w:pPr>
    </w:p>
    <w:p w14:paraId="00000025" w14:textId="77777777" w:rsidR="00896515" w:rsidRDefault="007E7B77">
      <w:pPr>
        <w:pBdr>
          <w:top w:val="nil"/>
          <w:left w:val="nil"/>
          <w:bottom w:val="nil"/>
          <w:right w:val="nil"/>
          <w:between w:val="nil"/>
        </w:pBdr>
        <w:spacing w:after="0" w:line="240" w:lineRule="auto"/>
        <w:rPr>
          <w:color w:val="000000"/>
          <w:u w:val="single"/>
        </w:rPr>
      </w:pPr>
      <w:r>
        <w:rPr>
          <w:color w:val="000000"/>
          <w:u w:val="single"/>
        </w:rPr>
        <w:t>Remarques éventuelles :</w:t>
      </w:r>
    </w:p>
    <w:p w14:paraId="00000026" w14:textId="77777777" w:rsidR="00896515" w:rsidRDefault="007E7B77">
      <w:pPr>
        <w:pBdr>
          <w:top w:val="nil"/>
          <w:left w:val="nil"/>
          <w:bottom w:val="nil"/>
          <w:right w:val="nil"/>
          <w:between w:val="nil"/>
        </w:pBdr>
        <w:spacing w:after="0" w:line="240" w:lineRule="auto"/>
        <w:rPr>
          <w:color w:val="000000"/>
        </w:rPr>
      </w:pPr>
      <w:r>
        <w:rPr>
          <w:color w:val="000000"/>
        </w:rPr>
        <w:tab/>
        <w:t>Le choix des électrodes est important car cela permet de déplacer le mur du solvant.</w:t>
      </w:r>
    </w:p>
    <w:p w14:paraId="00000027" w14:textId="77777777" w:rsidR="00896515" w:rsidRDefault="00896515">
      <w:pPr>
        <w:pBdr>
          <w:top w:val="nil"/>
          <w:left w:val="nil"/>
          <w:bottom w:val="nil"/>
          <w:right w:val="nil"/>
          <w:between w:val="nil"/>
        </w:pBdr>
        <w:spacing w:after="0" w:line="240" w:lineRule="auto"/>
        <w:rPr>
          <w:color w:val="000000"/>
        </w:rPr>
      </w:pPr>
      <w:bookmarkStart w:id="0" w:name="_heading=h.gjdgxs" w:colFirst="0" w:colLast="0"/>
      <w:bookmarkEnd w:id="0"/>
    </w:p>
    <w:p w14:paraId="00000028" w14:textId="77777777" w:rsidR="00896515" w:rsidRDefault="007E7B77">
      <w:pPr>
        <w:pBdr>
          <w:top w:val="nil"/>
          <w:left w:val="nil"/>
          <w:bottom w:val="nil"/>
          <w:right w:val="nil"/>
          <w:between w:val="nil"/>
        </w:pBdr>
        <w:spacing w:after="0" w:line="240" w:lineRule="auto"/>
        <w:rPr>
          <w:color w:val="000000"/>
        </w:rPr>
      </w:pPr>
      <w:r>
        <w:rPr>
          <w:color w:val="000000"/>
        </w:rPr>
        <w:tab/>
        <w:t xml:space="preserve">Formule du rendement faradique : </w:t>
      </w:r>
    </w:p>
    <w:p w14:paraId="00000029" w14:textId="77777777" w:rsidR="00896515" w:rsidRDefault="007E7B77">
      <w:pPr>
        <w:jc w:val="center"/>
        <w:rPr>
          <w:rFonts w:ascii="Cambria Math" w:eastAsia="Cambria Math" w:hAnsi="Cambria Math" w:cs="Cambria Math"/>
          <w:color w:val="000000"/>
        </w:rPr>
      </w:pPr>
      <m:oMathPara>
        <m:oMath>
          <m:r>
            <w:rPr>
              <w:rFonts w:ascii="Cambria Math" w:eastAsia="Cambria Math" w:hAnsi="Cambria Math" w:cs="Cambria Math"/>
              <w:color w:val="000000"/>
            </w:rPr>
            <m:t>η = </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m:t>
                      </m:r>
                    </m:sup>
                  </m:sSup>
                </m:sub>
              </m:sSub>
              <m:r>
                <w:rPr>
                  <w:rFonts w:ascii="Cambria Math" w:eastAsia="Cambria Math" w:hAnsi="Cambria Math" w:cs="Cambria Math"/>
                  <w:color w:val="000000"/>
                </w:rPr>
                <m:t>×F</m:t>
              </m:r>
            </m:num>
            <m:den>
              <m:r>
                <w:rPr>
                  <w:rFonts w:ascii="Cambria Math" w:eastAsia="Cambria Math" w:hAnsi="Cambria Math" w:cs="Cambria Math"/>
                  <w:color w:val="000000"/>
                </w:rPr>
                <m:t>I × Δt </m:t>
              </m:r>
            </m:den>
          </m:f>
          <m:r>
            <w:rPr>
              <w:rFonts w:ascii="Cambria Math" w:eastAsia="Cambria Math" w:hAnsi="Cambria Math" w:cs="Cambria Math"/>
              <w:color w:val="000000"/>
            </w:rPr>
            <m:t> = </m:t>
          </m:r>
          <m:f>
            <m:fPr>
              <m:ctrlPr>
                <w:rPr>
                  <w:rFonts w:ascii="Cambria Math" w:eastAsia="Cambria Math" w:hAnsi="Cambria Math" w:cs="Cambria Math"/>
                  <w:color w:val="000000"/>
                </w:rPr>
              </m:ctrlPr>
            </m:fPr>
            <m:num>
              <m:r>
                <w:rPr>
                  <w:rFonts w:ascii="Cambria Math" w:eastAsia="Cambria Math" w:hAnsi="Cambria Math" w:cs="Cambria Math"/>
                  <w:color w:val="000000"/>
                </w:rPr>
                <m:t>2×</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Cl</m:t>
                  </m:r>
                  <m:sSup>
                    <m:sSupPr>
                      <m:ctrlPr>
                        <w:rPr>
                          <w:rFonts w:ascii="Cambria Math" w:eastAsia="Cambria Math" w:hAnsi="Cambria Math" w:cs="Cambria Math"/>
                          <w:color w:val="000000"/>
                        </w:rPr>
                      </m:ctrlPr>
                    </m:sSupPr>
                    <m:e>
                      <m:r>
                        <w:rPr>
                          <w:rFonts w:ascii="Cambria Math" w:eastAsia="Cambria Math" w:hAnsi="Cambria Math" w:cs="Cambria Math"/>
                          <w:color w:val="000000"/>
                        </w:rPr>
                        <m:t>O</m:t>
                      </m:r>
                    </m:e>
                    <m:sup>
                      <m:r>
                        <w:rPr>
                          <w:rFonts w:ascii="Cambria Math" w:eastAsia="Cambria Math" w:hAnsi="Cambria Math" w:cs="Cambria Math"/>
                          <w:color w:val="000000"/>
                        </w:rPr>
                        <m:t>-</m:t>
                      </m:r>
                    </m:sup>
                  </m:sSup>
                </m:sub>
              </m:sSub>
              <m:r>
                <w:rPr>
                  <w:rFonts w:ascii="Cambria Math" w:eastAsia="Cambria Math" w:hAnsi="Cambria Math" w:cs="Cambria Math"/>
                  <w:color w:val="000000"/>
                </w:rPr>
                <m:t>×F</m:t>
              </m:r>
            </m:num>
            <m:den>
              <m:r>
                <w:rPr>
                  <w:rFonts w:ascii="Cambria Math" w:eastAsia="Cambria Math" w:hAnsi="Cambria Math" w:cs="Cambria Math"/>
                  <w:color w:val="000000"/>
                </w:rPr>
                <m:t>I Δ t</m:t>
              </m:r>
            </m:den>
          </m:f>
        </m:oMath>
      </m:oMathPara>
    </w:p>
    <w:p w14:paraId="0000002A" w14:textId="77777777" w:rsidR="00896515" w:rsidRDefault="007E7B77">
      <w:pPr>
        <w:pBdr>
          <w:top w:val="nil"/>
          <w:left w:val="nil"/>
          <w:bottom w:val="nil"/>
          <w:right w:val="nil"/>
          <w:between w:val="nil"/>
        </w:pBdr>
        <w:spacing w:after="0" w:line="240" w:lineRule="auto"/>
        <w:rPr>
          <w:color w:val="000000"/>
        </w:rPr>
      </w:pPr>
      <w:r>
        <w:rPr>
          <w:color w:val="000000"/>
        </w:rPr>
        <w:t xml:space="preserve">Dans cette formule, </w:t>
      </w:r>
      <m:oMath>
        <m:r>
          <w:rPr>
            <w:rFonts w:ascii="Cambria Math" w:eastAsia="Cambria Math" w:hAnsi="Cambria Math" w:cs="Cambria Math"/>
            <w:color w:val="000000"/>
          </w:rPr>
          <m:t>F</m:t>
        </m:r>
      </m:oMath>
      <w:r>
        <w:rPr>
          <w:color w:val="000000"/>
        </w:rPr>
        <w:t xml:space="preserve"> est la constante de Faraday et elle vaut : </w:t>
      </w:r>
      <m:oMath>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A</m:t>
            </m:r>
          </m:sub>
        </m:sSub>
        <m:r>
          <w:rPr>
            <w:rFonts w:ascii="Cambria Math" w:eastAsia="Cambria Math" w:hAnsi="Cambria Math" w:cs="Cambria Math"/>
            <w:color w:val="000000"/>
          </w:rPr>
          <m:t>e</m:t>
        </m:r>
      </m:oMath>
      <w:r>
        <w:rPr>
          <w:color w:val="000000"/>
        </w:rPr>
        <w:t xml:space="preserve"> = 96 500 C.mol</w:t>
      </w:r>
      <w:r>
        <w:rPr>
          <w:color w:val="000000"/>
          <w:vertAlign w:val="superscript"/>
        </w:rPr>
        <w:t>-1</w:t>
      </w:r>
      <w:r>
        <w:rPr>
          <w:color w:val="000000"/>
        </w:rPr>
        <w:t>.</w:t>
      </w:r>
    </w:p>
    <w:p w14:paraId="0000002B" w14:textId="77777777" w:rsidR="00896515" w:rsidRDefault="00896515">
      <w:pPr>
        <w:pBdr>
          <w:top w:val="nil"/>
          <w:left w:val="nil"/>
          <w:bottom w:val="nil"/>
          <w:right w:val="nil"/>
          <w:between w:val="nil"/>
        </w:pBdr>
        <w:spacing w:after="0" w:line="240" w:lineRule="auto"/>
        <w:rPr>
          <w:color w:val="000000"/>
        </w:rPr>
      </w:pPr>
    </w:p>
    <w:p w14:paraId="0000002C" w14:textId="77777777" w:rsidR="00896515" w:rsidRDefault="007E7B77">
      <w:pPr>
        <w:pBdr>
          <w:top w:val="nil"/>
          <w:left w:val="nil"/>
          <w:bottom w:val="nil"/>
          <w:right w:val="nil"/>
          <w:between w:val="nil"/>
        </w:pBdr>
        <w:spacing w:after="0" w:line="240" w:lineRule="auto"/>
        <w:rPr>
          <w:color w:val="000000"/>
        </w:rPr>
      </w:pPr>
      <w:r>
        <w:rPr>
          <w:color w:val="000000"/>
        </w:rPr>
        <w:t xml:space="preserve">Pour déterminer </w:t>
      </w:r>
      <m:oMath>
        <m:r>
          <w:rPr>
            <w:rFonts w:ascii="Cambria Math" w:hAnsi="Cambria Math"/>
          </w:rPr>
          <m:t>Δ</m:t>
        </m:r>
        <m:r>
          <w:rPr>
            <w:rFonts w:ascii="Cambria Math" w:eastAsia="Cambria Math" w:hAnsi="Cambria Math" w:cs="Cambria Math"/>
            <w:color w:val="000000"/>
          </w:rPr>
          <m:t>t</m:t>
        </m:r>
      </m:oMath>
      <w:r>
        <w:rPr>
          <w:color w:val="000000"/>
        </w:rPr>
        <w:t>, on considère un rendement faradique de 100 %. Avec une solution de thiosulfate de sodium à 0,1 mol.L</w:t>
      </w:r>
      <w:r>
        <w:rPr>
          <w:color w:val="000000"/>
          <w:vertAlign w:val="superscript"/>
        </w:rPr>
        <w:t>-1</w:t>
      </w:r>
      <w:r>
        <w:rPr>
          <w:color w:val="000000"/>
        </w:rPr>
        <w:t xml:space="preserve">, et en espérant obtenir un volume équivalent d’environ 20 mL, on trouve un </w:t>
      </w:r>
      <m:oMath>
        <m:r>
          <w:rPr>
            <w:rFonts w:ascii="Cambria Math" w:hAnsi="Cambria Math"/>
          </w:rPr>
          <m:t>Δ</m:t>
        </m:r>
        <m:r>
          <w:rPr>
            <w:rFonts w:ascii="Cambria Math" w:eastAsia="Cambria Math" w:hAnsi="Cambria Math" w:cs="Cambria Math"/>
            <w:color w:val="000000"/>
          </w:rPr>
          <m:t>t ≈320 s</m:t>
        </m:r>
      </m:oMath>
      <w:r>
        <w:rPr>
          <w:color w:val="000000"/>
        </w:rPr>
        <w:t xml:space="preserve"> pour une intensité de 0,6 A.</w:t>
      </w:r>
    </w:p>
    <w:p w14:paraId="0000002D" w14:textId="77777777" w:rsidR="00896515" w:rsidRDefault="00896515">
      <w:pPr>
        <w:pBdr>
          <w:top w:val="nil"/>
          <w:left w:val="nil"/>
          <w:bottom w:val="nil"/>
          <w:right w:val="nil"/>
          <w:between w:val="nil"/>
        </w:pBdr>
        <w:spacing w:after="0" w:line="240" w:lineRule="auto"/>
        <w:rPr>
          <w:color w:val="000000"/>
        </w:rPr>
      </w:pPr>
    </w:p>
    <w:p w14:paraId="0000002E" w14:textId="77777777" w:rsidR="00896515" w:rsidRDefault="007E7B77">
      <w:pPr>
        <w:pBdr>
          <w:top w:val="nil"/>
          <w:left w:val="nil"/>
          <w:bottom w:val="nil"/>
          <w:right w:val="nil"/>
          <w:between w:val="nil"/>
        </w:pBdr>
        <w:spacing w:after="0" w:line="240" w:lineRule="auto"/>
        <w:rPr>
          <w:color w:val="000000"/>
        </w:rPr>
      </w:pPr>
      <w:r>
        <w:rPr>
          <w:color w:val="000000"/>
        </w:rPr>
        <w:t>La réaction support de titrage donnée p.392 donne :</w:t>
      </w:r>
    </w:p>
    <w:p w14:paraId="0000002F" w14:textId="77777777" w:rsidR="00896515" w:rsidRDefault="0057562E">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Cl</m:t>
              </m:r>
              <m:sSup>
                <m:sSupPr>
                  <m:ctrlPr>
                    <w:rPr>
                      <w:rFonts w:ascii="Cambria Math" w:eastAsia="Cambria Math" w:hAnsi="Cambria Math" w:cs="Cambria Math"/>
                      <w:color w:val="000000"/>
                    </w:rPr>
                  </m:ctrlPr>
                </m:sSupPr>
                <m:e>
                  <m:r>
                    <w:rPr>
                      <w:rFonts w:ascii="Cambria Math" w:eastAsia="Cambria Math" w:hAnsi="Cambria Math" w:cs="Cambria Math"/>
                      <w:color w:val="000000"/>
                    </w:rPr>
                    <m:t>O</m:t>
                  </m:r>
                </m:e>
                <m:sup>
                  <m:r>
                    <w:rPr>
                      <w:rFonts w:ascii="Cambria Math" w:eastAsia="Cambria Math" w:hAnsi="Cambria Math" w:cs="Cambria Math"/>
                      <w:color w:val="000000"/>
                    </w:rPr>
                    <m:t>-</m:t>
                  </m:r>
                </m:sup>
              </m:sSup>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sSub>
                    <m:sSubPr>
                      <m:ctrlPr>
                        <w:rPr>
                          <w:rFonts w:ascii="Cambria Math" w:eastAsia="Cambria Math" w:hAnsi="Cambria Math" w:cs="Cambria Math"/>
                          <w:color w:val="000000"/>
                        </w:rPr>
                      </m:ctrlPr>
                    </m:sSubPr>
                    <m:e>
                      <m:r>
                        <w:rPr>
                          <w:rFonts w:ascii="Cambria Math" w:eastAsia="Cambria Math" w:hAnsi="Cambria Math" w:cs="Cambria Math"/>
                          <w:color w:val="000000"/>
                        </w:rPr>
                        <m:t>S</m:t>
                      </m:r>
                    </m:e>
                    <m:sub>
                      <m:r>
                        <w:rPr>
                          <w:rFonts w:ascii="Cambria Math" w:eastAsia="Cambria Math" w:hAnsi="Cambria Math" w:cs="Cambria Math"/>
                          <w:color w:val="000000"/>
                        </w:rPr>
                        <m:t>2</m:t>
                      </m:r>
                    </m:sub>
                  </m:sSub>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O</m:t>
                      </m:r>
                    </m:e>
                    <m:sub>
                      <m:r>
                        <w:rPr>
                          <w:rFonts w:ascii="Cambria Math" w:eastAsia="Cambria Math" w:hAnsi="Cambria Math" w:cs="Cambria Math"/>
                          <w:color w:val="000000"/>
                        </w:rPr>
                        <m:t>3</m:t>
                      </m:r>
                    </m:sub>
                    <m:sup>
                      <m:r>
                        <w:rPr>
                          <w:rFonts w:ascii="Cambria Math" w:eastAsia="Cambria Math" w:hAnsi="Cambria Math" w:cs="Cambria Math"/>
                          <w:color w:val="000000"/>
                        </w:rPr>
                        <m:t>2-</m:t>
                      </m:r>
                    </m:sup>
                  </m:sSubSup>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eq</m:t>
                  </m:r>
                </m:sub>
              </m:sSub>
            </m:num>
            <m:den>
              <m:r>
                <w:rPr>
                  <w:rFonts w:ascii="Cambria Math" w:eastAsia="Cambria Math" w:hAnsi="Cambria Math" w:cs="Cambria Math"/>
                  <w:color w:val="000000"/>
                </w:rPr>
                <m:t>2</m:t>
              </m:r>
            </m:den>
          </m:f>
        </m:oMath>
      </m:oMathPara>
    </w:p>
    <w:p w14:paraId="00000030" w14:textId="77777777" w:rsidR="00896515" w:rsidRDefault="007E7B77">
      <w:pPr>
        <w:pBdr>
          <w:top w:val="nil"/>
          <w:left w:val="nil"/>
          <w:bottom w:val="nil"/>
          <w:right w:val="nil"/>
          <w:between w:val="nil"/>
        </w:pBdr>
        <w:spacing w:after="0" w:line="240" w:lineRule="auto"/>
        <w:rPr>
          <w:color w:val="000000"/>
        </w:rPr>
      </w:pPr>
      <w:r>
        <w:rPr>
          <w:color w:val="000000"/>
        </w:rPr>
        <w:t xml:space="preserve">On ajoute aux 150 mL une solution d’iodure de potassium </w:t>
      </w:r>
      <w:r>
        <w:t>(ions iodure e</w:t>
      </w:r>
      <w:r>
        <w:rPr>
          <w:color w:val="000000"/>
        </w:rPr>
        <w:t>n excès par rapport aux ions ClO-) et on obtient un volume équivalent d’environ 3,6 mL. (On peut donc diminuer la concentration de la solution de thiosulfa</w:t>
      </w:r>
      <w:r>
        <w:t>te).</w:t>
      </w:r>
      <w:r>
        <w:rPr>
          <w:color w:val="000000"/>
        </w:rPr>
        <w:t xml:space="preserve"> Ce qui donne un rendement faradique autour des 20 %. Cette faible valeur peut s’expliquer par le fait qu’on ne réalise pas uniquement l’électrolyse d</w:t>
      </w:r>
      <w:r>
        <w:t>es</w:t>
      </w:r>
      <w:r>
        <w:rPr>
          <w:color w:val="000000"/>
        </w:rPr>
        <w:t xml:space="preserve"> ions chlorures mais aussi celle de l’eau (voir les courbes intensité potentiel p.338).  On peut constater qu’on </w:t>
      </w:r>
      <w:r>
        <w:t>a</w:t>
      </w:r>
      <w:r>
        <w:rPr>
          <w:color w:val="000000"/>
        </w:rPr>
        <w:t xml:space="preserve"> bien réalisé l’électrolyse de l’eau en remarquant qu’il y a un dégagement gazeux au niveau des deux électrodes (dihydrogène et dioxygène qu’on pourrait caractériser par test allumettes).</w:t>
      </w:r>
    </w:p>
    <w:p w14:paraId="00000031" w14:textId="77777777" w:rsidR="00896515" w:rsidRDefault="00896515">
      <w:pPr>
        <w:pBdr>
          <w:top w:val="nil"/>
          <w:left w:val="nil"/>
          <w:bottom w:val="nil"/>
          <w:right w:val="nil"/>
          <w:between w:val="nil"/>
        </w:pBdr>
        <w:spacing w:after="0" w:line="240" w:lineRule="auto"/>
        <w:rPr>
          <w:color w:val="000000"/>
        </w:rPr>
      </w:pPr>
    </w:p>
    <w:p w14:paraId="00000032" w14:textId="77777777" w:rsidR="00896515" w:rsidRDefault="007E7B77">
      <w:pPr>
        <w:pBdr>
          <w:top w:val="nil"/>
          <w:left w:val="nil"/>
          <w:bottom w:val="nil"/>
          <w:right w:val="nil"/>
          <w:between w:val="nil"/>
        </w:pBdr>
        <w:spacing w:after="0" w:line="240" w:lineRule="auto"/>
        <w:rPr>
          <w:i/>
          <w:color w:val="000000"/>
        </w:rPr>
      </w:pPr>
      <w:r>
        <w:rPr>
          <w:i/>
          <w:color w:val="000000"/>
        </w:rPr>
        <w:t xml:space="preserve">Remarque : sur la courbe intensité potentiel p.338, la courbe la plus à droite est bien celle de l’eau. On pourrait donc éviter de faire son électrolyse en appliquant une tension permettant de se placer entre la courbe des ions chlores et celle de l’eau. Cependant, on ne </w:t>
      </w:r>
      <w:r>
        <w:rPr>
          <w:i/>
        </w:rPr>
        <w:t>connaît</w:t>
      </w:r>
      <w:r>
        <w:rPr>
          <w:i/>
          <w:color w:val="000000"/>
        </w:rPr>
        <w:t xml:space="preserve"> pas les valeurs exactes des tensions de « départ » des courbes, donc c’est difficile à faire. Ceci augmenterait sans doute le rendement faradique mais cela prendrait donc plus de temps. De plus, une diminution significative de l’intensité fournie pourrait également </w:t>
      </w:r>
      <w:r>
        <w:rPr>
          <w:i/>
        </w:rPr>
        <w:t>entraîner</w:t>
      </w:r>
      <w:r>
        <w:rPr>
          <w:i/>
          <w:color w:val="000000"/>
        </w:rPr>
        <w:t xml:space="preserve"> une augmentation du rendement.</w:t>
      </w:r>
    </w:p>
    <w:p w14:paraId="00000033" w14:textId="77777777" w:rsidR="00896515" w:rsidRDefault="00896515">
      <w:pPr>
        <w:pBdr>
          <w:top w:val="nil"/>
          <w:left w:val="nil"/>
          <w:bottom w:val="nil"/>
          <w:right w:val="nil"/>
          <w:between w:val="nil"/>
        </w:pBdr>
        <w:spacing w:after="0" w:line="240" w:lineRule="auto"/>
        <w:rPr>
          <w:i/>
          <w:color w:val="000000"/>
        </w:rPr>
      </w:pPr>
    </w:p>
    <w:p w14:paraId="00000034" w14:textId="77777777" w:rsidR="00896515" w:rsidRDefault="007E7B77">
      <w:pPr>
        <w:pBdr>
          <w:top w:val="nil"/>
          <w:left w:val="nil"/>
          <w:bottom w:val="nil"/>
          <w:right w:val="nil"/>
          <w:between w:val="nil"/>
        </w:pBdr>
        <w:spacing w:after="0" w:line="240" w:lineRule="auto"/>
        <w:rPr>
          <w:color w:val="000000"/>
          <w:u w:val="single"/>
        </w:rPr>
      </w:pPr>
      <w:r>
        <w:rPr>
          <w:color w:val="000000"/>
          <w:u w:val="single"/>
        </w:rPr>
        <w:t>Tracé de la courbe intensité potentiel :</w:t>
      </w:r>
    </w:p>
    <w:p w14:paraId="00000035" w14:textId="77777777" w:rsidR="00896515" w:rsidRDefault="007E7B77">
      <w:pPr>
        <w:pBdr>
          <w:top w:val="nil"/>
          <w:left w:val="nil"/>
          <w:bottom w:val="nil"/>
          <w:right w:val="nil"/>
          <w:between w:val="nil"/>
        </w:pBdr>
        <w:spacing w:after="0" w:line="240" w:lineRule="auto"/>
        <w:rPr>
          <w:color w:val="000000"/>
        </w:rPr>
      </w:pPr>
      <w:r>
        <w:rPr>
          <w:color w:val="000000"/>
        </w:rPr>
        <w:tab/>
        <w:t xml:space="preserve">Pour faire ce tracé, on utilise un montage à trois électrodes (décrit p.178 de </w:t>
      </w:r>
      <w:r>
        <w:rPr>
          <w:i/>
          <w:color w:val="000000"/>
        </w:rPr>
        <w:t xml:space="preserve">Chimie générale </w:t>
      </w:r>
      <w:r>
        <w:rPr>
          <w:color w:val="000000"/>
        </w:rPr>
        <w:t xml:space="preserve">JFLM).  </w:t>
      </w:r>
    </w:p>
    <w:p w14:paraId="00000036" w14:textId="77777777" w:rsidR="00896515" w:rsidRDefault="00896515">
      <w:pPr>
        <w:pBdr>
          <w:top w:val="nil"/>
          <w:left w:val="nil"/>
          <w:bottom w:val="nil"/>
          <w:right w:val="nil"/>
          <w:between w:val="nil"/>
        </w:pBdr>
        <w:spacing w:after="0" w:line="240" w:lineRule="auto"/>
        <w:rPr>
          <w:color w:val="000000"/>
        </w:rPr>
      </w:pPr>
    </w:p>
    <w:p w14:paraId="00000037" w14:textId="77777777" w:rsidR="00896515" w:rsidRDefault="007E7B77">
      <w:pPr>
        <w:pBdr>
          <w:top w:val="nil"/>
          <w:left w:val="nil"/>
          <w:bottom w:val="nil"/>
          <w:right w:val="nil"/>
          <w:between w:val="nil"/>
        </w:pBdr>
        <w:spacing w:after="0" w:line="240" w:lineRule="auto"/>
        <w:ind w:firstLine="708"/>
        <w:rPr>
          <w:color w:val="000000"/>
        </w:rPr>
      </w:pPr>
      <w:r>
        <w:rPr>
          <w:color w:val="000000"/>
        </w:rPr>
        <w:t>On utilise un montage à trois électrodes car on a besoin d’un potentiel fixe (électrode au calomel saturé).</w:t>
      </w:r>
    </w:p>
    <w:p w14:paraId="00000038" w14:textId="77777777" w:rsidR="00896515" w:rsidRDefault="007E7B77">
      <w:pPr>
        <w:pBdr>
          <w:top w:val="nil"/>
          <w:left w:val="nil"/>
          <w:bottom w:val="nil"/>
          <w:right w:val="nil"/>
          <w:between w:val="nil"/>
        </w:pBdr>
        <w:spacing w:after="0" w:line="240" w:lineRule="auto"/>
        <w:rPr>
          <w:color w:val="000000"/>
        </w:rPr>
      </w:pPr>
      <w:r>
        <w:rPr>
          <w:color w:val="000000"/>
        </w:rPr>
        <w:tab/>
      </w:r>
    </w:p>
    <w:p w14:paraId="00000039" w14:textId="77777777" w:rsidR="00896515" w:rsidRDefault="007E7B77">
      <w:pPr>
        <w:pBdr>
          <w:top w:val="nil"/>
          <w:left w:val="nil"/>
          <w:bottom w:val="nil"/>
          <w:right w:val="nil"/>
          <w:between w:val="nil"/>
        </w:pBdr>
        <w:spacing w:after="0" w:line="240" w:lineRule="auto"/>
        <w:ind w:firstLine="708"/>
        <w:rPr>
          <w:i/>
          <w:color w:val="000000"/>
          <w:u w:val="single"/>
        </w:rPr>
      </w:pPr>
      <w:r>
        <w:rPr>
          <w:i/>
          <w:color w:val="000000"/>
          <w:u w:val="single"/>
        </w:rPr>
        <w:t xml:space="preserve">Remarques théoriques : </w:t>
      </w:r>
    </w:p>
    <w:p w14:paraId="0000003A" w14:textId="77777777" w:rsidR="00896515" w:rsidRDefault="007E7B77">
      <w:pPr>
        <w:pBdr>
          <w:top w:val="nil"/>
          <w:left w:val="nil"/>
          <w:bottom w:val="nil"/>
          <w:right w:val="nil"/>
          <w:between w:val="nil"/>
        </w:pBdr>
        <w:spacing w:after="0" w:line="240" w:lineRule="auto"/>
        <w:ind w:firstLine="708"/>
        <w:rPr>
          <w:i/>
          <w:color w:val="000000"/>
        </w:rPr>
      </w:pPr>
      <w:r>
        <w:rPr>
          <w:i/>
          <w:color w:val="000000"/>
        </w:rPr>
        <w:t>En général, on ajoute un sel de fond dans la solution afin de limiter les effets de migration des ions et pour réduire la résistance de la solution, à cause de la chute ohmique.</w:t>
      </w:r>
    </w:p>
    <w:p w14:paraId="0000003B" w14:textId="77777777" w:rsidR="00896515" w:rsidRDefault="007E7B77">
      <w:pPr>
        <w:pBdr>
          <w:top w:val="nil"/>
          <w:left w:val="nil"/>
          <w:bottom w:val="nil"/>
          <w:right w:val="nil"/>
          <w:between w:val="nil"/>
        </w:pBdr>
        <w:spacing w:after="0" w:line="240" w:lineRule="auto"/>
        <w:ind w:firstLine="708"/>
        <w:rPr>
          <w:i/>
          <w:color w:val="000000"/>
        </w:rPr>
      </w:pPr>
      <w:r>
        <w:rPr>
          <w:i/>
          <w:color w:val="000000"/>
        </w:rPr>
        <w:t>Il existe trois phénomènes liés au transport des charges :</w:t>
      </w:r>
    </w:p>
    <w:p w14:paraId="0000003C" w14:textId="77777777" w:rsidR="00896515" w:rsidRDefault="007E7B77">
      <w:pPr>
        <w:numPr>
          <w:ilvl w:val="1"/>
          <w:numId w:val="1"/>
        </w:numPr>
        <w:pBdr>
          <w:top w:val="nil"/>
          <w:left w:val="nil"/>
          <w:bottom w:val="nil"/>
          <w:right w:val="nil"/>
          <w:between w:val="nil"/>
        </w:pBdr>
        <w:spacing w:after="0" w:line="240" w:lineRule="auto"/>
        <w:rPr>
          <w:i/>
          <w:color w:val="000000"/>
        </w:rPr>
      </w:pPr>
      <w:r>
        <w:rPr>
          <w:i/>
          <w:color w:val="000000"/>
        </w:rPr>
        <w:t>Diffusion : on préfère qu’elle soit stationnaire au cours de l’expérience. Pour ce faire, on peut utiliser des électrodes tournantes ou agiter la solution (qui impose de la convection et donc limite l’épaisseur de la couche de diffusion)</w:t>
      </w:r>
    </w:p>
    <w:p w14:paraId="0000003D" w14:textId="1883F9B7" w:rsidR="00896515" w:rsidRDefault="007E7B77">
      <w:pPr>
        <w:numPr>
          <w:ilvl w:val="1"/>
          <w:numId w:val="1"/>
        </w:numPr>
        <w:pBdr>
          <w:top w:val="nil"/>
          <w:left w:val="nil"/>
          <w:bottom w:val="nil"/>
          <w:right w:val="nil"/>
          <w:between w:val="nil"/>
        </w:pBdr>
        <w:spacing w:after="0" w:line="240" w:lineRule="auto"/>
        <w:rPr>
          <w:i/>
          <w:color w:val="000000"/>
        </w:rPr>
      </w:pPr>
      <w:r>
        <w:rPr>
          <w:i/>
          <w:color w:val="000000"/>
        </w:rPr>
        <w:t xml:space="preserve">Migration </w:t>
      </w:r>
      <w:bookmarkStart w:id="1" w:name="_GoBack"/>
      <w:bookmarkEnd w:id="1"/>
      <w:r>
        <w:rPr>
          <w:i/>
          <w:color w:val="000000"/>
        </w:rPr>
        <w:t>des espèces chargées</w:t>
      </w:r>
    </w:p>
    <w:p w14:paraId="0000003E" w14:textId="77777777" w:rsidR="00896515" w:rsidRDefault="007E7B77">
      <w:pPr>
        <w:numPr>
          <w:ilvl w:val="1"/>
          <w:numId w:val="1"/>
        </w:numPr>
        <w:pBdr>
          <w:top w:val="nil"/>
          <w:left w:val="nil"/>
          <w:bottom w:val="nil"/>
          <w:right w:val="nil"/>
          <w:between w:val="nil"/>
        </w:pBdr>
        <w:spacing w:after="0" w:line="240" w:lineRule="auto"/>
        <w:rPr>
          <w:i/>
          <w:color w:val="000000"/>
        </w:rPr>
      </w:pPr>
      <w:r>
        <w:rPr>
          <w:i/>
        </w:rPr>
        <w:t>convection, liée à l’agitation de la solution</w:t>
      </w:r>
    </w:p>
    <w:p w14:paraId="0000003F" w14:textId="77777777" w:rsidR="00896515" w:rsidRDefault="007E7B77">
      <w:pPr>
        <w:pBdr>
          <w:top w:val="nil"/>
          <w:left w:val="nil"/>
          <w:bottom w:val="nil"/>
          <w:right w:val="nil"/>
          <w:between w:val="nil"/>
        </w:pBdr>
        <w:spacing w:after="0" w:line="240" w:lineRule="auto"/>
        <w:ind w:firstLine="708"/>
        <w:rPr>
          <w:i/>
          <w:color w:val="000000"/>
        </w:rPr>
      </w:pPr>
      <w:r>
        <w:rPr>
          <w:i/>
          <w:color w:val="000000"/>
        </w:rPr>
        <w:lastRenderedPageBreak/>
        <w:t>Sur une courbe intensité potentiel, les paliers à haut et bas potentiels correspondent aux paliers de diffusion. Pour des couples rapides, le potentiel situé au milieu des deux « potentiels de départs » correspond au potentiel de Nernst, qui est différent du potentiel standard.</w:t>
      </w:r>
    </w:p>
    <w:p w14:paraId="00000040" w14:textId="77777777" w:rsidR="00896515" w:rsidRDefault="00896515">
      <w:pPr>
        <w:pBdr>
          <w:top w:val="nil"/>
          <w:left w:val="nil"/>
          <w:bottom w:val="nil"/>
          <w:right w:val="nil"/>
          <w:between w:val="nil"/>
        </w:pBdr>
        <w:spacing w:after="0" w:line="240" w:lineRule="auto"/>
        <w:rPr>
          <w:i/>
          <w:color w:val="000000"/>
        </w:rPr>
      </w:pPr>
    </w:p>
    <w:p w14:paraId="00000041" w14:textId="77777777" w:rsidR="00896515" w:rsidRDefault="00896515">
      <w:pPr>
        <w:pBdr>
          <w:top w:val="nil"/>
          <w:left w:val="nil"/>
          <w:bottom w:val="nil"/>
          <w:right w:val="nil"/>
          <w:between w:val="nil"/>
        </w:pBdr>
        <w:spacing w:after="0" w:line="240" w:lineRule="auto"/>
        <w:rPr>
          <w:i/>
          <w:color w:val="000000"/>
        </w:rPr>
      </w:pPr>
    </w:p>
    <w:p w14:paraId="00000042" w14:textId="77777777" w:rsidR="00896515" w:rsidRDefault="00896515">
      <w:pPr>
        <w:pBdr>
          <w:top w:val="nil"/>
          <w:left w:val="nil"/>
          <w:bottom w:val="nil"/>
          <w:right w:val="nil"/>
          <w:between w:val="nil"/>
        </w:pBdr>
        <w:spacing w:after="0" w:line="240" w:lineRule="auto"/>
        <w:rPr>
          <w:color w:val="000000"/>
        </w:rPr>
      </w:pPr>
    </w:p>
    <w:p w14:paraId="00000043" w14:textId="77777777" w:rsidR="00896515" w:rsidRDefault="00896515">
      <w:pPr>
        <w:pBdr>
          <w:top w:val="nil"/>
          <w:left w:val="nil"/>
          <w:bottom w:val="nil"/>
          <w:right w:val="nil"/>
          <w:between w:val="nil"/>
        </w:pBdr>
        <w:spacing w:after="0" w:line="240" w:lineRule="auto"/>
        <w:rPr>
          <w:color w:val="000000"/>
        </w:rPr>
      </w:pPr>
    </w:p>
    <w:p w14:paraId="00000044" w14:textId="77777777" w:rsidR="00896515" w:rsidRDefault="00896515">
      <w:pPr>
        <w:pBdr>
          <w:top w:val="nil"/>
          <w:left w:val="nil"/>
          <w:bottom w:val="nil"/>
          <w:right w:val="nil"/>
          <w:between w:val="nil"/>
        </w:pBdr>
        <w:spacing w:after="0" w:line="240" w:lineRule="auto"/>
        <w:rPr>
          <w:color w:val="000000"/>
        </w:rPr>
      </w:pPr>
    </w:p>
    <w:p w14:paraId="00000045" w14:textId="77777777" w:rsidR="00896515" w:rsidRDefault="007E7B77">
      <w:pPr>
        <w:pBdr>
          <w:top w:val="nil"/>
          <w:left w:val="nil"/>
          <w:bottom w:val="nil"/>
          <w:right w:val="nil"/>
          <w:between w:val="nil"/>
        </w:pBdr>
        <w:spacing w:after="0" w:line="240" w:lineRule="auto"/>
        <w:rPr>
          <w:color w:val="000000"/>
        </w:rPr>
      </w:pPr>
      <w:r>
        <w:rPr>
          <w:color w:val="000000"/>
        </w:rPr>
        <w:tab/>
      </w:r>
    </w:p>
    <w:p w14:paraId="00000046" w14:textId="77777777" w:rsidR="00896515" w:rsidRDefault="00896515">
      <w:pPr>
        <w:tabs>
          <w:tab w:val="left" w:pos="1755"/>
        </w:tabs>
      </w:pPr>
    </w:p>
    <w:sectPr w:rsidR="00896515">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20AFC"/>
    <w:multiLevelType w:val="multilevel"/>
    <w:tmpl w:val="081C5CB2"/>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515"/>
    <w:rsid w:val="0057562E"/>
    <w:rsid w:val="007E7B77"/>
    <w:rsid w:val="008965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E41A"/>
  <w15:docId w15:val="{DB0B7557-9332-43B5-A627-EFC1BE8C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ansinterligne">
    <w:name w:val="No Spacing"/>
    <w:uiPriority w:val="1"/>
    <w:qFormat/>
    <w:rsid w:val="005F055B"/>
    <w:pPr>
      <w:spacing w:after="0" w:line="240" w:lineRule="auto"/>
    </w:pPr>
  </w:style>
  <w:style w:type="paragraph" w:styleId="Textedebulles">
    <w:name w:val="Balloon Text"/>
    <w:basedOn w:val="Normal"/>
    <w:link w:val="TextedebullesCar"/>
    <w:uiPriority w:val="99"/>
    <w:semiHidden/>
    <w:unhideWhenUsed/>
    <w:rsid w:val="005F055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055B"/>
    <w:rPr>
      <w:rFonts w:ascii="Segoe UI" w:hAnsi="Segoe UI" w:cs="Segoe UI"/>
      <w:sz w:val="18"/>
      <w:szCs w:val="18"/>
    </w:rPr>
  </w:style>
  <w:style w:type="character" w:styleId="Textedelespacerserv">
    <w:name w:val="Placeholder Text"/>
    <w:basedOn w:val="Policepardfaut"/>
    <w:uiPriority w:val="99"/>
    <w:semiHidden/>
    <w:rsid w:val="00F01558"/>
    <w:rPr>
      <w:color w:val="808080"/>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39"/>
    <w:unhideWhenUsed/>
    <w:rsid w:val="007E7B77"/>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50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5iaJqSeiWspnaEoDQkOqwQgahg==">AMUW2mXuBzGnF4FA79nj+t14Ipx/x/ixHz45u5aRTEywnv+v1X3O79s7QKsRJV+7BP5eLMenwkwAAMh6CSniZ6vLxiTdKZeKmOukTzT/lWo9WNuVD17LPHtJAueW0J+19znYTA5xZgBT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705</Words>
  <Characters>3881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Rémy BONNEMORT</dc:creator>
  <cp:lastModifiedBy>Rémy BONNEMORT</cp:lastModifiedBy>
  <cp:revision>3</cp:revision>
  <dcterms:created xsi:type="dcterms:W3CDTF">2020-01-29T17:12:00Z</dcterms:created>
  <dcterms:modified xsi:type="dcterms:W3CDTF">2020-03-30T07:38:00Z</dcterms:modified>
</cp:coreProperties>
</file>