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CCD" w:rsidRDefault="004214CF" w:rsidP="00B73CCD">
      <w:pPr>
        <w:pStyle w:val="Sansinterligne"/>
        <w:rPr>
          <w:b/>
          <w:bCs/>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-213995</wp:posOffset>
                </wp:positionH>
                <wp:positionV relativeFrom="paragraph">
                  <wp:posOffset>-80645</wp:posOffset>
                </wp:positionV>
                <wp:extent cx="1257300" cy="6762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1257300" cy="676275"/>
                        </a:xfrm>
                        <a:prstGeom prst="rect">
                          <a:avLst/>
                        </a:prstGeom>
                        <a:solidFill>
                          <a:srgbClr val="0070C0"/>
                        </a:solidFill>
                        <a:ln w="6350">
                          <a:noFill/>
                        </a:ln>
                      </wps:spPr>
                      <wps:txbx>
                        <w:txbxContent>
                          <w:p w:rsidR="004214CF" w:rsidRPr="00B73CCD" w:rsidRDefault="004214C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sidR="000D165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6.85pt;margin-top:-6.35pt;width:9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" fillcolor="#0070c0" stroked="f" strokeweight=".5pt">
                <v:textbox>
                  <w:txbxContent>
                    <w:p w:rsidR="004214CF" w:rsidRPr="00B73CCD" w:rsidRDefault="004214C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sidR="000D165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5</w:t>
                      </w:r>
                    </w:p>
                  </w:txbxContent>
                </v:textbox>
              </v:shape>
            </w:pict>
          </mc:Fallback>
        </mc:AlternateContent>
      </w:r>
      <w:r w:rsidR="00B73CCD">
        <w:tab/>
      </w:r>
      <w:proofErr w:type="spellStart"/>
      <w:r w:rsidR="00B73CCD">
        <w:t>Sép</w:t>
      </w:r>
      <w:proofErr w:type="spellEnd"/>
      <w:r w:rsidR="00B73CCD">
        <w:tab/>
      </w:r>
      <w:r w:rsidR="00B73CCD">
        <w:tab/>
      </w:r>
      <w:r w:rsidR="000D165D">
        <w:rPr>
          <w:b/>
          <w:bCs/>
          <w:sz w:val="32"/>
          <w:szCs w:val="32"/>
        </w:rPr>
        <w:t>Stratégies et sélectivités en synthèse organique</w:t>
      </w:r>
    </w:p>
    <w:p w:rsidR="00B73CCD" w:rsidRDefault="00B73CCD" w:rsidP="00B73CCD">
      <w:pPr>
        <w:pStyle w:val="Sansinterligne"/>
        <w:rPr>
          <w:b/>
          <w:bCs/>
          <w:sz w:val="24"/>
          <w:szCs w:val="24"/>
        </w:rPr>
      </w:pPr>
      <w:r>
        <w:rPr>
          <w:b/>
          <w:bCs/>
          <w:sz w:val="24"/>
          <w:szCs w:val="24"/>
        </w:rPr>
        <w:tab/>
      </w:r>
      <w:r>
        <w:rPr>
          <w:b/>
          <w:bCs/>
          <w:sz w:val="24"/>
          <w:szCs w:val="24"/>
        </w:rPr>
        <w:tab/>
      </w:r>
      <w:r>
        <w:rPr>
          <w:b/>
          <w:bCs/>
          <w:sz w:val="24"/>
          <w:szCs w:val="24"/>
        </w:rPr>
        <w:tab/>
      </w:r>
      <w:r w:rsidRPr="00B73CCD">
        <w:rPr>
          <w:i/>
          <w:iCs/>
        </w:rPr>
        <w:t>Niveau : Lycée</w:t>
      </w:r>
    </w:p>
    <w:p w:rsidR="00B73CCD" w:rsidRPr="00B73CCD" w:rsidRDefault="00B73CCD" w:rsidP="00B73CCD"/>
    <w:p w:rsidR="00B73CCD" w:rsidRDefault="00B73CCD" w:rsidP="00B73CCD">
      <w:pPr>
        <w:tabs>
          <w:tab w:val="left" w:pos="1770"/>
        </w:tabs>
        <w:rPr>
          <w:b/>
          <w:bCs/>
          <w:sz w:val="24"/>
          <w:szCs w:val="24"/>
        </w:rPr>
      </w:pPr>
    </w:p>
    <w:p w:rsidR="00B73CCD" w:rsidRDefault="00B73CCD" w:rsidP="00BC4E24">
      <w:pPr>
        <w:pStyle w:val="Sansinterligne"/>
        <w:pBdr>
          <w:top w:val="single" w:sz="4" w:space="1" w:color="auto"/>
        </w:pBdr>
        <w:rPr>
          <w:b/>
          <w:bCs/>
          <w:u w:val="single"/>
        </w:rPr>
      </w:pPr>
      <w:r>
        <w:rPr>
          <w:b/>
          <w:bCs/>
          <w:u w:val="single"/>
        </w:rPr>
        <w:t xml:space="preserve">Bibliographie : </w:t>
      </w:r>
    </w:p>
    <w:p w:rsidR="008217A3" w:rsidRDefault="006B4A1A" w:rsidP="006D384C">
      <w:pPr>
        <w:autoSpaceDE w:val="0"/>
        <w:autoSpaceDN w:val="0"/>
        <w:adjustRightInd w:val="0"/>
        <w:spacing w:after="0" w:line="240" w:lineRule="auto"/>
        <w:rPr>
          <w:rFonts w:ascii="Utopia-Regular" w:hAnsi="Utopia-Regular" w:cs="Utopia-Regular"/>
        </w:rPr>
      </w:pPr>
      <w:r>
        <w:t xml:space="preserve">[1] </w:t>
      </w:r>
      <w:r w:rsidR="006D384C" w:rsidRPr="006D384C">
        <w:rPr>
          <w:rFonts w:ascii="Utopia-Regular" w:hAnsi="Utopia-Regular" w:cs="Utopia-Regular"/>
        </w:rPr>
        <w:t>Mathieu R</w:t>
      </w:r>
      <w:r w:rsidR="006D384C" w:rsidRPr="006D384C">
        <w:rPr>
          <w:rFonts w:ascii="Utopia-Regular" w:hAnsi="Utopia-Regular" w:cs="Utopia-Regular"/>
          <w:sz w:val="18"/>
          <w:szCs w:val="18"/>
        </w:rPr>
        <w:t>UFFENACH</w:t>
      </w:r>
      <w:r w:rsidR="006D384C" w:rsidRPr="006D384C">
        <w:rPr>
          <w:rFonts w:ascii="Utopia-Regular" w:hAnsi="Utopia-Regular" w:cs="Utopia-Regular"/>
        </w:rPr>
        <w:t>, Thi</w:t>
      </w:r>
      <w:r w:rsidR="00693420">
        <w:rPr>
          <w:rFonts w:ascii="Utopia-Regular" w:hAnsi="Utopia-Regular" w:cs="Utopia-Regular"/>
        </w:rPr>
        <w:t>e</w:t>
      </w:r>
      <w:r w:rsidR="006D384C" w:rsidRPr="006D384C">
        <w:rPr>
          <w:rFonts w:ascii="Utopia-Regular" w:hAnsi="Utopia-Regular" w:cs="Utopia-Regular"/>
        </w:rPr>
        <w:t>rry C</w:t>
      </w:r>
      <w:r w:rsidR="006D384C" w:rsidRPr="006D384C">
        <w:rPr>
          <w:rFonts w:ascii="Utopia-Regular" w:hAnsi="Utopia-Regular" w:cs="Utopia-Regular"/>
          <w:sz w:val="18"/>
          <w:szCs w:val="18"/>
        </w:rPr>
        <w:t>ARIAT</w:t>
      </w:r>
      <w:r w:rsidR="006D384C" w:rsidRPr="006D384C">
        <w:rPr>
          <w:rFonts w:ascii="Utopia-Regular" w:hAnsi="Utopia-Regular" w:cs="Utopia-Regular"/>
        </w:rPr>
        <w:t>, Valérie M</w:t>
      </w:r>
      <w:r w:rsidR="006D384C" w:rsidRPr="006D384C">
        <w:rPr>
          <w:rFonts w:ascii="Utopia-Regular" w:hAnsi="Utopia-Regular" w:cs="Utopia-Regular"/>
          <w:sz w:val="18"/>
          <w:szCs w:val="18"/>
        </w:rPr>
        <w:t xml:space="preserve">ORA </w:t>
      </w:r>
      <w:r w:rsidR="006D384C" w:rsidRPr="006D384C">
        <w:rPr>
          <w:rFonts w:ascii="Utopia-Regular" w:hAnsi="Utopia-Regular" w:cs="Utopia-Regular"/>
        </w:rPr>
        <w:t xml:space="preserve">et al. </w:t>
      </w:r>
      <w:r w:rsidR="006D384C" w:rsidRPr="006D384C">
        <w:rPr>
          <w:rFonts w:ascii="Utopia-Italic" w:hAnsi="Utopia-Italic" w:cs="Utopia-Italic"/>
          <w:i/>
          <w:iCs/>
        </w:rPr>
        <w:t>Physique Chimie, Terminale S enseignement spécifique</w:t>
      </w:r>
      <w:r w:rsidR="006D384C" w:rsidRPr="006D384C">
        <w:rPr>
          <w:rFonts w:ascii="Utopia-Regular" w:hAnsi="Utopia-Regular" w:cs="Utopia-Regular"/>
        </w:rPr>
        <w:t>. Bordas, 2012.</w:t>
      </w:r>
    </w:p>
    <w:p w:rsidR="008F75C7" w:rsidRDefault="00E91A36" w:rsidP="008F75C7">
      <w:pPr>
        <w:autoSpaceDE w:val="0"/>
        <w:autoSpaceDN w:val="0"/>
        <w:adjustRightInd w:val="0"/>
        <w:spacing w:after="0" w:line="240" w:lineRule="auto"/>
        <w:rPr>
          <w:rFonts w:ascii="Utopia-Italic" w:hAnsi="Utopia-Italic" w:cs="Utopia-Italic"/>
          <w:i/>
          <w:iCs/>
        </w:rPr>
      </w:pPr>
      <w:r>
        <w:rPr>
          <w:rFonts w:ascii="Utopia-Regular" w:hAnsi="Utopia-Regular" w:cs="Utopia-Regular"/>
        </w:rPr>
        <w:t xml:space="preserve">[2] </w:t>
      </w:r>
      <w:r w:rsidR="008F75C7">
        <w:rPr>
          <w:rFonts w:ascii="Utopia-Regular" w:hAnsi="Utopia-Regular" w:cs="Utopia-Regular"/>
        </w:rPr>
        <w:t>Stanislas A</w:t>
      </w:r>
      <w:r w:rsidR="008F75C7">
        <w:rPr>
          <w:rFonts w:ascii="Utopia-Regular" w:hAnsi="Utopia-Regular" w:cs="Utopia-Regular"/>
          <w:sz w:val="18"/>
          <w:szCs w:val="18"/>
        </w:rPr>
        <w:t>NTCZAK</w:t>
      </w:r>
      <w:r w:rsidR="008F75C7">
        <w:rPr>
          <w:rFonts w:ascii="Utopia-Regular" w:hAnsi="Utopia-Regular" w:cs="Utopia-Regular"/>
        </w:rPr>
        <w:t>, Jean-François Le M</w:t>
      </w:r>
      <w:r w:rsidR="008F75C7">
        <w:rPr>
          <w:rFonts w:ascii="Utopia-Regular" w:hAnsi="Utopia-Regular" w:cs="Utopia-Regular"/>
          <w:sz w:val="18"/>
          <w:szCs w:val="18"/>
        </w:rPr>
        <w:t xml:space="preserve">ARÉCHAL </w:t>
      </w:r>
      <w:r w:rsidR="008F75C7">
        <w:rPr>
          <w:rFonts w:ascii="Utopia-Regular" w:hAnsi="Utopia-Regular" w:cs="Utopia-Regular"/>
        </w:rPr>
        <w:t xml:space="preserve">et al. </w:t>
      </w:r>
      <w:r w:rsidR="008F75C7">
        <w:rPr>
          <w:rFonts w:ascii="Utopia-Italic" w:hAnsi="Utopia-Italic" w:cs="Utopia-Italic"/>
          <w:i/>
          <w:iCs/>
        </w:rPr>
        <w:t>Physique Chimie, Terminale S enseignement</w:t>
      </w:r>
    </w:p>
    <w:p w:rsidR="00E91A36" w:rsidRDefault="008F75C7" w:rsidP="008F75C7">
      <w:pPr>
        <w:autoSpaceDE w:val="0"/>
        <w:autoSpaceDN w:val="0"/>
        <w:adjustRightInd w:val="0"/>
        <w:spacing w:after="0" w:line="240" w:lineRule="auto"/>
        <w:rPr>
          <w:rFonts w:ascii="Utopia-Regular" w:hAnsi="Utopia-Regular" w:cs="Utopia-Regular"/>
        </w:rPr>
      </w:pPr>
      <w:r>
        <w:rPr>
          <w:rFonts w:ascii="Utopia-Italic" w:hAnsi="Utopia-Italic" w:cs="Utopia-Italic"/>
          <w:i/>
          <w:iCs/>
        </w:rPr>
        <w:t>spécifique</w:t>
      </w:r>
      <w:r>
        <w:rPr>
          <w:rFonts w:ascii="Utopia-Regular" w:hAnsi="Utopia-Regular" w:cs="Utopia-Regular"/>
        </w:rPr>
        <w:t>. Hatier, 2012.</w:t>
      </w:r>
    </w:p>
    <w:p w:rsidR="008F75C7" w:rsidRDefault="008F75C7" w:rsidP="008F75C7">
      <w:pPr>
        <w:autoSpaceDE w:val="0"/>
        <w:autoSpaceDN w:val="0"/>
        <w:adjustRightInd w:val="0"/>
        <w:spacing w:after="0" w:line="240" w:lineRule="auto"/>
        <w:rPr>
          <w:rFonts w:ascii="Utopia-Italic" w:hAnsi="Utopia-Italic" w:cs="Utopia-Italic"/>
          <w:i/>
          <w:iCs/>
        </w:rPr>
      </w:pPr>
      <w:r>
        <w:rPr>
          <w:rFonts w:ascii="Utopia-Regular" w:hAnsi="Utopia-Regular" w:cs="Utopia-Regular"/>
        </w:rPr>
        <w:t>[3] Florence D</w:t>
      </w:r>
      <w:r>
        <w:rPr>
          <w:rFonts w:ascii="Utopia-Regular" w:hAnsi="Utopia-Regular" w:cs="Utopia-Regular"/>
          <w:sz w:val="18"/>
          <w:szCs w:val="18"/>
        </w:rPr>
        <w:t>AUMARIE</w:t>
      </w:r>
      <w:r>
        <w:rPr>
          <w:rFonts w:ascii="Utopia-Regular" w:hAnsi="Utopia-Regular" w:cs="Utopia-Regular"/>
        </w:rPr>
        <w:t>, Pascal G</w:t>
      </w:r>
      <w:r>
        <w:rPr>
          <w:rFonts w:ascii="Utopia-Regular" w:hAnsi="Utopia-Regular" w:cs="Utopia-Regular"/>
          <w:sz w:val="18"/>
          <w:szCs w:val="18"/>
        </w:rPr>
        <w:t xml:space="preserve">RIESMAR </w:t>
      </w:r>
      <w:r>
        <w:rPr>
          <w:rFonts w:ascii="Utopia-Regular" w:hAnsi="Utopia-Regular" w:cs="Utopia-Regular"/>
        </w:rPr>
        <w:t>et Solange S</w:t>
      </w:r>
      <w:r>
        <w:rPr>
          <w:rFonts w:ascii="Utopia-Regular" w:hAnsi="Utopia-Regular" w:cs="Utopia-Regular"/>
          <w:sz w:val="18"/>
          <w:szCs w:val="18"/>
        </w:rPr>
        <w:t>ALZARD</w:t>
      </w:r>
      <w:r>
        <w:rPr>
          <w:rFonts w:ascii="Utopia-Regular" w:hAnsi="Utopia-Regular" w:cs="Utopia-Regular"/>
        </w:rPr>
        <w:t xml:space="preserve">. </w:t>
      </w:r>
      <w:r>
        <w:rPr>
          <w:rFonts w:ascii="Utopia-Italic" w:hAnsi="Utopia-Italic" w:cs="Utopia-Italic"/>
          <w:i/>
          <w:iCs/>
        </w:rPr>
        <w:t>Florilège de chimie pratique,</w:t>
      </w:r>
    </w:p>
    <w:p w:rsidR="008F75C7" w:rsidRDefault="008F75C7" w:rsidP="008F75C7">
      <w:pPr>
        <w:autoSpaceDE w:val="0"/>
        <w:autoSpaceDN w:val="0"/>
        <w:adjustRightInd w:val="0"/>
        <w:spacing w:after="0" w:line="240" w:lineRule="auto"/>
        <w:rPr>
          <w:rFonts w:ascii="Utopia-Regular" w:hAnsi="Utopia-Regular" w:cs="Utopia-Regular"/>
        </w:rPr>
      </w:pPr>
      <w:r>
        <w:rPr>
          <w:rFonts w:ascii="Utopia-Italic" w:hAnsi="Utopia-Italic" w:cs="Utopia-Italic"/>
          <w:i/>
          <w:iCs/>
        </w:rPr>
        <w:t>deuxième édition</w:t>
      </w:r>
      <w:r>
        <w:rPr>
          <w:rFonts w:ascii="Utopia-Regular" w:hAnsi="Utopia-Regular" w:cs="Utopia-Regular"/>
        </w:rPr>
        <w:t xml:space="preserve">. </w:t>
      </w:r>
      <w:r w:rsidRPr="00041BF6">
        <w:rPr>
          <w:rFonts w:ascii="Utopia-Regular" w:hAnsi="Utopia-Regular" w:cs="Utopia-Regular"/>
        </w:rPr>
        <w:t>Hermann, 2002.</w:t>
      </w:r>
    </w:p>
    <w:p w:rsidR="001C2935" w:rsidRPr="00041BF6" w:rsidRDefault="001C2935" w:rsidP="008F75C7">
      <w:pPr>
        <w:autoSpaceDE w:val="0"/>
        <w:autoSpaceDN w:val="0"/>
        <w:adjustRightInd w:val="0"/>
        <w:spacing w:after="0" w:line="240" w:lineRule="auto"/>
        <w:rPr>
          <w:rFonts w:ascii="Utopia-Regular" w:hAnsi="Utopia-Regular" w:cs="Utopia-Regular"/>
        </w:rPr>
      </w:pPr>
      <w:r>
        <w:rPr>
          <w:rFonts w:ascii="Utopia-Regular" w:hAnsi="Utopia-Regular" w:cs="Utopia-Regular"/>
        </w:rPr>
        <w:t>[4]…</w:t>
      </w:r>
    </w:p>
    <w:p w:rsidR="009B6084" w:rsidRDefault="009B6084" w:rsidP="009B6084">
      <w:pPr>
        <w:autoSpaceDE w:val="0"/>
        <w:autoSpaceDN w:val="0"/>
        <w:adjustRightInd w:val="0"/>
        <w:spacing w:after="0" w:line="240" w:lineRule="auto"/>
        <w:rPr>
          <w:rFonts w:ascii="Utopia-Italic" w:hAnsi="Utopia-Italic" w:cs="Utopia-Italic"/>
          <w:i/>
          <w:iCs/>
        </w:rPr>
      </w:pPr>
      <w:r>
        <w:t xml:space="preserve">[5] </w:t>
      </w:r>
      <w:r>
        <w:rPr>
          <w:rFonts w:ascii="Utopia-Regular" w:hAnsi="Utopia-Regular" w:cs="Utopia-Regular"/>
        </w:rPr>
        <w:t>André D</w:t>
      </w:r>
      <w:r>
        <w:rPr>
          <w:rFonts w:ascii="Utopia-Regular" w:hAnsi="Utopia-Regular" w:cs="Utopia-Regular"/>
          <w:sz w:val="18"/>
          <w:szCs w:val="18"/>
        </w:rPr>
        <w:t>URUPTHY</w:t>
      </w:r>
      <w:r>
        <w:rPr>
          <w:rFonts w:ascii="Utopia-Regular" w:hAnsi="Utopia-Regular" w:cs="Utopia-Regular"/>
        </w:rPr>
        <w:t>, Thierry D</w:t>
      </w:r>
      <w:r>
        <w:rPr>
          <w:rFonts w:ascii="Utopia-Regular" w:hAnsi="Utopia-Regular" w:cs="Utopia-Regular"/>
          <w:sz w:val="18"/>
          <w:szCs w:val="18"/>
        </w:rPr>
        <w:t xml:space="preserve">ULAURANS </w:t>
      </w:r>
      <w:r>
        <w:rPr>
          <w:rFonts w:ascii="Utopia-Regular" w:hAnsi="Utopia-Regular" w:cs="Utopia-Regular"/>
        </w:rPr>
        <w:t xml:space="preserve">et al. </w:t>
      </w:r>
      <w:r>
        <w:rPr>
          <w:rFonts w:ascii="Utopia-Italic" w:hAnsi="Utopia-Italic" w:cs="Utopia-Italic"/>
          <w:i/>
          <w:iCs/>
        </w:rPr>
        <w:t>Physique Chimie, Terminale S enseignement</w:t>
      </w:r>
    </w:p>
    <w:p w:rsidR="009B6084" w:rsidRPr="00BD52A9" w:rsidRDefault="009B6084" w:rsidP="009B6084">
      <w:pPr>
        <w:pStyle w:val="Sansinterligne"/>
        <w:rPr>
          <w:rFonts w:ascii="Utopia-Regular" w:hAnsi="Utopia-Regular" w:cs="Utopia-Regular"/>
        </w:rPr>
      </w:pPr>
      <w:r>
        <w:rPr>
          <w:rFonts w:ascii="Utopia-Italic" w:hAnsi="Utopia-Italic" w:cs="Utopia-Italic"/>
          <w:i/>
          <w:iCs/>
        </w:rPr>
        <w:t>spécifique</w:t>
      </w:r>
      <w:r>
        <w:rPr>
          <w:rFonts w:ascii="Utopia-Regular" w:hAnsi="Utopia-Regular" w:cs="Utopia-Regular"/>
        </w:rPr>
        <w:t xml:space="preserve">. </w:t>
      </w:r>
      <w:r w:rsidRPr="00BD52A9">
        <w:rPr>
          <w:rFonts w:ascii="Utopia-Regular" w:hAnsi="Utopia-Regular" w:cs="Utopia-Regular"/>
        </w:rPr>
        <w:t xml:space="preserve">Hachette Education, 2012. </w:t>
      </w:r>
      <w:r w:rsidRPr="00BD52A9">
        <w:rPr>
          <w:rFonts w:ascii="Utopia-Regular" w:hAnsi="Utopia-Regular" w:cs="Utopia-Regular"/>
          <w:sz w:val="18"/>
          <w:szCs w:val="18"/>
        </w:rPr>
        <w:t xml:space="preserve">ISBN </w:t>
      </w:r>
      <w:r w:rsidRPr="00BD52A9">
        <w:rPr>
          <w:rFonts w:ascii="Utopia-Regular" w:hAnsi="Utopia-Regular" w:cs="Utopia-Regular"/>
        </w:rPr>
        <w:t>: 2011355745.</w:t>
      </w:r>
    </w:p>
    <w:p w:rsidR="00DC3B55" w:rsidRPr="00CA31DC" w:rsidRDefault="00DC3B55" w:rsidP="009B6084">
      <w:pPr>
        <w:pStyle w:val="Sansinterligne"/>
      </w:pPr>
      <w:r w:rsidRPr="00CA31DC">
        <w:rPr>
          <w:rFonts w:ascii="Utopia-Regular" w:hAnsi="Utopia-Regular" w:cs="Utopia-Regular"/>
        </w:rPr>
        <w:t xml:space="preserve">[6] </w:t>
      </w:r>
      <w:hyperlink r:id="rId8" w:history="1">
        <w:r w:rsidRPr="00CA31DC">
          <w:rPr>
            <w:rStyle w:val="Lienhypertexte"/>
          </w:rPr>
          <w:t>https://www.ilo.org/dyn/icsc/showcard.listCards3</w:t>
        </w:r>
      </w:hyperlink>
      <w:r w:rsidR="00CA31DC" w:rsidRPr="00CA31DC">
        <w:rPr>
          <w:rStyle w:val="Lienhypertexte"/>
        </w:rPr>
        <w:t xml:space="preserve"> </w:t>
      </w:r>
      <w:r w:rsidR="00CA31DC" w:rsidRPr="00CA31DC">
        <w:rPr>
          <w:rStyle w:val="Lienhypertexte"/>
          <w:color w:val="auto"/>
          <w:u w:val="none"/>
        </w:rPr>
        <w:t>(site sol</w:t>
      </w:r>
      <w:r w:rsidR="00CA31DC">
        <w:rPr>
          <w:rStyle w:val="Lienhypertexte"/>
          <w:color w:val="auto"/>
          <w:u w:val="none"/>
        </w:rPr>
        <w:t>ubilité)</w:t>
      </w:r>
    </w:p>
    <w:p w:rsidR="004A7863" w:rsidRDefault="004A7863" w:rsidP="009B6084">
      <w:pPr>
        <w:pStyle w:val="Sansinterligne"/>
      </w:pPr>
      <w:r w:rsidRPr="004A7863">
        <w:t xml:space="preserve">[7] </w:t>
      </w:r>
      <w:hyperlink r:id="rId9" w:history="1">
        <w:r w:rsidRPr="004A7863">
          <w:rPr>
            <w:rStyle w:val="Lienhypertexte"/>
          </w:rPr>
          <w:t>https://www.sigmaaldrich.com/catalog/substance/138126972711?lang=fr&amp;region=FR</w:t>
        </w:r>
      </w:hyperlink>
      <w:r w:rsidRPr="004A7863">
        <w:t xml:space="preserve"> (site</w:t>
      </w:r>
      <w:r>
        <w:t xml:space="preserve"> prix)</w:t>
      </w:r>
    </w:p>
    <w:p w:rsidR="00D34A2D" w:rsidRDefault="00D34A2D" w:rsidP="009B6084">
      <w:pPr>
        <w:pStyle w:val="Sansinterligne"/>
      </w:pPr>
      <w:r>
        <w:t xml:space="preserve">[8] Nicolas </w:t>
      </w:r>
      <w:r>
        <w:rPr>
          <w:smallCaps/>
        </w:rPr>
        <w:t>Coppens</w:t>
      </w:r>
      <w:r>
        <w:t xml:space="preserve">, </w:t>
      </w:r>
      <w:r>
        <w:rPr>
          <w:i/>
          <w:iCs/>
        </w:rPr>
        <w:t xml:space="preserve">Physique Chimie, Terminale S enseignement spécifique. </w:t>
      </w:r>
      <w:r>
        <w:t>Nathan, 2017</w:t>
      </w:r>
    </w:p>
    <w:p w:rsidR="000D165D" w:rsidRPr="00DF5B97" w:rsidRDefault="00D47F85" w:rsidP="00E52510">
      <w:pPr>
        <w:pStyle w:val="Sansinterligne"/>
      </w:pPr>
      <w:r w:rsidRPr="00D47F85">
        <w:t xml:space="preserve">[9] </w:t>
      </w:r>
      <w:r w:rsidR="00DF5B97">
        <w:t xml:space="preserve">Mesplède, </w:t>
      </w:r>
      <w:r w:rsidR="00DF5B97">
        <w:rPr>
          <w:i/>
          <w:iCs/>
        </w:rPr>
        <w:t xml:space="preserve">100 manipulations de chimie organique et inorganique, CAPES et agrégation de sciences physiques. </w:t>
      </w:r>
      <w:r w:rsidR="00DF5B97">
        <w:t>Bréal, 2002</w:t>
      </w:r>
    </w:p>
    <w:p w:rsidR="00E52510" w:rsidRPr="00D47F85" w:rsidRDefault="00E52510" w:rsidP="00E52510">
      <w:pPr>
        <w:pStyle w:val="Sansinterligne"/>
        <w:rPr>
          <w:rFonts w:ascii="Utopia-Regular" w:hAnsi="Utopia-Regular" w:cs="Utopia-Regular"/>
          <w:color w:val="000000"/>
          <w:sz w:val="16"/>
          <w:szCs w:val="16"/>
        </w:rPr>
      </w:pPr>
    </w:p>
    <w:p w:rsidR="00B73CCD" w:rsidRPr="005D1215" w:rsidRDefault="00B73CCD" w:rsidP="00E52510">
      <w:pPr>
        <w:pBdr>
          <w:top w:val="single" w:sz="4" w:space="1" w:color="auto"/>
        </w:pBdr>
        <w:autoSpaceDE w:val="0"/>
        <w:autoSpaceDN w:val="0"/>
        <w:adjustRightInd w:val="0"/>
        <w:spacing w:after="0" w:line="240" w:lineRule="auto"/>
        <w:rPr>
          <w:b/>
          <w:bCs/>
          <w:u w:val="single"/>
        </w:rPr>
      </w:pPr>
      <w:r w:rsidRPr="005D1215">
        <w:rPr>
          <w:b/>
          <w:bCs/>
          <w:u w:val="single"/>
        </w:rPr>
        <w:t>Expériences :</w:t>
      </w:r>
    </w:p>
    <w:p w:rsidR="00B73CCD" w:rsidRDefault="008F75C7" w:rsidP="006D384C">
      <w:pPr>
        <w:pStyle w:val="Sansinterligne"/>
        <w:numPr>
          <w:ilvl w:val="0"/>
          <w:numId w:val="29"/>
        </w:numPr>
        <w:rPr>
          <w:b/>
          <w:bCs/>
          <w:u w:val="single"/>
        </w:rPr>
      </w:pPr>
      <w:r>
        <w:t>Synthèse d</w:t>
      </w:r>
      <w:r w:rsidR="00E52510">
        <w:t>u paracétamol</w:t>
      </w:r>
      <w:r>
        <w:t xml:space="preserve"> [</w:t>
      </w:r>
      <w:r w:rsidR="00E52510">
        <w:t>5</w:t>
      </w:r>
      <w:r>
        <w:t xml:space="preserve">] p. </w:t>
      </w:r>
      <w:r w:rsidR="00E52510">
        <w:t>493</w:t>
      </w:r>
      <w:r w:rsidR="00D53EA2">
        <w:t xml:space="preserve"> et suivantes</w:t>
      </w:r>
      <w:r w:rsidR="001C2935">
        <w:t xml:space="preserve"> et [9] p.147 et suivantes</w:t>
      </w:r>
    </w:p>
    <w:p w:rsidR="00B73CCD" w:rsidRDefault="00B73CCD" w:rsidP="00B73CCD">
      <w:pPr>
        <w:pStyle w:val="Sansinterligne"/>
        <w:pBdr>
          <w:top w:val="single" w:sz="4" w:space="1" w:color="auto"/>
        </w:pBdr>
        <w:rPr>
          <w:b/>
          <w:bCs/>
          <w:u w:val="single"/>
        </w:rPr>
      </w:pPr>
      <w:r>
        <w:rPr>
          <w:b/>
          <w:bCs/>
          <w:u w:val="single"/>
        </w:rPr>
        <w:t>Prérequis :</w:t>
      </w:r>
    </w:p>
    <w:p w:rsidR="00B73CCD" w:rsidRDefault="00E91A36" w:rsidP="00E91A36">
      <w:pPr>
        <w:pStyle w:val="Sansinterligne"/>
        <w:numPr>
          <w:ilvl w:val="0"/>
          <w:numId w:val="29"/>
        </w:numPr>
      </w:pPr>
      <w:r>
        <w:t>Nomenclature</w:t>
      </w:r>
      <w:r w:rsidR="0043131D">
        <w:t>, groupes caractéristiques</w:t>
      </w:r>
    </w:p>
    <w:p w:rsidR="007D101A" w:rsidRDefault="007D101A" w:rsidP="00966387">
      <w:pPr>
        <w:pStyle w:val="Sansinterligne"/>
        <w:numPr>
          <w:ilvl w:val="0"/>
          <w:numId w:val="29"/>
        </w:numPr>
      </w:pPr>
      <w:r>
        <w:t xml:space="preserve">Chimie durable (12 principes de </w:t>
      </w:r>
      <w:proofErr w:type="spellStart"/>
      <w:r>
        <w:t>Anastas</w:t>
      </w:r>
      <w:proofErr w:type="spellEnd"/>
      <w:r>
        <w:t xml:space="preserve"> et Warner)</w:t>
      </w:r>
    </w:p>
    <w:p w:rsidR="00D53EA2" w:rsidRDefault="00D53EA2" w:rsidP="00966387">
      <w:pPr>
        <w:pStyle w:val="Sansinterligne"/>
        <w:numPr>
          <w:ilvl w:val="0"/>
          <w:numId w:val="29"/>
        </w:numPr>
      </w:pPr>
      <w:r>
        <w:t>Techniques expérimentales de chimie organique : montage à reflux, essorage, recristallisation</w:t>
      </w:r>
    </w:p>
    <w:p w:rsidR="007B21F3" w:rsidRDefault="007B21F3" w:rsidP="00966387">
      <w:pPr>
        <w:pStyle w:val="Sansinterligne"/>
        <w:numPr>
          <w:ilvl w:val="0"/>
          <w:numId w:val="29"/>
        </w:numPr>
      </w:pPr>
      <w:r>
        <w:t>Sites donneur et accepteur de doublets d’électrons et mouvements d’électrons</w:t>
      </w:r>
    </w:p>
    <w:p w:rsidR="00D53EA2" w:rsidRDefault="00D53EA2" w:rsidP="00966387">
      <w:pPr>
        <w:pStyle w:val="Sansinterligne"/>
        <w:numPr>
          <w:ilvl w:val="0"/>
          <w:numId w:val="29"/>
        </w:numPr>
      </w:pPr>
      <w:r>
        <w:t>Spectroscopies</w:t>
      </w:r>
    </w:p>
    <w:p w:rsidR="001013BA" w:rsidRPr="00E91A36" w:rsidRDefault="001013BA" w:rsidP="001013BA">
      <w:pPr>
        <w:pStyle w:val="Sansinterligne"/>
        <w:pBdr>
          <w:top w:val="single" w:sz="4" w:space="1" w:color="auto"/>
          <w:bottom w:val="single" w:sz="4" w:space="1" w:color="auto"/>
        </w:pBdr>
      </w:pPr>
      <w:r>
        <w:t>Le</w:t>
      </w:r>
      <w:r w:rsidR="00F40276">
        <w:t>s</w:t>
      </w:r>
      <w:r>
        <w:t xml:space="preserve"> spectre</w:t>
      </w:r>
      <w:r w:rsidR="00F40276">
        <w:t>s</w:t>
      </w:r>
      <w:r w:rsidR="001C2935">
        <w:t xml:space="preserve"> infrarouge</w:t>
      </w:r>
      <w:r w:rsidR="00460F62">
        <w:t>s</w:t>
      </w:r>
      <w:r>
        <w:t xml:space="preserve"> </w:t>
      </w:r>
      <w:r w:rsidR="00F40276">
        <w:t>ont</w:t>
      </w:r>
      <w:r>
        <w:t xml:space="preserve"> été analysé</w:t>
      </w:r>
      <w:r w:rsidR="00F40276">
        <w:t>s</w:t>
      </w:r>
      <w:r>
        <w:t xml:space="preserve"> avec </w:t>
      </w:r>
      <w:proofErr w:type="spellStart"/>
      <w:r>
        <w:t>Specamp</w:t>
      </w:r>
      <w:proofErr w:type="spellEnd"/>
      <w:r>
        <w:t xml:space="preserve"> (d’où la précision)</w:t>
      </w:r>
    </w:p>
    <w:p w:rsidR="00EF4DC5" w:rsidRPr="0046144E" w:rsidRDefault="00A06968" w:rsidP="00EF4DC5">
      <w:pPr>
        <w:pStyle w:val="Sansinterligne"/>
        <w:rPr>
          <w:color w:val="C00000"/>
        </w:rPr>
      </w:pPr>
      <w:r>
        <w:rPr>
          <w:i/>
          <w:iCs/>
        </w:rPr>
        <w:tab/>
      </w:r>
    </w:p>
    <w:p w:rsidR="00E91A36" w:rsidRDefault="00E91A36" w:rsidP="009B3A3E">
      <w:pPr>
        <w:pStyle w:val="Sansinterligne"/>
        <w:rPr>
          <w:b/>
          <w:bCs/>
          <w:lang w:eastAsia="fr-FR"/>
        </w:rPr>
      </w:pPr>
      <w:r>
        <w:rPr>
          <w:b/>
          <w:bCs/>
          <w:lang w:eastAsia="fr-FR"/>
        </w:rPr>
        <w:t>Introduction :</w:t>
      </w:r>
    </w:p>
    <w:p w:rsidR="00E91A36" w:rsidRDefault="00E91A36" w:rsidP="009B3A3E">
      <w:pPr>
        <w:pStyle w:val="Sansinterligne"/>
        <w:rPr>
          <w:lang w:eastAsia="fr-FR"/>
        </w:rPr>
      </w:pPr>
      <w:r>
        <w:rPr>
          <w:lang w:eastAsia="fr-FR"/>
        </w:rPr>
        <w:tab/>
      </w:r>
      <w:r w:rsidR="00567F55">
        <w:rPr>
          <w:lang w:eastAsia="fr-FR"/>
        </w:rPr>
        <w:t>Jusqu’à maintenant, nous avons toujours suivi un protocole pour réaliser une synthèse organique. Cependant, il n’existe pas un unique protocole permettant d’accéder au même produit. Comment choisir le meilleur protocole en fonction de nos besoins</w:t>
      </w:r>
      <w:r w:rsidR="00460F62">
        <w:rPr>
          <w:lang w:eastAsia="fr-FR"/>
        </w:rPr>
        <w:t xml:space="preserve">, en fonction de notre </w:t>
      </w:r>
      <w:r w:rsidR="00567F55">
        <w:rPr>
          <w:lang w:eastAsia="fr-FR"/>
        </w:rPr>
        <w:t>cahier des charges ? Quel montage expérimental choisir ? Comment vérifier l’efficacité de notre protocole tant au niveau de la quantité que de la pureté ?</w:t>
      </w:r>
    </w:p>
    <w:p w:rsidR="00E91A36" w:rsidRDefault="00E91A36" w:rsidP="009B3A3E">
      <w:pPr>
        <w:pStyle w:val="Sansinterligne"/>
        <w:rPr>
          <w:lang w:eastAsia="fr-FR"/>
        </w:rPr>
      </w:pPr>
    </w:p>
    <w:p w:rsidR="00DF5B97" w:rsidRDefault="00131AA1" w:rsidP="00131AA1">
      <w:pPr>
        <w:pStyle w:val="Sansinterligne"/>
        <w:pBdr>
          <w:left w:val="thinThickSmallGap" w:sz="24" w:space="4" w:color="FFC000"/>
        </w:pBdr>
        <w:rPr>
          <w:i/>
          <w:iCs/>
          <w:lang w:eastAsia="fr-FR"/>
        </w:rPr>
      </w:pPr>
      <w:r>
        <w:rPr>
          <w:i/>
          <w:iCs/>
          <w:lang w:eastAsia="fr-FR"/>
        </w:rPr>
        <w:t xml:space="preserve">Lancement d’une CCM : éluant </w:t>
      </w:r>
      <w:r w:rsidR="00DF5B97">
        <w:rPr>
          <w:i/>
          <w:iCs/>
          <w:lang w:eastAsia="fr-FR"/>
        </w:rPr>
        <w:t xml:space="preserve">acétate d’éthyle (3 </w:t>
      </w:r>
      <w:proofErr w:type="spellStart"/>
      <w:r w:rsidR="00DF5B97">
        <w:rPr>
          <w:i/>
          <w:iCs/>
          <w:lang w:eastAsia="fr-FR"/>
        </w:rPr>
        <w:t>mL</w:t>
      </w:r>
      <w:proofErr w:type="spellEnd"/>
      <w:r w:rsidR="00DF5B97">
        <w:rPr>
          <w:i/>
          <w:iCs/>
          <w:lang w:eastAsia="fr-FR"/>
        </w:rPr>
        <w:t xml:space="preserve">)/ cyclohexane (2 </w:t>
      </w:r>
      <w:proofErr w:type="spellStart"/>
      <w:r w:rsidR="00DF5B97">
        <w:rPr>
          <w:i/>
          <w:iCs/>
          <w:lang w:eastAsia="fr-FR"/>
        </w:rPr>
        <w:t>mL</w:t>
      </w:r>
      <w:proofErr w:type="spellEnd"/>
      <w:r w:rsidR="00DF5B97">
        <w:rPr>
          <w:i/>
          <w:iCs/>
          <w:lang w:eastAsia="fr-FR"/>
        </w:rPr>
        <w:t xml:space="preserve">)/ </w:t>
      </w:r>
    </w:p>
    <w:p w:rsidR="00131AA1" w:rsidRDefault="00DF5B97" w:rsidP="00131AA1">
      <w:pPr>
        <w:pStyle w:val="Sansinterligne"/>
        <w:pBdr>
          <w:left w:val="thinThickSmallGap" w:sz="24" w:space="4" w:color="FFC000"/>
        </w:pBdr>
        <w:rPr>
          <w:i/>
          <w:iCs/>
          <w:color w:val="7030A0"/>
          <w:lang w:eastAsia="fr-FR"/>
        </w:rPr>
      </w:pPr>
      <w:r>
        <w:rPr>
          <w:i/>
          <w:iCs/>
          <w:lang w:eastAsia="fr-FR"/>
        </w:rPr>
        <w:t xml:space="preserve">acide méthanoïque (0,5 </w:t>
      </w:r>
      <w:proofErr w:type="spellStart"/>
      <w:r>
        <w:rPr>
          <w:i/>
          <w:iCs/>
          <w:lang w:eastAsia="fr-FR"/>
        </w:rPr>
        <w:t>mL</w:t>
      </w:r>
      <w:proofErr w:type="spellEnd"/>
      <w:r>
        <w:rPr>
          <w:i/>
          <w:iCs/>
          <w:lang w:eastAsia="fr-FR"/>
        </w:rPr>
        <w:t>) et 10 gouttes d’acétone</w:t>
      </w:r>
      <w:r w:rsidR="00131AA1">
        <w:rPr>
          <w:i/>
          <w:iCs/>
          <w:lang w:eastAsia="fr-FR"/>
        </w:rPr>
        <w:t xml:space="preserve"> </w:t>
      </w:r>
      <w:r w:rsidR="00131AA1">
        <w:rPr>
          <w:i/>
          <w:iCs/>
          <w:color w:val="7030A0"/>
          <w:lang w:eastAsia="fr-FR"/>
        </w:rPr>
        <w:t>(Diapo 2)</w:t>
      </w:r>
    </w:p>
    <w:p w:rsidR="00131AA1" w:rsidRDefault="00131AA1" w:rsidP="009B3A3E">
      <w:pPr>
        <w:pStyle w:val="Sansinterligne"/>
        <w:rPr>
          <w:lang w:eastAsia="fr-FR"/>
        </w:rPr>
      </w:pPr>
    </w:p>
    <w:p w:rsidR="00460F62" w:rsidRDefault="00460F62" w:rsidP="009B3A3E">
      <w:pPr>
        <w:pStyle w:val="Sansinterligne"/>
        <w:rPr>
          <w:lang w:eastAsia="fr-FR"/>
        </w:rPr>
      </w:pPr>
    </w:p>
    <w:p w:rsidR="00460F62" w:rsidRDefault="00460F62" w:rsidP="009B3A3E">
      <w:pPr>
        <w:pStyle w:val="Sansinterligne"/>
        <w:rPr>
          <w:lang w:eastAsia="fr-FR"/>
        </w:rPr>
      </w:pPr>
    </w:p>
    <w:p w:rsidR="00460F62" w:rsidRDefault="00460F62" w:rsidP="009B3A3E">
      <w:pPr>
        <w:pStyle w:val="Sansinterligne"/>
        <w:rPr>
          <w:lang w:eastAsia="fr-FR"/>
        </w:rPr>
      </w:pPr>
    </w:p>
    <w:p w:rsidR="00460F62" w:rsidRDefault="00460F62" w:rsidP="009B3A3E">
      <w:pPr>
        <w:pStyle w:val="Sansinterligne"/>
        <w:rPr>
          <w:lang w:eastAsia="fr-FR"/>
        </w:rPr>
      </w:pPr>
    </w:p>
    <w:p w:rsidR="00460F62" w:rsidRDefault="00460F62" w:rsidP="009B3A3E">
      <w:pPr>
        <w:pStyle w:val="Sansinterligne"/>
        <w:rPr>
          <w:lang w:eastAsia="fr-FR"/>
        </w:rPr>
      </w:pPr>
    </w:p>
    <w:p w:rsidR="00460F62" w:rsidRDefault="00460F62" w:rsidP="009B3A3E">
      <w:pPr>
        <w:pStyle w:val="Sansinterligne"/>
        <w:rPr>
          <w:lang w:eastAsia="fr-FR"/>
        </w:rPr>
      </w:pPr>
    </w:p>
    <w:p w:rsidR="00460F62" w:rsidRDefault="00460F62" w:rsidP="009B3A3E">
      <w:pPr>
        <w:pStyle w:val="Sansinterligne"/>
        <w:rPr>
          <w:lang w:eastAsia="fr-FR"/>
        </w:rPr>
      </w:pPr>
    </w:p>
    <w:p w:rsidR="004D3FBD" w:rsidRPr="00567F55" w:rsidRDefault="00567F55" w:rsidP="00567F55">
      <w:pPr>
        <w:pStyle w:val="Sansinterligne"/>
        <w:numPr>
          <w:ilvl w:val="0"/>
          <w:numId w:val="32"/>
        </w:numPr>
        <w:rPr>
          <w:lang w:eastAsia="fr-FR"/>
        </w:rPr>
      </w:pPr>
      <w:r>
        <w:rPr>
          <w:b/>
          <w:bCs/>
          <w:u w:val="single"/>
          <w:lang w:eastAsia="fr-FR"/>
        </w:rPr>
        <w:lastRenderedPageBreak/>
        <w:t>La synthèse d</w:t>
      </w:r>
      <w:r w:rsidR="00DF5B97">
        <w:rPr>
          <w:b/>
          <w:bCs/>
          <w:u w:val="single"/>
          <w:lang w:eastAsia="fr-FR"/>
        </w:rPr>
        <w:t>u paracétamol</w:t>
      </w:r>
      <w:r>
        <w:rPr>
          <w:b/>
          <w:bCs/>
          <w:u w:val="single"/>
          <w:lang w:eastAsia="fr-FR"/>
        </w:rPr>
        <w:t xml:space="preserve"> : </w:t>
      </w:r>
      <w:r w:rsidR="00CD7D15">
        <w:rPr>
          <w:b/>
          <w:bCs/>
          <w:u w:val="single"/>
          <w:lang w:eastAsia="fr-FR"/>
        </w:rPr>
        <w:t>quel procédé chimi</w:t>
      </w:r>
      <w:r w:rsidR="007B21F3">
        <w:rPr>
          <w:b/>
          <w:bCs/>
          <w:u w:val="single"/>
          <w:lang w:eastAsia="fr-FR"/>
        </w:rPr>
        <w:t>que choisir et comment vérifier que l’on a bien d</w:t>
      </w:r>
      <w:r w:rsidR="00DF5B97">
        <w:rPr>
          <w:b/>
          <w:bCs/>
          <w:u w:val="single"/>
          <w:lang w:eastAsia="fr-FR"/>
        </w:rPr>
        <w:t>u paracétamol</w:t>
      </w:r>
      <w:r w:rsidR="00CD7D15">
        <w:rPr>
          <w:b/>
          <w:bCs/>
          <w:u w:val="single"/>
          <w:lang w:eastAsia="fr-FR"/>
        </w:rPr>
        <w:t> ?</w:t>
      </w:r>
    </w:p>
    <w:p w:rsidR="00567F55" w:rsidRDefault="00567F55" w:rsidP="00DF5B97">
      <w:pPr>
        <w:pStyle w:val="Sansinterligne"/>
        <w:ind w:firstLine="360"/>
        <w:rPr>
          <w:lang w:eastAsia="fr-FR"/>
        </w:rPr>
      </w:pPr>
      <w:r>
        <w:rPr>
          <w:lang w:eastAsia="fr-FR"/>
        </w:rPr>
        <w:t>On cherche à réaliser la synthèse d</w:t>
      </w:r>
      <w:r w:rsidR="00DF5B97">
        <w:rPr>
          <w:lang w:eastAsia="fr-FR"/>
        </w:rPr>
        <w:t>u paracétamol</w:t>
      </w:r>
      <w:r>
        <w:rPr>
          <w:lang w:eastAsia="fr-FR"/>
        </w:rPr>
        <w:t>. Pour ce faire, on a trouvé deux protocoles différents. Lequel choisir ? Commençons par étudier les deux protocoles trouvés.</w:t>
      </w:r>
    </w:p>
    <w:p w:rsidR="00567F55" w:rsidRDefault="00276575" w:rsidP="00567F55">
      <w:pPr>
        <w:pStyle w:val="Sansinterligne"/>
        <w:rPr>
          <w:lang w:eastAsia="fr-FR"/>
        </w:rPr>
      </w:pPr>
      <w:r>
        <w:rPr>
          <w:lang w:eastAsia="fr-FR"/>
        </w:rPr>
        <w:tab/>
        <w:t>Les deux protocoles sont issus du [</w:t>
      </w:r>
      <w:r w:rsidR="00DF5B97">
        <w:rPr>
          <w:lang w:eastAsia="fr-FR"/>
        </w:rPr>
        <w:t>5</w:t>
      </w:r>
      <w:r>
        <w:rPr>
          <w:lang w:eastAsia="fr-FR"/>
        </w:rPr>
        <w:t>]p.49</w:t>
      </w:r>
      <w:r w:rsidR="00DF5B97">
        <w:rPr>
          <w:lang w:eastAsia="fr-FR"/>
        </w:rPr>
        <w:t>2</w:t>
      </w:r>
    </w:p>
    <w:p w:rsidR="00F40276" w:rsidRDefault="00F40276" w:rsidP="00CD7D15">
      <w:pPr>
        <w:pStyle w:val="Sansinterligne"/>
        <w:rPr>
          <w:lang w:eastAsia="fr-FR"/>
        </w:rPr>
      </w:pPr>
    </w:p>
    <w:p w:rsidR="00CD7D15" w:rsidRDefault="00CD7D15" w:rsidP="00CD7D15">
      <w:pPr>
        <w:pStyle w:val="Sansinterligne"/>
        <w:numPr>
          <w:ilvl w:val="0"/>
          <w:numId w:val="35"/>
        </w:numPr>
        <w:rPr>
          <w:b/>
          <w:bCs/>
          <w:lang w:eastAsia="fr-FR"/>
        </w:rPr>
      </w:pPr>
      <w:r>
        <w:rPr>
          <w:b/>
          <w:bCs/>
          <w:lang w:eastAsia="fr-FR"/>
        </w:rPr>
        <w:t>Cahier des charges et choix d’un protocole</w:t>
      </w:r>
    </w:p>
    <w:p w:rsidR="00CD7D15" w:rsidRPr="00CD7D15" w:rsidRDefault="00CD7D15" w:rsidP="00CD7D15">
      <w:pPr>
        <w:pStyle w:val="Sansinterligne"/>
        <w:ind w:left="720"/>
        <w:rPr>
          <w:u w:val="single"/>
          <w:lang w:eastAsia="fr-FR"/>
        </w:rPr>
      </w:pPr>
      <w:r w:rsidRPr="00CD7D15">
        <w:rPr>
          <w:u w:val="single"/>
          <w:lang w:eastAsia="fr-FR"/>
        </w:rPr>
        <w:t>Protocole 1 :</w:t>
      </w:r>
    </w:p>
    <w:p w:rsidR="00567F55" w:rsidRDefault="00567F55" w:rsidP="00567F55">
      <w:pPr>
        <w:pStyle w:val="Sansinterligne"/>
        <w:rPr>
          <w:color w:val="7030A0"/>
          <w:lang w:eastAsia="fr-FR"/>
        </w:rPr>
      </w:pPr>
      <w:r>
        <w:rPr>
          <w:color w:val="7030A0"/>
          <w:lang w:eastAsia="fr-FR"/>
        </w:rPr>
        <w:t xml:space="preserve">(Diapo </w:t>
      </w:r>
      <w:r w:rsidR="00131AA1">
        <w:rPr>
          <w:color w:val="7030A0"/>
          <w:lang w:eastAsia="fr-FR"/>
        </w:rPr>
        <w:t>3</w:t>
      </w:r>
      <w:r>
        <w:rPr>
          <w:color w:val="7030A0"/>
          <w:lang w:eastAsia="fr-FR"/>
        </w:rPr>
        <w:t>)</w:t>
      </w:r>
      <w:r w:rsidR="00276575">
        <w:rPr>
          <w:color w:val="7030A0"/>
          <w:lang w:eastAsia="fr-FR"/>
        </w:rPr>
        <w:t xml:space="preserve"> : </w:t>
      </w:r>
      <w:r w:rsidR="00DF5B97">
        <w:rPr>
          <w:color w:val="7030A0"/>
          <w:lang w:eastAsia="fr-FR"/>
        </w:rPr>
        <w:t xml:space="preserve">présentation de la première </w:t>
      </w:r>
      <w:r w:rsidR="004A3E1A">
        <w:rPr>
          <w:color w:val="7030A0"/>
          <w:lang w:eastAsia="fr-FR"/>
        </w:rPr>
        <w:t>voie réactionnelle</w:t>
      </w:r>
    </w:p>
    <w:p w:rsidR="00276575" w:rsidRDefault="00276575" w:rsidP="00276575">
      <w:pPr>
        <w:pStyle w:val="Sansinterligne"/>
        <w:numPr>
          <w:ilvl w:val="0"/>
          <w:numId w:val="29"/>
        </w:numPr>
        <w:rPr>
          <w:lang w:eastAsia="fr-FR"/>
        </w:rPr>
      </w:pPr>
      <w:r>
        <w:rPr>
          <w:lang w:eastAsia="fr-FR"/>
        </w:rPr>
        <w:t xml:space="preserve">Réactifs utilisés : </w:t>
      </w:r>
      <w:r w:rsidR="001C2935">
        <w:rPr>
          <w:lang w:eastAsia="fr-FR"/>
        </w:rPr>
        <w:t>4</w:t>
      </w:r>
      <w:r w:rsidR="00DF5B97">
        <w:rPr>
          <w:lang w:eastAsia="fr-FR"/>
        </w:rPr>
        <w:t>-aminophénol et anhydri</w:t>
      </w:r>
      <w:r w:rsidR="004A3E1A">
        <w:rPr>
          <w:lang w:eastAsia="fr-FR"/>
        </w:rPr>
        <w:t xml:space="preserve">de éthanoïque. </w:t>
      </w:r>
    </w:p>
    <w:p w:rsidR="00276575" w:rsidRDefault="00276575" w:rsidP="00276575">
      <w:pPr>
        <w:pStyle w:val="Sansinterligne"/>
        <w:numPr>
          <w:ilvl w:val="0"/>
          <w:numId w:val="29"/>
        </w:numPr>
        <w:rPr>
          <w:lang w:eastAsia="fr-FR"/>
        </w:rPr>
      </w:pPr>
      <w:r>
        <w:rPr>
          <w:lang w:eastAsia="fr-FR"/>
        </w:rPr>
        <w:t xml:space="preserve">Solvant :  </w:t>
      </w:r>
      <w:r w:rsidR="004A3E1A">
        <w:rPr>
          <w:lang w:eastAsia="fr-FR"/>
        </w:rPr>
        <w:t xml:space="preserve">eau </w:t>
      </w:r>
    </w:p>
    <w:p w:rsidR="00276575" w:rsidRDefault="00276575" w:rsidP="00276575">
      <w:pPr>
        <w:pStyle w:val="Sansinterligne"/>
        <w:numPr>
          <w:ilvl w:val="0"/>
          <w:numId w:val="29"/>
        </w:numPr>
        <w:rPr>
          <w:lang w:eastAsia="fr-FR"/>
        </w:rPr>
      </w:pPr>
      <w:r>
        <w:rPr>
          <w:lang w:eastAsia="fr-FR"/>
        </w:rPr>
        <w:t>Catalyseur : acide sulfurique</w:t>
      </w:r>
    </w:p>
    <w:p w:rsidR="00B72BC5" w:rsidRDefault="00276575" w:rsidP="00B72BC5">
      <w:pPr>
        <w:pStyle w:val="Sansinterligne"/>
        <w:numPr>
          <w:ilvl w:val="0"/>
          <w:numId w:val="29"/>
        </w:numPr>
        <w:rPr>
          <w:lang w:eastAsia="fr-FR"/>
        </w:rPr>
      </w:pPr>
      <w:r>
        <w:rPr>
          <w:lang w:eastAsia="fr-FR"/>
        </w:rPr>
        <w:t xml:space="preserve">Produits : </w:t>
      </w:r>
      <w:r w:rsidR="004A3E1A">
        <w:rPr>
          <w:lang w:eastAsia="fr-FR"/>
        </w:rPr>
        <w:t>paracétamol et acide éthanoïque</w:t>
      </w:r>
    </w:p>
    <w:p w:rsidR="00B72BC5" w:rsidRDefault="00B72BC5" w:rsidP="00B72BC5">
      <w:pPr>
        <w:pStyle w:val="Sansinterligne"/>
        <w:rPr>
          <w:lang w:eastAsia="fr-FR"/>
        </w:rPr>
      </w:pPr>
      <w:r>
        <w:rPr>
          <w:lang w:eastAsia="fr-FR"/>
        </w:rPr>
        <w:t>Discuter du coût et de la sécurité</w:t>
      </w:r>
    </w:p>
    <w:p w:rsidR="00CA31DC" w:rsidRDefault="00CA31DC" w:rsidP="00CD7D15">
      <w:pPr>
        <w:pStyle w:val="Sansinterligne"/>
        <w:rPr>
          <w:b/>
          <w:bCs/>
          <w:lang w:eastAsia="fr-FR"/>
        </w:rPr>
      </w:pPr>
    </w:p>
    <w:p w:rsidR="00BF79E2" w:rsidRPr="00CD7D15" w:rsidRDefault="00CD7D15" w:rsidP="00CA31DC">
      <w:pPr>
        <w:pStyle w:val="Sansinterligne"/>
        <w:ind w:firstLine="708"/>
        <w:rPr>
          <w:u w:val="single"/>
          <w:lang w:eastAsia="fr-FR"/>
        </w:rPr>
      </w:pPr>
      <w:r w:rsidRPr="00CD7D15">
        <w:rPr>
          <w:u w:val="single"/>
          <w:lang w:eastAsia="fr-FR"/>
        </w:rPr>
        <w:t>Protocole 2 :</w:t>
      </w:r>
    </w:p>
    <w:p w:rsidR="00BF79E2" w:rsidRPr="00BF79E2" w:rsidRDefault="00BF79E2" w:rsidP="00BF79E2">
      <w:pPr>
        <w:pStyle w:val="Sansinterligne"/>
        <w:rPr>
          <w:color w:val="7030A0"/>
          <w:lang w:eastAsia="fr-FR"/>
        </w:rPr>
      </w:pPr>
      <w:r>
        <w:rPr>
          <w:color w:val="7030A0"/>
          <w:lang w:eastAsia="fr-FR"/>
        </w:rPr>
        <w:t xml:space="preserve">(Diapo </w:t>
      </w:r>
      <w:r w:rsidR="004A3E1A">
        <w:rPr>
          <w:color w:val="7030A0"/>
          <w:lang w:eastAsia="fr-FR"/>
        </w:rPr>
        <w:t>4</w:t>
      </w:r>
      <w:r>
        <w:rPr>
          <w:color w:val="7030A0"/>
          <w:lang w:eastAsia="fr-FR"/>
        </w:rPr>
        <w:t>) : présentation de</w:t>
      </w:r>
      <w:r w:rsidR="004A3E1A">
        <w:rPr>
          <w:color w:val="7030A0"/>
          <w:lang w:eastAsia="fr-FR"/>
        </w:rPr>
        <w:t xml:space="preserve"> la deuxième voie réactionnelle </w:t>
      </w:r>
    </w:p>
    <w:p w:rsidR="00276575" w:rsidRDefault="006E77CE" w:rsidP="006E77CE">
      <w:pPr>
        <w:pStyle w:val="Sansinterligne"/>
        <w:numPr>
          <w:ilvl w:val="0"/>
          <w:numId w:val="29"/>
        </w:numPr>
        <w:rPr>
          <w:lang w:eastAsia="fr-FR"/>
        </w:rPr>
      </w:pPr>
      <w:r>
        <w:rPr>
          <w:lang w:eastAsia="fr-FR"/>
        </w:rPr>
        <w:t xml:space="preserve">Réactifs utilisés : </w:t>
      </w:r>
      <w:r w:rsidR="001C2935">
        <w:rPr>
          <w:lang w:eastAsia="fr-FR"/>
        </w:rPr>
        <w:t>4</w:t>
      </w:r>
      <w:r w:rsidR="004A3E1A">
        <w:rPr>
          <w:lang w:eastAsia="fr-FR"/>
        </w:rPr>
        <w:t xml:space="preserve">-aminophénol et chlorure d’acétyle </w:t>
      </w:r>
    </w:p>
    <w:p w:rsidR="006E77CE" w:rsidRDefault="006E77CE" w:rsidP="006E77CE">
      <w:pPr>
        <w:pStyle w:val="Sansinterligne"/>
        <w:numPr>
          <w:ilvl w:val="0"/>
          <w:numId w:val="29"/>
        </w:numPr>
        <w:rPr>
          <w:lang w:eastAsia="fr-FR"/>
        </w:rPr>
      </w:pPr>
      <w:r>
        <w:rPr>
          <w:lang w:eastAsia="fr-FR"/>
        </w:rPr>
        <w:t xml:space="preserve">Solvant : </w:t>
      </w:r>
      <w:r w:rsidR="001C2935">
        <w:rPr>
          <w:lang w:eastAsia="fr-FR"/>
        </w:rPr>
        <w:t>inconnu</w:t>
      </w:r>
    </w:p>
    <w:p w:rsidR="006E77CE" w:rsidRDefault="006E77CE" w:rsidP="006E77CE">
      <w:pPr>
        <w:pStyle w:val="Sansinterligne"/>
        <w:numPr>
          <w:ilvl w:val="0"/>
          <w:numId w:val="29"/>
        </w:numPr>
        <w:rPr>
          <w:lang w:eastAsia="fr-FR"/>
        </w:rPr>
      </w:pPr>
      <w:r>
        <w:rPr>
          <w:lang w:eastAsia="fr-FR"/>
        </w:rPr>
        <w:t xml:space="preserve">Catalyseur : </w:t>
      </w:r>
      <w:r w:rsidR="001C2935">
        <w:rPr>
          <w:lang w:eastAsia="fr-FR"/>
        </w:rPr>
        <w:t>inconnu</w:t>
      </w:r>
    </w:p>
    <w:p w:rsidR="00977E46" w:rsidRDefault="006E77CE" w:rsidP="00977E46">
      <w:pPr>
        <w:pStyle w:val="Sansinterligne"/>
        <w:numPr>
          <w:ilvl w:val="0"/>
          <w:numId w:val="29"/>
        </w:numPr>
        <w:rPr>
          <w:lang w:eastAsia="fr-FR"/>
        </w:rPr>
      </w:pPr>
      <w:r>
        <w:rPr>
          <w:lang w:eastAsia="fr-FR"/>
        </w:rPr>
        <w:t xml:space="preserve">Produits : </w:t>
      </w:r>
      <w:r w:rsidR="004A3E1A">
        <w:rPr>
          <w:lang w:eastAsia="fr-FR"/>
        </w:rPr>
        <w:t>paracétamol</w:t>
      </w:r>
      <w:r>
        <w:rPr>
          <w:lang w:eastAsia="fr-FR"/>
        </w:rPr>
        <w:t xml:space="preserve"> et chlorure d’hydrogène</w:t>
      </w:r>
      <w:r>
        <w:rPr>
          <w:rStyle w:val="Appelnotedebasdep"/>
          <w:lang w:eastAsia="fr-FR"/>
        </w:rPr>
        <w:footnoteReference w:id="1"/>
      </w:r>
      <w:r>
        <w:rPr>
          <w:lang w:eastAsia="fr-FR"/>
        </w:rPr>
        <w:t xml:space="preserve">. </w:t>
      </w:r>
    </w:p>
    <w:p w:rsidR="00977E46" w:rsidRDefault="00B72BC5" w:rsidP="00977E46">
      <w:pPr>
        <w:pStyle w:val="Sansinterligne"/>
        <w:rPr>
          <w:lang w:eastAsia="fr-FR"/>
        </w:rPr>
      </w:pPr>
      <w:r>
        <w:rPr>
          <w:lang w:eastAsia="fr-FR"/>
        </w:rPr>
        <w:t>Discuter du coût et de la sécurité</w:t>
      </w:r>
    </w:p>
    <w:p w:rsidR="00CD7D15" w:rsidRDefault="00CD7D15" w:rsidP="00977E46">
      <w:pPr>
        <w:pStyle w:val="Sansinterligne"/>
        <w:rPr>
          <w:lang w:eastAsia="fr-FR"/>
        </w:rPr>
      </w:pPr>
    </w:p>
    <w:p w:rsidR="00541DF8" w:rsidRPr="00541DF8" w:rsidRDefault="00541DF8" w:rsidP="00977E46">
      <w:pPr>
        <w:pStyle w:val="Sansinterligne"/>
        <w:rPr>
          <w:i/>
          <w:iCs/>
          <w:color w:val="7030A0"/>
          <w:lang w:eastAsia="fr-FR"/>
        </w:rPr>
      </w:pPr>
      <w:r>
        <w:rPr>
          <w:i/>
          <w:iCs/>
          <w:color w:val="7030A0"/>
          <w:lang w:eastAsia="fr-FR"/>
        </w:rPr>
        <w:t>(Diapo 5) : présentation de la voie réactionnelle choisie</w:t>
      </w:r>
    </w:p>
    <w:p w:rsidR="00460F62" w:rsidRDefault="00460F62" w:rsidP="00CD7D15">
      <w:pPr>
        <w:pStyle w:val="Sansinterligne"/>
        <w:ind w:firstLine="708"/>
        <w:rPr>
          <w:u w:val="single"/>
          <w:lang w:eastAsia="fr-FR"/>
        </w:rPr>
      </w:pPr>
    </w:p>
    <w:p w:rsidR="00CD7D15" w:rsidRPr="00CD7D15" w:rsidRDefault="00CD7D15" w:rsidP="00CD7D15">
      <w:pPr>
        <w:pStyle w:val="Sansinterligne"/>
        <w:ind w:firstLine="708"/>
        <w:rPr>
          <w:u w:val="single"/>
          <w:lang w:eastAsia="fr-FR"/>
        </w:rPr>
      </w:pPr>
      <w:r w:rsidRPr="00CD7D15">
        <w:rPr>
          <w:u w:val="single"/>
          <w:lang w:eastAsia="fr-FR"/>
        </w:rPr>
        <w:t>Cahier des charges :</w:t>
      </w:r>
    </w:p>
    <w:p w:rsidR="00977E46" w:rsidRDefault="00977E46" w:rsidP="00977E46">
      <w:pPr>
        <w:pStyle w:val="Sansinterligne"/>
        <w:rPr>
          <w:lang w:eastAsia="fr-FR"/>
        </w:rPr>
      </w:pPr>
      <w:r>
        <w:rPr>
          <w:i/>
          <w:iCs/>
          <w:lang w:eastAsia="fr-FR"/>
        </w:rPr>
        <w:t xml:space="preserve">Cahier des charges : </w:t>
      </w:r>
      <w:r w:rsidR="007D101A">
        <w:rPr>
          <w:lang w:eastAsia="fr-FR"/>
        </w:rPr>
        <w:t xml:space="preserve">permet de définir les besoins </w:t>
      </w:r>
      <w:r w:rsidR="00CA31DC">
        <w:rPr>
          <w:lang w:eastAsia="fr-FR"/>
        </w:rPr>
        <w:t>et</w:t>
      </w:r>
      <w:r w:rsidR="007D101A">
        <w:rPr>
          <w:lang w:eastAsia="fr-FR"/>
        </w:rPr>
        <w:t xml:space="preserve"> les contraintes liés à un projet. Dans le cas de la chimie, le besoin est naturellement de réaliser la synthèse dans l’optique d’obtenir un certain produit. Les contraintes peuvent prendre différentes </w:t>
      </w:r>
      <w:r w:rsidR="00460F62">
        <w:rPr>
          <w:lang w:eastAsia="fr-FR"/>
        </w:rPr>
        <w:t>nature</w:t>
      </w:r>
      <w:r w:rsidR="007D101A">
        <w:rPr>
          <w:lang w:eastAsia="fr-FR"/>
        </w:rPr>
        <w:t xml:space="preserve">s : </w:t>
      </w:r>
    </w:p>
    <w:p w:rsidR="007D101A" w:rsidRDefault="007D101A" w:rsidP="007D101A">
      <w:pPr>
        <w:pStyle w:val="Sansinterligne"/>
        <w:numPr>
          <w:ilvl w:val="0"/>
          <w:numId w:val="29"/>
        </w:numPr>
        <w:rPr>
          <w:lang w:eastAsia="fr-FR"/>
        </w:rPr>
      </w:pPr>
      <w:r>
        <w:rPr>
          <w:lang w:eastAsia="fr-FR"/>
        </w:rPr>
        <w:t>Le coût économique</w:t>
      </w:r>
    </w:p>
    <w:p w:rsidR="007D101A" w:rsidRDefault="007D101A" w:rsidP="007D101A">
      <w:pPr>
        <w:pStyle w:val="Sansinterligne"/>
        <w:numPr>
          <w:ilvl w:val="0"/>
          <w:numId w:val="29"/>
        </w:numPr>
        <w:rPr>
          <w:lang w:eastAsia="fr-FR"/>
        </w:rPr>
      </w:pPr>
      <w:r>
        <w:rPr>
          <w:lang w:eastAsia="fr-FR"/>
        </w:rPr>
        <w:t>Les critères de chimie durable</w:t>
      </w:r>
    </w:p>
    <w:p w:rsidR="007D101A" w:rsidRDefault="007D101A" w:rsidP="007D101A">
      <w:pPr>
        <w:pStyle w:val="Sansinterligne"/>
        <w:numPr>
          <w:ilvl w:val="0"/>
          <w:numId w:val="29"/>
        </w:numPr>
        <w:rPr>
          <w:lang w:eastAsia="fr-FR"/>
        </w:rPr>
      </w:pPr>
      <w:r>
        <w:rPr>
          <w:lang w:eastAsia="fr-FR"/>
        </w:rPr>
        <w:t>La toxicité des réactifs, solvant et catalyseur</w:t>
      </w:r>
    </w:p>
    <w:p w:rsidR="00C711C8" w:rsidRDefault="00C711C8" w:rsidP="007D101A">
      <w:pPr>
        <w:pStyle w:val="Sansinterligne"/>
        <w:numPr>
          <w:ilvl w:val="0"/>
          <w:numId w:val="29"/>
        </w:numPr>
        <w:rPr>
          <w:lang w:eastAsia="fr-FR"/>
        </w:rPr>
      </w:pPr>
      <w:r>
        <w:rPr>
          <w:lang w:eastAsia="fr-FR"/>
        </w:rPr>
        <w:t>La cinétique de la réaction (rapide ou lente)</w:t>
      </w:r>
    </w:p>
    <w:p w:rsidR="005C2121" w:rsidRDefault="005C2121" w:rsidP="007D101A">
      <w:pPr>
        <w:pStyle w:val="Sansinterligne"/>
        <w:numPr>
          <w:ilvl w:val="0"/>
          <w:numId w:val="29"/>
        </w:numPr>
        <w:rPr>
          <w:lang w:eastAsia="fr-FR"/>
        </w:rPr>
      </w:pPr>
      <w:r>
        <w:rPr>
          <w:lang w:eastAsia="fr-FR"/>
        </w:rPr>
        <w:t>Les conditions expérimentales</w:t>
      </w:r>
    </w:p>
    <w:p w:rsidR="00B72BC5" w:rsidRDefault="00B72BC5" w:rsidP="00C711C8">
      <w:pPr>
        <w:pStyle w:val="Sansinterligne"/>
        <w:rPr>
          <w:lang w:eastAsia="fr-FR"/>
        </w:rPr>
      </w:pPr>
      <w:r>
        <w:rPr>
          <w:lang w:eastAsia="fr-FR"/>
        </w:rPr>
        <w:t xml:space="preserve">De façon générique, on fait un compromis entre tous ces critères. </w:t>
      </w:r>
    </w:p>
    <w:p w:rsidR="00565EC7" w:rsidRDefault="00565EC7" w:rsidP="00C711C8">
      <w:pPr>
        <w:pStyle w:val="Sansinterligne"/>
        <w:rPr>
          <w:lang w:eastAsia="fr-FR"/>
        </w:rPr>
      </w:pPr>
    </w:p>
    <w:p w:rsidR="00565EC7" w:rsidRDefault="00565EC7" w:rsidP="00C711C8">
      <w:pPr>
        <w:pStyle w:val="Sansinterligne"/>
        <w:rPr>
          <w:lang w:eastAsia="fr-FR"/>
        </w:rPr>
      </w:pPr>
      <w:r>
        <w:rPr>
          <w:lang w:eastAsia="fr-FR"/>
        </w:rPr>
        <w:t xml:space="preserve">Ainsi, </w:t>
      </w:r>
    </w:p>
    <w:p w:rsidR="00565EC7" w:rsidRDefault="00565EC7" w:rsidP="00565EC7">
      <w:pPr>
        <w:pStyle w:val="Sansinterligne"/>
        <w:numPr>
          <w:ilvl w:val="0"/>
          <w:numId w:val="29"/>
        </w:numPr>
        <w:rPr>
          <w:lang w:eastAsia="fr-FR"/>
        </w:rPr>
      </w:pPr>
      <w:r>
        <w:rPr>
          <w:lang w:eastAsia="fr-FR"/>
        </w:rPr>
        <w:t xml:space="preserve">Economique : </w:t>
      </w:r>
      <w:r w:rsidR="001C2935">
        <w:rPr>
          <w:lang w:eastAsia="fr-FR"/>
        </w:rPr>
        <w:t>voie réactionnelle 1</w:t>
      </w:r>
      <w:r>
        <w:rPr>
          <w:lang w:eastAsia="fr-FR"/>
        </w:rPr>
        <w:t xml:space="preserve"> coûte moins cher que l</w:t>
      </w:r>
      <w:r w:rsidR="001C2935">
        <w:rPr>
          <w:lang w:eastAsia="fr-FR"/>
        </w:rPr>
        <w:t>a voie réactionnelle</w:t>
      </w:r>
      <w:r>
        <w:rPr>
          <w:lang w:eastAsia="fr-FR"/>
        </w:rPr>
        <w:t xml:space="preserve"> 2</w:t>
      </w:r>
    </w:p>
    <w:p w:rsidR="005C2121" w:rsidRDefault="005C2121" w:rsidP="001C2935">
      <w:pPr>
        <w:pStyle w:val="Sansinterligne"/>
        <w:numPr>
          <w:ilvl w:val="0"/>
          <w:numId w:val="29"/>
        </w:numPr>
        <w:rPr>
          <w:lang w:eastAsia="fr-FR"/>
        </w:rPr>
      </w:pPr>
      <w:r>
        <w:rPr>
          <w:lang w:eastAsia="fr-FR"/>
        </w:rPr>
        <w:t xml:space="preserve">D’un point de vue toxicité, le second protocole est moins bon </w:t>
      </w:r>
      <w:r w:rsidR="001C2935">
        <w:rPr>
          <w:lang w:eastAsia="fr-FR"/>
        </w:rPr>
        <w:t>(</w:t>
      </w:r>
      <w:r>
        <w:rPr>
          <w:lang w:eastAsia="fr-FR"/>
        </w:rPr>
        <w:t>nocif</w:t>
      </w:r>
      <w:r w:rsidR="001C2935">
        <w:rPr>
          <w:lang w:eastAsia="fr-FR"/>
        </w:rPr>
        <w:t xml:space="preserve"> – </w:t>
      </w:r>
      <w:proofErr w:type="spellStart"/>
      <w:r w:rsidR="001C2935">
        <w:rPr>
          <w:lang w:eastAsia="fr-FR"/>
        </w:rPr>
        <w:t>HCl</w:t>
      </w:r>
      <w:proofErr w:type="spellEnd"/>
      <w:r w:rsidR="001C2935">
        <w:rPr>
          <w:lang w:eastAsia="fr-FR"/>
        </w:rPr>
        <w:t> : gaz lacrymogène</w:t>
      </w:r>
      <w:r>
        <w:rPr>
          <w:lang w:eastAsia="fr-FR"/>
        </w:rPr>
        <w:t>)</w:t>
      </w:r>
    </w:p>
    <w:p w:rsidR="001C2935" w:rsidRDefault="001C2935" w:rsidP="001C2935">
      <w:pPr>
        <w:pStyle w:val="Sansinterligne"/>
        <w:ind w:left="720"/>
        <w:rPr>
          <w:lang w:eastAsia="fr-FR"/>
        </w:rPr>
      </w:pPr>
    </w:p>
    <w:p w:rsidR="005C2121" w:rsidRDefault="005C2121" w:rsidP="005C2121">
      <w:pPr>
        <w:pStyle w:val="Sansinterligne"/>
        <w:rPr>
          <w:lang w:eastAsia="fr-FR"/>
        </w:rPr>
      </w:pPr>
      <w:r>
        <w:rPr>
          <w:lang w:eastAsia="fr-FR"/>
        </w:rPr>
        <w:t>Donc</w:t>
      </w:r>
      <w:r w:rsidR="001C2935">
        <w:rPr>
          <w:lang w:eastAsia="fr-FR"/>
        </w:rPr>
        <w:t xml:space="preserve"> la toxicité fait qu’on choisit le</w:t>
      </w:r>
      <w:r>
        <w:rPr>
          <w:lang w:eastAsia="fr-FR"/>
        </w:rPr>
        <w:t xml:space="preserve"> </w:t>
      </w:r>
      <w:r>
        <w:rPr>
          <w:b/>
          <w:bCs/>
          <w:lang w:eastAsia="fr-FR"/>
        </w:rPr>
        <w:t>protocole 1</w:t>
      </w:r>
      <w:r>
        <w:rPr>
          <w:lang w:eastAsia="fr-FR"/>
        </w:rPr>
        <w:t xml:space="preserve">. </w:t>
      </w:r>
    </w:p>
    <w:p w:rsidR="009B6084" w:rsidRDefault="009B6084" w:rsidP="005C2121">
      <w:pPr>
        <w:pStyle w:val="Sansinterligne"/>
        <w:rPr>
          <w:lang w:eastAsia="fr-FR"/>
        </w:rPr>
      </w:pPr>
      <w:r w:rsidRPr="009B6084">
        <w:rPr>
          <w:u w:val="single"/>
          <w:lang w:eastAsia="fr-FR"/>
        </w:rPr>
        <w:t>Conditions expérimentales :</w:t>
      </w:r>
      <w:r>
        <w:rPr>
          <w:lang w:eastAsia="fr-FR"/>
        </w:rPr>
        <w:t xml:space="preserve"> montage à reflux (ne pas perdre de réactif si on chauffe trop), chauffage pour des raisons cinétiques, temps de réaction (dépend du rendement souhaité et de l’étude cinétique)</w:t>
      </w:r>
    </w:p>
    <w:p w:rsidR="00B170E9" w:rsidRDefault="00B170E9" w:rsidP="005C2121">
      <w:pPr>
        <w:pStyle w:val="Sansinterligne"/>
        <w:rPr>
          <w:lang w:eastAsia="fr-FR"/>
        </w:rPr>
      </w:pPr>
    </w:p>
    <w:p w:rsidR="00B170E9" w:rsidRDefault="00B170E9" w:rsidP="009C397F">
      <w:pPr>
        <w:pStyle w:val="Sansinterligne"/>
        <w:pBdr>
          <w:left w:val="thinThickSmallGap" w:sz="24" w:space="4" w:color="FFC000"/>
        </w:pBdr>
        <w:rPr>
          <w:lang w:eastAsia="fr-FR"/>
        </w:rPr>
      </w:pPr>
      <w:r>
        <w:rPr>
          <w:u w:val="single"/>
          <w:lang w:eastAsia="fr-FR"/>
        </w:rPr>
        <w:t>Synthèse d</w:t>
      </w:r>
      <w:r w:rsidR="001C2935">
        <w:rPr>
          <w:u w:val="single"/>
          <w:lang w:eastAsia="fr-FR"/>
        </w:rPr>
        <w:t>u paracétamol</w:t>
      </w:r>
      <w:r>
        <w:rPr>
          <w:u w:val="single"/>
          <w:lang w:eastAsia="fr-FR"/>
        </w:rPr>
        <w:t xml:space="preserve"> : </w:t>
      </w:r>
      <w:r>
        <w:rPr>
          <w:lang w:eastAsia="fr-FR"/>
        </w:rPr>
        <w:t>[</w:t>
      </w:r>
      <w:r w:rsidR="001C2935">
        <w:rPr>
          <w:lang w:eastAsia="fr-FR"/>
        </w:rPr>
        <w:t>9</w:t>
      </w:r>
      <w:r>
        <w:rPr>
          <w:lang w:eastAsia="fr-FR"/>
        </w:rPr>
        <w:t>]p.</w:t>
      </w:r>
      <w:r w:rsidR="001C2935">
        <w:rPr>
          <w:lang w:eastAsia="fr-FR"/>
        </w:rPr>
        <w:t>147</w:t>
      </w:r>
    </w:p>
    <w:p w:rsidR="00B170E9" w:rsidRDefault="00B170E9" w:rsidP="009C397F">
      <w:pPr>
        <w:pStyle w:val="Sansinterligne"/>
        <w:pBdr>
          <w:left w:val="thinThickSmallGap" w:sz="24" w:space="4" w:color="FFC000"/>
        </w:pBdr>
        <w:rPr>
          <w:lang w:eastAsia="fr-FR"/>
        </w:rPr>
      </w:pPr>
      <w:r>
        <w:rPr>
          <w:lang w:eastAsia="fr-FR"/>
        </w:rPr>
        <w:t>En leçon, le brut réactionnel est déjà en refroidissement.</w:t>
      </w:r>
    </w:p>
    <w:p w:rsidR="00B170E9" w:rsidRPr="00B170E9" w:rsidRDefault="00B170E9" w:rsidP="009C397F">
      <w:pPr>
        <w:pStyle w:val="Sansinterligne"/>
        <w:pBdr>
          <w:left w:val="thinThickSmallGap" w:sz="24" w:space="4" w:color="FFC000"/>
        </w:pBdr>
        <w:rPr>
          <w:lang w:eastAsia="fr-FR"/>
        </w:rPr>
      </w:pPr>
      <w:r>
        <w:rPr>
          <w:lang w:eastAsia="fr-FR"/>
        </w:rPr>
        <w:t>Issu de la préparation : brut réactionnel, produit recristallisé</w:t>
      </w:r>
      <w:r w:rsidR="00541DF8">
        <w:rPr>
          <w:lang w:eastAsia="fr-FR"/>
        </w:rPr>
        <w:t>, 4-aminophénol et paracétamol commercial (ne pas mettre l’anhydride)</w:t>
      </w:r>
    </w:p>
    <w:p w:rsidR="00B170E9" w:rsidRDefault="00B170E9" w:rsidP="00B170E9">
      <w:pPr>
        <w:pStyle w:val="Sansinterligne"/>
        <w:rPr>
          <w:lang w:eastAsia="fr-FR"/>
        </w:rPr>
      </w:pPr>
    </w:p>
    <w:p w:rsidR="001A41AE" w:rsidRDefault="001A41AE" w:rsidP="00B170E9">
      <w:pPr>
        <w:pStyle w:val="Sansinterligne"/>
        <w:rPr>
          <w:lang w:eastAsia="fr-FR"/>
        </w:rPr>
      </w:pPr>
    </w:p>
    <w:p w:rsidR="009C397F" w:rsidRDefault="009C397F" w:rsidP="009C397F">
      <w:pPr>
        <w:pStyle w:val="Sansinterligne"/>
        <w:numPr>
          <w:ilvl w:val="0"/>
          <w:numId w:val="35"/>
        </w:numPr>
        <w:rPr>
          <w:b/>
          <w:bCs/>
          <w:lang w:eastAsia="fr-FR"/>
        </w:rPr>
      </w:pPr>
      <w:r>
        <w:rPr>
          <w:b/>
          <w:bCs/>
          <w:lang w:eastAsia="fr-FR"/>
        </w:rPr>
        <w:t>Traitement du brut réactionnel</w:t>
      </w:r>
    </w:p>
    <w:p w:rsidR="009C397F" w:rsidRPr="009B6084" w:rsidRDefault="009C397F" w:rsidP="009C397F">
      <w:pPr>
        <w:pStyle w:val="Sansinterligne"/>
        <w:numPr>
          <w:ilvl w:val="0"/>
          <w:numId w:val="29"/>
        </w:numPr>
        <w:rPr>
          <w:lang w:eastAsia="fr-FR"/>
        </w:rPr>
      </w:pPr>
      <w:r w:rsidRPr="00777AD5">
        <w:rPr>
          <w:u w:val="single"/>
          <w:lang w:eastAsia="fr-FR"/>
        </w:rPr>
        <w:t>Isolem</w:t>
      </w:r>
      <w:r w:rsidR="009B6084" w:rsidRPr="00777AD5">
        <w:rPr>
          <w:u w:val="single"/>
          <w:lang w:eastAsia="fr-FR"/>
        </w:rPr>
        <w:t>ent du produit</w:t>
      </w:r>
      <w:r w:rsidR="009B6084">
        <w:rPr>
          <w:lang w:eastAsia="fr-FR"/>
        </w:rPr>
        <w:t xml:space="preserve"> : consiste à séparer le produit des sous-produits et des réactifs n’ayant pas réagi, du catalyseur, du solvant et conduit au </w:t>
      </w:r>
      <w:r w:rsidR="009B6084">
        <w:rPr>
          <w:i/>
          <w:iCs/>
          <w:lang w:eastAsia="fr-FR"/>
        </w:rPr>
        <w:t xml:space="preserve">produit brut </w:t>
      </w:r>
      <w:r w:rsidR="009B6084">
        <w:rPr>
          <w:lang w:eastAsia="fr-FR"/>
        </w:rPr>
        <w:t>([</w:t>
      </w:r>
      <w:r w:rsidR="00541DF8">
        <w:rPr>
          <w:lang w:eastAsia="fr-FR"/>
        </w:rPr>
        <w:t>9</w:t>
      </w:r>
      <w:r w:rsidR="009B6084">
        <w:rPr>
          <w:lang w:eastAsia="fr-FR"/>
        </w:rPr>
        <w:t>] p.</w:t>
      </w:r>
      <w:r w:rsidR="00541DF8">
        <w:rPr>
          <w:lang w:eastAsia="fr-FR"/>
        </w:rPr>
        <w:t>147</w:t>
      </w:r>
      <w:r w:rsidR="009B6084">
        <w:rPr>
          <w:lang w:eastAsia="fr-FR"/>
        </w:rPr>
        <w:t>)</w:t>
      </w:r>
    </w:p>
    <w:p w:rsidR="00541DF8" w:rsidRDefault="00541DF8" w:rsidP="009B6084">
      <w:pPr>
        <w:pStyle w:val="Sansinterligne"/>
        <w:rPr>
          <w:color w:val="7030A0"/>
          <w:lang w:eastAsia="fr-FR"/>
        </w:rPr>
      </w:pPr>
    </w:p>
    <w:p w:rsidR="009B6084" w:rsidRDefault="009B6084" w:rsidP="009B6084">
      <w:pPr>
        <w:pStyle w:val="Sansinterligne"/>
        <w:rPr>
          <w:lang w:eastAsia="fr-FR"/>
        </w:rPr>
      </w:pPr>
      <w:r>
        <w:rPr>
          <w:lang w:eastAsia="fr-FR"/>
        </w:rPr>
        <w:t>Dans le cas de la synthèse d</w:t>
      </w:r>
      <w:r w:rsidR="00541DF8">
        <w:rPr>
          <w:lang w:eastAsia="fr-FR"/>
        </w:rPr>
        <w:t>u paracétamol</w:t>
      </w:r>
      <w:r>
        <w:rPr>
          <w:lang w:eastAsia="fr-FR"/>
        </w:rPr>
        <w:t>, cela se f</w:t>
      </w:r>
      <w:r w:rsidR="00541DF8">
        <w:rPr>
          <w:lang w:eastAsia="fr-FR"/>
        </w:rPr>
        <w:t>ait en plaçant le ballon dans un bain eau-glace.</w:t>
      </w:r>
    </w:p>
    <w:p w:rsidR="00122226" w:rsidRDefault="00122226" w:rsidP="00122226">
      <w:pPr>
        <w:pStyle w:val="Sansinterligne"/>
        <w:rPr>
          <w:lang w:eastAsia="fr-FR"/>
        </w:rPr>
      </w:pPr>
      <w:r>
        <w:rPr>
          <w:lang w:eastAsia="fr-FR"/>
        </w:rPr>
        <w:t>Mentionner que pour isoler un liquide d’un milieu réactionnel liquide, on procèderait par une extraction liquide-liquide à l’aide d’une ampoule à décanter</w:t>
      </w:r>
      <w:r w:rsidR="008B41E0">
        <w:rPr>
          <w:lang w:eastAsia="fr-FR"/>
        </w:rPr>
        <w:t xml:space="preserve"> basée sur la différence de solubilité d’un produit dans différents solvants.</w:t>
      </w:r>
    </w:p>
    <w:p w:rsidR="00122226" w:rsidRDefault="00122226" w:rsidP="009B6084">
      <w:pPr>
        <w:pStyle w:val="Sansinterligne"/>
        <w:rPr>
          <w:i/>
          <w:iCs/>
          <w:lang w:eastAsia="fr-FR"/>
        </w:rPr>
      </w:pPr>
    </w:p>
    <w:p w:rsidR="00CA31DC" w:rsidRPr="00CA31DC" w:rsidRDefault="00CA31DC" w:rsidP="00CA31DC">
      <w:pPr>
        <w:pStyle w:val="Sansinterligne"/>
        <w:pBdr>
          <w:left w:val="thinThickSmallGap" w:sz="24" w:space="4" w:color="FFC000"/>
        </w:pBdr>
        <w:rPr>
          <w:color w:val="FFC000"/>
          <w:lang w:eastAsia="fr-FR"/>
        </w:rPr>
      </w:pPr>
      <w:r>
        <w:rPr>
          <w:color w:val="FFC000"/>
          <w:lang w:eastAsia="fr-FR"/>
        </w:rPr>
        <w:t>L</w:t>
      </w:r>
      <w:r w:rsidR="00AE3613">
        <w:rPr>
          <w:color w:val="FFC000"/>
          <w:lang w:eastAsia="fr-FR"/>
        </w:rPr>
        <w:t xml:space="preserve">a cristallisation </w:t>
      </w:r>
      <w:r w:rsidR="003B626D">
        <w:rPr>
          <w:color w:val="FFC000"/>
          <w:lang w:eastAsia="fr-FR"/>
        </w:rPr>
        <w:t>sera commencée depuis le début de la leçon.</w:t>
      </w:r>
    </w:p>
    <w:p w:rsidR="00CA31DC" w:rsidRDefault="00CA31DC" w:rsidP="00CA31DC">
      <w:pPr>
        <w:pStyle w:val="Sansinterligne"/>
        <w:pBdr>
          <w:left w:val="thinThickSmallGap" w:sz="24" w:space="4" w:color="FFC000"/>
        </w:pBdr>
        <w:rPr>
          <w:color w:val="7030A0"/>
          <w:lang w:eastAsia="fr-FR"/>
        </w:rPr>
      </w:pPr>
      <w:r>
        <w:rPr>
          <w:lang w:eastAsia="fr-FR"/>
        </w:rPr>
        <w:t>Essorage sous Büchner du brut réactionnel (ne pas oublier l’étape de trituration</w:t>
      </w:r>
      <w:r w:rsidR="008978F3">
        <w:rPr>
          <w:lang w:eastAsia="fr-FR"/>
        </w:rPr>
        <w:t xml:space="preserve"> hors vide</w:t>
      </w:r>
      <w:r>
        <w:rPr>
          <w:lang w:eastAsia="fr-FR"/>
        </w:rPr>
        <w:t>)</w:t>
      </w:r>
      <w:r w:rsidR="001037A3">
        <w:rPr>
          <w:lang w:eastAsia="fr-FR"/>
        </w:rPr>
        <w:t xml:space="preserve"> </w:t>
      </w:r>
      <w:r w:rsidR="001037A3">
        <w:rPr>
          <w:color w:val="7030A0"/>
          <w:lang w:eastAsia="fr-FR"/>
        </w:rPr>
        <w:t xml:space="preserve">(Diapo </w:t>
      </w:r>
      <w:r w:rsidR="003B626D">
        <w:rPr>
          <w:color w:val="7030A0"/>
          <w:lang w:eastAsia="fr-FR"/>
        </w:rPr>
        <w:t>6</w:t>
      </w:r>
      <w:r w:rsidR="001037A3">
        <w:rPr>
          <w:color w:val="7030A0"/>
          <w:lang w:eastAsia="fr-FR"/>
        </w:rPr>
        <w:t>)</w:t>
      </w:r>
    </w:p>
    <w:bookmarkStart w:id="0" w:name="_Hlk42868315"/>
    <w:bookmarkStart w:id="1" w:name="OLE_LINK2"/>
    <w:p w:rsidR="00460F62" w:rsidRPr="001037A3" w:rsidRDefault="00460F62" w:rsidP="00CA31DC">
      <w:pPr>
        <w:pStyle w:val="Sansinterligne"/>
        <w:pBdr>
          <w:left w:val="thinThickSmallGap" w:sz="24" w:space="4" w:color="FFC000"/>
        </w:pBdr>
        <w:rPr>
          <w:color w:val="7030A0"/>
          <w:lang w:eastAsia="fr-FR"/>
        </w:rPr>
      </w:pPr>
      <w:r>
        <w:fldChar w:fldCharType="begin"/>
      </w:r>
      <w:r>
        <w:instrText xml:space="preserve"> HYPERLINK "https://www.youtube.com/watch?v=C5V2lP4Rhgc" </w:instrText>
      </w:r>
      <w:r>
        <w:fldChar w:fldCharType="separate"/>
      </w:r>
      <w:r>
        <w:rPr>
          <w:rStyle w:val="Lienhypertexte"/>
        </w:rPr>
        <w:t>https://www.youtube.com/watch?v=C5V2lP4Rhgc</w:t>
      </w:r>
      <w:r>
        <w:rPr>
          <w:rStyle w:val="Lienhypertexte"/>
        </w:rPr>
        <w:fldChar w:fldCharType="end"/>
      </w:r>
      <w:r>
        <w:t xml:space="preserve"> </w:t>
      </w:r>
      <w:bookmarkEnd w:id="0"/>
      <w:bookmarkEnd w:id="1"/>
    </w:p>
    <w:p w:rsidR="00CA31DC" w:rsidRPr="00122226" w:rsidRDefault="00CA31DC" w:rsidP="00CA31DC">
      <w:pPr>
        <w:pStyle w:val="Sansinterligne"/>
        <w:pBdr>
          <w:left w:val="thinThickSmallGap" w:sz="24" w:space="4" w:color="FFC000"/>
        </w:pBdr>
        <w:rPr>
          <w:color w:val="FFC000"/>
          <w:lang w:eastAsia="fr-FR"/>
        </w:rPr>
      </w:pPr>
      <w:r>
        <w:rPr>
          <w:lang w:eastAsia="fr-FR"/>
        </w:rPr>
        <w:t>Mesure de la température de fusion du brut réactionnel : si température de fusion trop élevée alors présence d’eau et si température de fusion trop faible alors présence d’impuretés.</w:t>
      </w:r>
      <w:r w:rsidR="00122226">
        <w:rPr>
          <w:lang w:eastAsia="fr-FR"/>
        </w:rPr>
        <w:t xml:space="preserve"> </w:t>
      </w:r>
      <w:r w:rsidR="00122226">
        <w:rPr>
          <w:color w:val="FFC000"/>
          <w:lang w:eastAsia="fr-FR"/>
        </w:rPr>
        <w:t>Mesure effectuée en préparation car on fait la mesure du produit recristallisé par la suite.</w:t>
      </w:r>
    </w:p>
    <w:p w:rsidR="00CA31DC" w:rsidRDefault="00CA31DC" w:rsidP="00567F55">
      <w:pPr>
        <w:pStyle w:val="Sansinterligne"/>
        <w:rPr>
          <w:lang w:eastAsia="fr-FR"/>
        </w:rPr>
      </w:pPr>
    </w:p>
    <w:p w:rsidR="0054320B" w:rsidRDefault="0054320B" w:rsidP="00567F55">
      <w:pPr>
        <w:pStyle w:val="Sansinterligne"/>
        <w:rPr>
          <w:lang w:eastAsia="fr-FR"/>
        </w:rPr>
      </w:pPr>
      <w:r>
        <w:rPr>
          <w:lang w:eastAsia="fr-FR"/>
        </w:rPr>
        <w:t>Conclure sur le fait qu’il faut se débarrasser d’éventuelles impuretés.</w:t>
      </w:r>
    </w:p>
    <w:p w:rsidR="0054320B" w:rsidRDefault="0054320B" w:rsidP="00567F55">
      <w:pPr>
        <w:pStyle w:val="Sansinterligne"/>
        <w:rPr>
          <w:lang w:eastAsia="fr-FR"/>
        </w:rPr>
      </w:pPr>
    </w:p>
    <w:p w:rsidR="00567F55" w:rsidRDefault="001037A3" w:rsidP="001037A3">
      <w:pPr>
        <w:pStyle w:val="Sansinterligne"/>
        <w:numPr>
          <w:ilvl w:val="0"/>
          <w:numId w:val="29"/>
        </w:numPr>
        <w:rPr>
          <w:lang w:eastAsia="fr-FR"/>
        </w:rPr>
      </w:pPr>
      <w:r>
        <w:rPr>
          <w:u w:val="single"/>
          <w:lang w:eastAsia="fr-FR"/>
        </w:rPr>
        <w:t>Purification :</w:t>
      </w:r>
      <w:r>
        <w:rPr>
          <w:lang w:eastAsia="fr-FR"/>
        </w:rPr>
        <w:t xml:space="preserve"> étape consistant à éliminer les faibles quantités d’impuretés contenues dans le produit brut afin de le purifier ([5]p.499)</w:t>
      </w:r>
    </w:p>
    <w:p w:rsidR="001037A3" w:rsidRDefault="001037A3" w:rsidP="001037A3">
      <w:pPr>
        <w:pStyle w:val="Sansinterligne"/>
        <w:ind w:left="720"/>
        <w:rPr>
          <w:lang w:eastAsia="fr-FR"/>
        </w:rPr>
      </w:pPr>
      <w:r>
        <w:rPr>
          <w:lang w:eastAsia="fr-FR"/>
        </w:rPr>
        <w:t>Pour ce faire, on peut effectuer une recristallisation et en rappeler le principe (impuretés solubles à chaud comme à froid et produit d’intérêt insoluble à froid mais soluble à chaud).</w:t>
      </w:r>
    </w:p>
    <w:p w:rsidR="001037A3" w:rsidRPr="001037A3" w:rsidRDefault="001037A3" w:rsidP="001037A3">
      <w:pPr>
        <w:pStyle w:val="Sansinterligne"/>
        <w:ind w:left="720"/>
        <w:rPr>
          <w:lang w:eastAsia="fr-FR"/>
        </w:rPr>
      </w:pPr>
    </w:p>
    <w:p w:rsidR="001037A3" w:rsidRDefault="001037A3" w:rsidP="001037A3">
      <w:pPr>
        <w:pStyle w:val="Sansinterligne"/>
        <w:pBdr>
          <w:left w:val="thinThickSmallGap" w:sz="24" w:space="1" w:color="FFC000"/>
        </w:pBdr>
        <w:rPr>
          <w:lang w:eastAsia="fr-FR"/>
        </w:rPr>
      </w:pPr>
      <w:r>
        <w:rPr>
          <w:lang w:eastAsia="fr-FR"/>
        </w:rPr>
        <w:t>Lancer une recristallisation d</w:t>
      </w:r>
      <w:r w:rsidR="003B626D">
        <w:rPr>
          <w:lang w:eastAsia="fr-FR"/>
        </w:rPr>
        <w:t>u paracétamol en ajoutant de l’eau (ou de l’eau salée)</w:t>
      </w:r>
    </w:p>
    <w:p w:rsidR="001037A3" w:rsidRDefault="001037A3" w:rsidP="001037A3">
      <w:pPr>
        <w:pStyle w:val="Sansinterligne"/>
        <w:pBdr>
          <w:left w:val="thinThickSmallGap" w:sz="24" w:space="1" w:color="FFC000"/>
        </w:pBdr>
        <w:ind w:firstLine="708"/>
        <w:rPr>
          <w:lang w:eastAsia="fr-FR"/>
        </w:rPr>
      </w:pPr>
      <w:r>
        <w:rPr>
          <w:lang w:eastAsia="fr-FR"/>
        </w:rPr>
        <w:t>Montrer uniquement la première étape en ajoutant un minimum de solvant permettant la dissolution du produit brut.</w:t>
      </w:r>
    </w:p>
    <w:p w:rsidR="00281EE7" w:rsidRDefault="00281EE7" w:rsidP="00567F55">
      <w:pPr>
        <w:pStyle w:val="Sansinterligne"/>
        <w:rPr>
          <w:u w:val="single"/>
          <w:lang w:eastAsia="fr-FR"/>
        </w:rPr>
      </w:pPr>
    </w:p>
    <w:p w:rsidR="00281EE7" w:rsidRPr="00131AA1" w:rsidRDefault="00131AA1" w:rsidP="00131AA1">
      <w:pPr>
        <w:pStyle w:val="Sansinterligne"/>
        <w:numPr>
          <w:ilvl w:val="0"/>
          <w:numId w:val="29"/>
        </w:numPr>
        <w:rPr>
          <w:u w:val="single"/>
          <w:lang w:eastAsia="fr-FR"/>
        </w:rPr>
      </w:pPr>
      <w:r>
        <w:rPr>
          <w:u w:val="single"/>
          <w:lang w:eastAsia="fr-FR"/>
        </w:rPr>
        <w:t xml:space="preserve">Caractérisation : </w:t>
      </w:r>
      <w:r>
        <w:rPr>
          <w:lang w:eastAsia="fr-FR"/>
        </w:rPr>
        <w:t>étapes permettant de vérifier que l’on a bien obtenu le produit désiré mais également qui permettent de vérifier sa pureté.</w:t>
      </w:r>
    </w:p>
    <w:p w:rsidR="00131AA1" w:rsidRDefault="00131AA1" w:rsidP="00131AA1">
      <w:pPr>
        <w:pStyle w:val="Sansinterligne"/>
        <w:ind w:left="1416"/>
        <w:rPr>
          <w:lang w:eastAsia="fr-FR"/>
        </w:rPr>
      </w:pPr>
      <w:r>
        <w:rPr>
          <w:lang w:eastAsia="fr-FR"/>
        </w:rPr>
        <w:t>Chromatographie sur Couche Mince</w:t>
      </w:r>
      <w:r w:rsidR="00ED7DF2">
        <w:rPr>
          <w:lang w:eastAsia="fr-FR"/>
        </w:rPr>
        <w:t xml:space="preserve"> et autres types de chromatographie (sur colonne ou en phase gaz)</w:t>
      </w:r>
    </w:p>
    <w:p w:rsidR="00131AA1" w:rsidRDefault="00131AA1" w:rsidP="007512E0">
      <w:pPr>
        <w:pStyle w:val="Sansinterligne"/>
        <w:ind w:firstLine="708"/>
        <w:rPr>
          <w:lang w:eastAsia="fr-FR"/>
        </w:rPr>
      </w:pPr>
      <w:r>
        <w:rPr>
          <w:lang w:eastAsia="fr-FR"/>
        </w:rPr>
        <w:t>Méthodes spectroscopiques (UV-Visible, Infrarouge et RMN)</w:t>
      </w:r>
    </w:p>
    <w:p w:rsidR="007512E0" w:rsidRDefault="007512E0" w:rsidP="007512E0">
      <w:pPr>
        <w:pStyle w:val="Sansinterligne"/>
        <w:rPr>
          <w:lang w:eastAsia="fr-FR"/>
        </w:rPr>
      </w:pPr>
      <w:r>
        <w:rPr>
          <w:lang w:eastAsia="fr-FR"/>
        </w:rPr>
        <w:t>La pureté d’un produit peut être vérifié par mesure de sa température de fusion s’il s’agit d’un solide ou de son indice optique pour un liquide.</w:t>
      </w:r>
    </w:p>
    <w:p w:rsidR="00122226" w:rsidRDefault="00122226" w:rsidP="00131AA1">
      <w:pPr>
        <w:pStyle w:val="Sansinterligne"/>
        <w:ind w:left="1416"/>
        <w:rPr>
          <w:lang w:eastAsia="fr-FR"/>
        </w:rPr>
      </w:pPr>
    </w:p>
    <w:p w:rsidR="00122226" w:rsidRDefault="00122226" w:rsidP="00122226">
      <w:pPr>
        <w:pStyle w:val="Sansinterligne"/>
        <w:pBdr>
          <w:left w:val="thinThickSmallGap" w:sz="24" w:space="1" w:color="FFC000"/>
        </w:pBdr>
        <w:rPr>
          <w:color w:val="7030A0"/>
          <w:lang w:eastAsia="fr-FR"/>
        </w:rPr>
      </w:pPr>
      <w:r>
        <w:rPr>
          <w:lang w:eastAsia="fr-FR"/>
        </w:rPr>
        <w:t>Mesure de la température de fusion du produit recristallisé (qu’on aura placé à l’étuve pendant la préparation)</w:t>
      </w:r>
      <w:r w:rsidR="0054320B">
        <w:rPr>
          <w:lang w:eastAsia="fr-FR"/>
        </w:rPr>
        <w:t xml:space="preserve"> à la </w:t>
      </w:r>
      <w:proofErr w:type="spellStart"/>
      <w:r w:rsidR="0054320B">
        <w:rPr>
          <w:lang w:eastAsia="fr-FR"/>
        </w:rPr>
        <w:t>flexcam</w:t>
      </w:r>
      <w:proofErr w:type="spellEnd"/>
      <w:r w:rsidR="0054320B">
        <w:rPr>
          <w:lang w:eastAsia="fr-FR"/>
        </w:rPr>
        <w:t xml:space="preserve"> si possible d’en avoir deux. </w:t>
      </w:r>
      <w:r w:rsidR="0054320B">
        <w:rPr>
          <w:color w:val="FFC000"/>
          <w:lang w:eastAsia="fr-FR"/>
        </w:rPr>
        <w:t>Penser à nettoyer le banc avec éthanol vers du côté chaud vers le froid ou verticalement si c’est possible.</w:t>
      </w:r>
      <w:r w:rsidR="00041BF6">
        <w:rPr>
          <w:color w:val="FFC000"/>
          <w:lang w:eastAsia="fr-FR"/>
        </w:rPr>
        <w:t xml:space="preserve"> </w:t>
      </w:r>
      <w:r w:rsidR="00041BF6">
        <w:rPr>
          <w:color w:val="7030A0"/>
          <w:lang w:eastAsia="fr-FR"/>
        </w:rPr>
        <w:t xml:space="preserve">(Diapo </w:t>
      </w:r>
      <w:r w:rsidR="003B626D">
        <w:rPr>
          <w:color w:val="7030A0"/>
          <w:lang w:eastAsia="fr-FR"/>
        </w:rPr>
        <w:t>7</w:t>
      </w:r>
      <w:r w:rsidR="00041BF6">
        <w:rPr>
          <w:color w:val="7030A0"/>
          <w:lang w:eastAsia="fr-FR"/>
        </w:rPr>
        <w:t>)</w:t>
      </w:r>
    </w:p>
    <w:p w:rsidR="007E1EC3" w:rsidRPr="00041BF6" w:rsidRDefault="007E1EC3" w:rsidP="00122226">
      <w:pPr>
        <w:pStyle w:val="Sansinterligne"/>
        <w:pBdr>
          <w:left w:val="thinThickSmallGap" w:sz="24" w:space="1" w:color="FFC000"/>
        </w:pBdr>
        <w:rPr>
          <w:color w:val="7030A0"/>
          <w:lang w:eastAsia="fr-FR"/>
        </w:rPr>
      </w:pPr>
      <w:hyperlink r:id="rId10" w:history="1">
        <w:r>
          <w:rPr>
            <w:rStyle w:val="Lienhypertexte"/>
          </w:rPr>
          <w:t>http://culturesciences.chimie.ens.fr/content/film-utilisation-du-banc-kofler-pour-mesurer-une-temperature-fusion-933</w:t>
        </w:r>
      </w:hyperlink>
    </w:p>
    <w:p w:rsidR="00093D37" w:rsidRPr="00093D37" w:rsidRDefault="00122226" w:rsidP="00122226">
      <w:pPr>
        <w:pStyle w:val="Sansinterligne"/>
        <w:pBdr>
          <w:left w:val="thinThickSmallGap" w:sz="24" w:space="1" w:color="FFC000"/>
        </w:pBdr>
        <w:rPr>
          <w:lang w:eastAsia="fr-FR"/>
        </w:rPr>
      </w:pPr>
      <w:r>
        <w:rPr>
          <w:lang w:eastAsia="fr-FR"/>
        </w:rPr>
        <w:t xml:space="preserve">Montrer le résultat de la CCM sous UV et à la </w:t>
      </w:r>
      <w:proofErr w:type="spellStart"/>
      <w:r>
        <w:rPr>
          <w:lang w:eastAsia="fr-FR"/>
        </w:rPr>
        <w:t>flexcam</w:t>
      </w:r>
      <w:proofErr w:type="spellEnd"/>
      <w:r>
        <w:rPr>
          <w:lang w:eastAsia="fr-FR"/>
        </w:rPr>
        <w:t xml:space="preserve"> si possible</w:t>
      </w:r>
    </w:p>
    <w:p w:rsidR="00281EE7" w:rsidRDefault="00281EE7" w:rsidP="00567F55">
      <w:pPr>
        <w:pStyle w:val="Sansinterligne"/>
        <w:rPr>
          <w:u w:val="single"/>
          <w:lang w:eastAsia="fr-FR"/>
        </w:rPr>
      </w:pPr>
    </w:p>
    <w:p w:rsidR="00281EE7" w:rsidRDefault="00BE5F7F" w:rsidP="00BE5F7F">
      <w:pPr>
        <w:pStyle w:val="Sansinterligne"/>
        <w:pBdr>
          <w:left w:val="thinThickSmallGap" w:sz="24" w:space="4" w:color="00B050"/>
        </w:pBdr>
        <w:rPr>
          <w:b/>
          <w:bCs/>
          <w:smallCaps/>
          <w:lang w:eastAsia="fr-FR"/>
        </w:rPr>
      </w:pPr>
      <w:r>
        <w:rPr>
          <w:b/>
          <w:bCs/>
          <w:smallCaps/>
          <w:lang w:eastAsia="fr-FR"/>
        </w:rPr>
        <w:t xml:space="preserve">Transition : On a obtenu </w:t>
      </w:r>
      <w:r w:rsidR="00041BF6">
        <w:rPr>
          <w:b/>
          <w:bCs/>
          <w:smallCaps/>
          <w:lang w:eastAsia="fr-FR"/>
        </w:rPr>
        <w:t>à</w:t>
      </w:r>
      <w:r>
        <w:rPr>
          <w:b/>
          <w:bCs/>
          <w:smallCaps/>
          <w:lang w:eastAsia="fr-FR"/>
        </w:rPr>
        <w:t xml:space="preserve"> la fin de cette synthèse le produit désiré pur. Mais l’a-t-on fait efficacement, c’est un point qui fait </w:t>
      </w:r>
      <w:r w:rsidR="00041BF6">
        <w:rPr>
          <w:b/>
          <w:bCs/>
          <w:smallCaps/>
          <w:lang w:eastAsia="fr-FR"/>
        </w:rPr>
        <w:t>partie</w:t>
      </w:r>
      <w:r>
        <w:rPr>
          <w:b/>
          <w:bCs/>
          <w:smallCaps/>
          <w:lang w:eastAsia="fr-FR"/>
        </w:rPr>
        <w:t xml:space="preserve"> du cahier des charges. </w:t>
      </w:r>
    </w:p>
    <w:p w:rsidR="00BE5F7F" w:rsidRDefault="00BE5F7F" w:rsidP="00567F55">
      <w:pPr>
        <w:pStyle w:val="Sansinterligne"/>
        <w:rPr>
          <w:b/>
          <w:bCs/>
          <w:smallCaps/>
          <w:lang w:eastAsia="fr-FR"/>
        </w:rPr>
      </w:pPr>
    </w:p>
    <w:p w:rsidR="00BE5F7F" w:rsidRDefault="00BE5F7F" w:rsidP="00BE5F7F">
      <w:pPr>
        <w:pStyle w:val="Sansinterligne"/>
        <w:numPr>
          <w:ilvl w:val="0"/>
          <w:numId w:val="35"/>
        </w:numPr>
        <w:rPr>
          <w:b/>
          <w:bCs/>
          <w:lang w:eastAsia="fr-FR"/>
        </w:rPr>
      </w:pPr>
      <w:r>
        <w:rPr>
          <w:b/>
          <w:bCs/>
          <w:lang w:eastAsia="fr-FR"/>
        </w:rPr>
        <w:t>Le rendement de cette synthèse</w:t>
      </w:r>
    </w:p>
    <w:p w:rsidR="00BE5F7F" w:rsidRDefault="00BE5F7F" w:rsidP="00BE5F7F">
      <w:pPr>
        <w:pStyle w:val="Sansinterligne"/>
        <w:rPr>
          <w:rFonts w:eastAsiaTheme="minorEastAsia"/>
          <w:lang w:eastAsia="fr-FR"/>
        </w:rPr>
      </w:pPr>
      <w:r>
        <w:rPr>
          <w:lang w:eastAsia="fr-FR"/>
        </w:rPr>
        <w:t xml:space="preserve">On appelle </w:t>
      </w:r>
      <w:r>
        <w:rPr>
          <w:i/>
          <w:iCs/>
          <w:lang w:eastAsia="fr-FR"/>
        </w:rPr>
        <w:t xml:space="preserve">rendement de la synthèse </w:t>
      </w:r>
      <w:r w:rsidR="00D53EA2">
        <w:rPr>
          <w:lang w:eastAsia="fr-FR"/>
        </w:rPr>
        <w:t xml:space="preserve">([5]p.499) </w:t>
      </w:r>
      <w:r>
        <w:rPr>
          <w:lang w:eastAsia="fr-FR"/>
        </w:rPr>
        <w:t xml:space="preserve">le quotient de la quantité du produit effectivement obtenu </w:t>
      </w:r>
      <w:proofErr w:type="spellStart"/>
      <w:r>
        <w:rPr>
          <w:lang w:eastAsia="fr-FR"/>
        </w:rPr>
        <w:t>n</w:t>
      </w:r>
      <w:r>
        <w:rPr>
          <w:vertAlign w:val="subscript"/>
          <w:lang w:eastAsia="fr-FR"/>
        </w:rPr>
        <w:t>p</w:t>
      </w:r>
      <w:proofErr w:type="spellEnd"/>
      <w:r>
        <w:rPr>
          <w:lang w:eastAsia="fr-FR"/>
        </w:rPr>
        <w:t xml:space="preserve"> sur la quantité maximale attendue </w:t>
      </w:r>
      <w:proofErr w:type="spellStart"/>
      <w:r>
        <w:rPr>
          <w:lang w:eastAsia="fr-FR"/>
        </w:rPr>
        <w:t>n</w:t>
      </w:r>
      <w:r>
        <w:rPr>
          <w:vertAlign w:val="subscript"/>
          <w:lang w:eastAsia="fr-FR"/>
        </w:rPr>
        <w:t>max</w:t>
      </w:r>
      <w:proofErr w:type="spellEnd"/>
      <w:r>
        <w:rPr>
          <w:lang w:eastAsia="fr-FR"/>
        </w:rPr>
        <w:t xml:space="preserve"> : </w:t>
      </w:r>
      <m:oMath>
        <m:r>
          <m:rPr>
            <m:sty m:val="p"/>
          </m:rPr>
          <w:rPr>
            <w:rFonts w:ascii="Cambria Math" w:hAnsi="Cambria Math"/>
            <w:lang w:eastAsia="fr-FR"/>
          </w:rPr>
          <m:t>η</m:t>
        </m:r>
        <m:r>
          <w:rPr>
            <w:rFonts w:ascii="Cambria Math" w:hAnsi="Cambria Math"/>
            <w:lang w:eastAsia="fr-FR"/>
          </w:rPr>
          <m:t xml:space="preserve">= </m:t>
        </m:r>
        <m:f>
          <m:fPr>
            <m:ctrlPr>
              <w:rPr>
                <w:rFonts w:ascii="Cambria Math" w:hAnsi="Cambria Math"/>
                <w:i/>
                <w:lang w:eastAsia="fr-FR"/>
              </w:rPr>
            </m:ctrlPr>
          </m:fPr>
          <m:num>
            <m:sSub>
              <m:sSubPr>
                <m:ctrlPr>
                  <w:rPr>
                    <w:rFonts w:ascii="Cambria Math" w:hAnsi="Cambria Math"/>
                    <w:i/>
                    <w:lang w:eastAsia="fr-FR"/>
                  </w:rPr>
                </m:ctrlPr>
              </m:sSubPr>
              <m:e>
                <m:r>
                  <w:rPr>
                    <w:rFonts w:ascii="Cambria Math" w:hAnsi="Cambria Math"/>
                    <w:lang w:eastAsia="fr-FR"/>
                  </w:rPr>
                  <m:t>n</m:t>
                </m:r>
              </m:e>
              <m:sub>
                <m:r>
                  <w:rPr>
                    <w:rFonts w:ascii="Cambria Math" w:hAnsi="Cambria Math"/>
                    <w:lang w:eastAsia="fr-FR"/>
                  </w:rPr>
                  <m:t>p</m:t>
                </m:r>
              </m:sub>
            </m:sSub>
          </m:num>
          <m:den>
            <m:sSub>
              <m:sSubPr>
                <m:ctrlPr>
                  <w:rPr>
                    <w:rFonts w:ascii="Cambria Math" w:hAnsi="Cambria Math"/>
                    <w:i/>
                    <w:lang w:eastAsia="fr-FR"/>
                  </w:rPr>
                </m:ctrlPr>
              </m:sSubPr>
              <m:e>
                <m:r>
                  <w:rPr>
                    <w:rFonts w:ascii="Cambria Math" w:hAnsi="Cambria Math"/>
                    <w:lang w:eastAsia="fr-FR"/>
                  </w:rPr>
                  <m:t>n</m:t>
                </m:r>
              </m:e>
              <m:sub>
                <m:r>
                  <w:rPr>
                    <w:rFonts w:ascii="Cambria Math" w:hAnsi="Cambria Math"/>
                    <w:lang w:eastAsia="fr-FR"/>
                  </w:rPr>
                  <m:t>max</m:t>
                </m:r>
              </m:sub>
            </m:sSub>
          </m:den>
        </m:f>
        <m:r>
          <w:rPr>
            <w:rFonts w:ascii="Cambria Math" w:eastAsiaTheme="minorEastAsia" w:hAnsi="Cambria Math"/>
            <w:lang w:eastAsia="fr-FR"/>
          </w:rPr>
          <m:t xml:space="preserve"> </m:t>
        </m:r>
      </m:oMath>
    </w:p>
    <w:p w:rsidR="006F3382" w:rsidRDefault="00BE5F7F" w:rsidP="00BE5F7F">
      <w:pPr>
        <w:pStyle w:val="Sansinterligne"/>
        <w:rPr>
          <w:rFonts w:eastAsiaTheme="minorEastAsia"/>
          <w:lang w:eastAsia="fr-FR"/>
        </w:rPr>
      </w:pPr>
      <w:r>
        <w:rPr>
          <w:rFonts w:eastAsiaTheme="minorEastAsia"/>
          <w:lang w:eastAsia="fr-FR"/>
        </w:rPr>
        <w:t xml:space="preserve">Faire un tableau d’avancement (ou si manque de temps, montrer la diapo 4) pour en déduire le </w:t>
      </w:r>
    </w:p>
    <w:p w:rsidR="00FF267F" w:rsidRDefault="00BE5F7F" w:rsidP="00BE5F7F">
      <w:pPr>
        <w:pStyle w:val="Sansinterligne"/>
        <w:rPr>
          <w:rFonts w:eastAsiaTheme="minorEastAsia"/>
          <w:lang w:eastAsia="fr-FR"/>
        </w:rPr>
      </w:pPr>
      <w:r>
        <w:rPr>
          <w:rFonts w:eastAsiaTheme="minorEastAsia"/>
          <w:lang w:eastAsia="fr-FR"/>
        </w:rPr>
        <w:t>réactif limitant</w:t>
      </w:r>
      <w:r w:rsidR="006F3382">
        <w:rPr>
          <w:rFonts w:eastAsiaTheme="minorEastAsia"/>
          <w:lang w:eastAsia="fr-FR"/>
        </w:rPr>
        <w:t>.</w:t>
      </w:r>
    </w:p>
    <w:p w:rsidR="003B626D" w:rsidRPr="00FF267F" w:rsidRDefault="003B626D" w:rsidP="00BE5F7F">
      <w:pPr>
        <w:pStyle w:val="Sansinterligne"/>
        <w:rPr>
          <w:rFonts w:eastAsiaTheme="minorEastAsia"/>
          <w:lang w:eastAsia="fr-FR"/>
        </w:rPr>
      </w:pPr>
      <w:r>
        <w:rPr>
          <w:rFonts w:eastAsiaTheme="minorEastAsia"/>
          <w:i/>
          <w:iCs/>
          <w:color w:val="00B0F0"/>
          <w:lang w:eastAsia="fr-FR"/>
        </w:rPr>
        <w:lastRenderedPageBreak/>
        <w:t>Faire le tableau d’avancement au tableau.</w:t>
      </w:r>
    </w:p>
    <w:p w:rsidR="005344D4" w:rsidRDefault="005344D4" w:rsidP="00BE5F7F">
      <w:pPr>
        <w:pStyle w:val="Sansinterligne"/>
        <w:rPr>
          <w:rFonts w:eastAsiaTheme="minorEastAsia"/>
          <w:lang w:eastAsia="fr-FR"/>
        </w:rPr>
      </w:pPr>
    </w:p>
    <w:tbl>
      <w:tblPr>
        <w:tblStyle w:val="Grilledutableau"/>
        <w:tblW w:w="0" w:type="auto"/>
        <w:tblLook w:val="04A0" w:firstRow="1" w:lastRow="0" w:firstColumn="1" w:lastColumn="0" w:noHBand="0" w:noVBand="1"/>
      </w:tblPr>
      <w:tblGrid>
        <w:gridCol w:w="985"/>
        <w:gridCol w:w="1915"/>
        <w:gridCol w:w="2574"/>
        <w:gridCol w:w="1794"/>
        <w:gridCol w:w="1794"/>
      </w:tblGrid>
      <w:tr w:rsidR="00F704A7" w:rsidTr="006F3382">
        <w:tc>
          <w:tcPr>
            <w:tcW w:w="1672" w:type="dxa"/>
          </w:tcPr>
          <w:p w:rsidR="006F3382" w:rsidRDefault="006F3382" w:rsidP="00BE5F7F">
            <w:pPr>
              <w:pStyle w:val="Sansinterligne"/>
              <w:rPr>
                <w:rFonts w:eastAsiaTheme="minorEastAsia"/>
                <w:lang w:eastAsia="fr-FR"/>
              </w:rPr>
            </w:pPr>
          </w:p>
        </w:tc>
        <w:tc>
          <w:tcPr>
            <w:tcW w:w="2292" w:type="dxa"/>
          </w:tcPr>
          <w:p w:rsidR="006F3382" w:rsidRPr="003B626D" w:rsidRDefault="006F3382" w:rsidP="00BE5F7F">
            <w:pPr>
              <w:pStyle w:val="Sansinterligne"/>
              <w:rPr>
                <w:rFonts w:eastAsiaTheme="minorEastAsia"/>
                <w:lang w:eastAsia="fr-FR"/>
              </w:rPr>
            </w:pPr>
            <w:r>
              <w:rPr>
                <w:rFonts w:eastAsiaTheme="minorEastAsia"/>
                <w:lang w:eastAsia="fr-FR"/>
              </w:rPr>
              <w:t>C</w:t>
            </w:r>
            <w:r w:rsidR="003B626D">
              <w:rPr>
                <w:rFonts w:eastAsiaTheme="minorEastAsia"/>
                <w:vertAlign w:val="subscript"/>
                <w:lang w:eastAsia="fr-FR"/>
              </w:rPr>
              <w:t>6</w:t>
            </w:r>
            <w:r w:rsidR="003B626D">
              <w:rPr>
                <w:rFonts w:eastAsiaTheme="minorEastAsia"/>
                <w:lang w:eastAsia="fr-FR"/>
              </w:rPr>
              <w:t>H</w:t>
            </w:r>
            <w:r w:rsidR="003B626D">
              <w:rPr>
                <w:rFonts w:eastAsiaTheme="minorEastAsia"/>
                <w:vertAlign w:val="subscript"/>
                <w:lang w:eastAsia="fr-FR"/>
              </w:rPr>
              <w:t>7</w:t>
            </w:r>
            <w:r w:rsidR="003B626D">
              <w:rPr>
                <w:rFonts w:eastAsiaTheme="minorEastAsia"/>
                <w:lang w:eastAsia="fr-FR"/>
              </w:rPr>
              <w:t>NO</w:t>
            </w:r>
          </w:p>
        </w:tc>
        <w:tc>
          <w:tcPr>
            <w:tcW w:w="1402" w:type="dxa"/>
          </w:tcPr>
          <w:p w:rsidR="006F3382" w:rsidRPr="006F3382" w:rsidRDefault="006F3382" w:rsidP="00BE5F7F">
            <w:pPr>
              <w:pStyle w:val="Sansinterligne"/>
              <w:rPr>
                <w:rFonts w:eastAsiaTheme="minorEastAsia"/>
                <w:lang w:eastAsia="fr-FR"/>
              </w:rPr>
            </w:pPr>
            <w:r>
              <w:rPr>
                <w:rFonts w:eastAsiaTheme="minorEastAsia"/>
                <w:lang w:eastAsia="fr-FR"/>
              </w:rPr>
              <w:t>C</w:t>
            </w:r>
            <w:r>
              <w:rPr>
                <w:rFonts w:eastAsiaTheme="minorEastAsia"/>
                <w:vertAlign w:val="subscript"/>
                <w:lang w:eastAsia="fr-FR"/>
              </w:rPr>
              <w:t>4</w:t>
            </w:r>
            <w:r>
              <w:rPr>
                <w:rFonts w:eastAsiaTheme="minorEastAsia"/>
                <w:lang w:eastAsia="fr-FR"/>
              </w:rPr>
              <w:t>H</w:t>
            </w:r>
            <w:r>
              <w:rPr>
                <w:rFonts w:eastAsiaTheme="minorEastAsia"/>
                <w:vertAlign w:val="subscript"/>
                <w:lang w:eastAsia="fr-FR"/>
              </w:rPr>
              <w:t>6</w:t>
            </w:r>
            <w:r>
              <w:rPr>
                <w:rFonts w:eastAsiaTheme="minorEastAsia"/>
                <w:lang w:eastAsia="fr-FR"/>
              </w:rPr>
              <w:t>O</w:t>
            </w:r>
            <w:r>
              <w:rPr>
                <w:rFonts w:eastAsiaTheme="minorEastAsia"/>
                <w:vertAlign w:val="subscript"/>
                <w:lang w:eastAsia="fr-FR"/>
              </w:rPr>
              <w:t>3</w:t>
            </w:r>
          </w:p>
        </w:tc>
        <w:tc>
          <w:tcPr>
            <w:tcW w:w="1848" w:type="dxa"/>
          </w:tcPr>
          <w:p w:rsidR="006F3382" w:rsidRPr="003B626D" w:rsidRDefault="003B626D" w:rsidP="00BE5F7F">
            <w:pPr>
              <w:pStyle w:val="Sansinterligne"/>
              <w:rPr>
                <w:rFonts w:eastAsiaTheme="minorEastAsia"/>
                <w:lang w:eastAsia="fr-FR"/>
              </w:rPr>
            </w:pPr>
            <w:r>
              <w:rPr>
                <w:rFonts w:eastAsiaTheme="minorEastAsia"/>
                <w:lang w:eastAsia="fr-FR"/>
              </w:rPr>
              <w:t>C</w:t>
            </w:r>
            <w:r>
              <w:rPr>
                <w:rFonts w:eastAsiaTheme="minorEastAsia"/>
                <w:vertAlign w:val="subscript"/>
                <w:lang w:eastAsia="fr-FR"/>
              </w:rPr>
              <w:t>8</w:t>
            </w:r>
            <w:r>
              <w:rPr>
                <w:rFonts w:eastAsiaTheme="minorEastAsia"/>
                <w:lang w:eastAsia="fr-FR"/>
              </w:rPr>
              <w:t>H</w:t>
            </w:r>
            <w:r>
              <w:rPr>
                <w:rFonts w:eastAsiaTheme="minorEastAsia"/>
                <w:vertAlign w:val="subscript"/>
                <w:lang w:eastAsia="fr-FR"/>
              </w:rPr>
              <w:t>9</w:t>
            </w:r>
            <w:r>
              <w:rPr>
                <w:rFonts w:eastAsiaTheme="minorEastAsia"/>
                <w:lang w:eastAsia="fr-FR"/>
              </w:rPr>
              <w:t>NO</w:t>
            </w:r>
            <w:r>
              <w:rPr>
                <w:rFonts w:eastAsiaTheme="minorEastAsia"/>
                <w:vertAlign w:val="subscript"/>
                <w:lang w:eastAsia="fr-FR"/>
              </w:rPr>
              <w:t>2</w:t>
            </w:r>
          </w:p>
        </w:tc>
        <w:tc>
          <w:tcPr>
            <w:tcW w:w="1848" w:type="dxa"/>
          </w:tcPr>
          <w:p w:rsidR="006F3382" w:rsidRPr="006F3382" w:rsidRDefault="006F3382" w:rsidP="00BE5F7F">
            <w:pPr>
              <w:pStyle w:val="Sansinterligne"/>
              <w:rPr>
                <w:rFonts w:eastAsiaTheme="minorEastAsia"/>
                <w:lang w:eastAsia="fr-FR"/>
              </w:rPr>
            </w:pPr>
            <w:r>
              <w:rPr>
                <w:rFonts w:eastAsiaTheme="minorEastAsia"/>
                <w:lang w:eastAsia="fr-FR"/>
              </w:rPr>
              <w:t>C</w:t>
            </w:r>
            <w:r>
              <w:rPr>
                <w:rFonts w:eastAsiaTheme="minorEastAsia"/>
                <w:vertAlign w:val="subscript"/>
                <w:lang w:eastAsia="fr-FR"/>
              </w:rPr>
              <w:t>2</w:t>
            </w:r>
            <w:r>
              <w:rPr>
                <w:rFonts w:eastAsiaTheme="minorEastAsia"/>
                <w:lang w:eastAsia="fr-FR"/>
              </w:rPr>
              <w:t>H</w:t>
            </w:r>
            <w:r>
              <w:rPr>
                <w:rFonts w:eastAsiaTheme="minorEastAsia"/>
                <w:vertAlign w:val="subscript"/>
                <w:lang w:eastAsia="fr-FR"/>
              </w:rPr>
              <w:t>4</w:t>
            </w:r>
            <w:r>
              <w:rPr>
                <w:rFonts w:eastAsiaTheme="minorEastAsia"/>
                <w:lang w:eastAsia="fr-FR"/>
              </w:rPr>
              <w:t>O</w:t>
            </w:r>
            <w:r>
              <w:rPr>
                <w:rFonts w:eastAsiaTheme="minorEastAsia"/>
                <w:vertAlign w:val="subscript"/>
                <w:lang w:eastAsia="fr-FR"/>
              </w:rPr>
              <w:t>2</w:t>
            </w:r>
          </w:p>
        </w:tc>
      </w:tr>
      <w:tr w:rsidR="00F704A7" w:rsidTr="006F3382">
        <w:tc>
          <w:tcPr>
            <w:tcW w:w="1672" w:type="dxa"/>
          </w:tcPr>
          <w:p w:rsidR="006F3382" w:rsidRDefault="006F3382" w:rsidP="00BE5F7F">
            <w:pPr>
              <w:pStyle w:val="Sansinterligne"/>
              <w:rPr>
                <w:rFonts w:eastAsiaTheme="minorEastAsia"/>
                <w:lang w:eastAsia="fr-FR"/>
              </w:rPr>
            </w:pPr>
            <w:r>
              <w:rPr>
                <w:rFonts w:eastAsiaTheme="minorEastAsia"/>
                <w:lang w:eastAsia="fr-FR"/>
              </w:rPr>
              <w:t>Etat initial</w:t>
            </w:r>
          </w:p>
        </w:tc>
        <w:tc>
          <w:tcPr>
            <w:tcW w:w="2292" w:type="dxa"/>
          </w:tcPr>
          <w:p w:rsidR="006F3382" w:rsidRDefault="00207B7E" w:rsidP="00BE5F7F">
            <w:pPr>
              <w:pStyle w:val="Sansinterligne"/>
              <w:rPr>
                <w:rFonts w:eastAsiaTheme="minorEastAsia"/>
                <w:lang w:eastAsia="fr-FR"/>
              </w:rPr>
            </w:pPr>
            <m:oMathPara>
              <m:oMath>
                <m:sSub>
                  <m:sSubPr>
                    <m:ctrlPr>
                      <w:rPr>
                        <w:rFonts w:ascii="Cambria Math" w:eastAsiaTheme="minorEastAsia" w:hAnsi="Cambria Math"/>
                        <w:i/>
                        <w:lang w:eastAsia="fr-FR"/>
                      </w:rPr>
                    </m:ctrlPr>
                  </m:sSubPr>
                  <m:e>
                    <m:r>
                      <w:rPr>
                        <w:rFonts w:ascii="Cambria Math" w:eastAsiaTheme="minorEastAsia" w:hAnsi="Cambria Math"/>
                        <w:lang w:eastAsia="fr-FR"/>
                      </w:rPr>
                      <m:t>n</m:t>
                    </m:r>
                  </m:e>
                  <m:sub>
                    <m:r>
                      <w:rPr>
                        <w:rFonts w:ascii="Cambria Math" w:eastAsiaTheme="minorEastAsia" w:hAnsi="Cambria Math"/>
                        <w:lang w:eastAsia="fr-FR"/>
                      </w:rPr>
                      <m:t>0</m:t>
                    </m:r>
                  </m:sub>
                </m:sSub>
                <m:r>
                  <w:rPr>
                    <w:rFonts w:ascii="Cambria Math" w:eastAsiaTheme="minorEastAsia" w:hAnsi="Cambria Math"/>
                    <w:lang w:eastAsia="fr-FR"/>
                  </w:rPr>
                  <m:t>=</m:t>
                </m:r>
                <m:f>
                  <m:fPr>
                    <m:ctrlPr>
                      <w:rPr>
                        <w:rFonts w:ascii="Cambria Math" w:eastAsiaTheme="minorEastAsia" w:hAnsi="Cambria Math"/>
                        <w:i/>
                        <w:lang w:eastAsia="fr-FR"/>
                      </w:rPr>
                    </m:ctrlPr>
                  </m:fPr>
                  <m:num>
                    <m:r>
                      <w:rPr>
                        <w:rFonts w:ascii="Cambria Math" w:eastAsiaTheme="minorEastAsia" w:hAnsi="Cambria Math"/>
                        <w:lang w:eastAsia="fr-FR"/>
                      </w:rPr>
                      <m:t>m</m:t>
                    </m:r>
                  </m:num>
                  <m:den>
                    <m:sSub>
                      <m:sSubPr>
                        <m:ctrlPr>
                          <w:rPr>
                            <w:rFonts w:ascii="Cambria Math" w:eastAsiaTheme="minorEastAsia" w:hAnsi="Cambria Math"/>
                            <w:i/>
                            <w:lang w:eastAsia="fr-FR"/>
                          </w:rPr>
                        </m:ctrlPr>
                      </m:sSubPr>
                      <m:e>
                        <m:r>
                          <w:rPr>
                            <w:rFonts w:ascii="Cambria Math" w:eastAsiaTheme="minorEastAsia" w:hAnsi="Cambria Math"/>
                            <w:lang w:eastAsia="fr-FR"/>
                          </w:rPr>
                          <m:t>M</m:t>
                        </m:r>
                      </m:e>
                      <m:sub>
                        <m:r>
                          <w:rPr>
                            <w:rFonts w:ascii="Cambria Math" w:eastAsiaTheme="minorEastAsia" w:hAnsi="Cambria Math"/>
                            <w:lang w:eastAsia="fr-FR"/>
                          </w:rPr>
                          <m:t>1</m:t>
                        </m:r>
                      </m:sub>
                    </m:sSub>
                  </m:den>
                </m:f>
                <m:r>
                  <w:rPr>
                    <w:rFonts w:ascii="Cambria Math" w:eastAsiaTheme="minorEastAsia" w:hAnsi="Cambria Math"/>
                    <w:lang w:eastAsia="fr-FR"/>
                  </w:rPr>
                  <m:t>=</m:t>
                </m:r>
                <m:f>
                  <m:fPr>
                    <m:ctrlPr>
                      <w:rPr>
                        <w:rFonts w:ascii="Cambria Math" w:eastAsiaTheme="minorEastAsia" w:hAnsi="Cambria Math"/>
                        <w:i/>
                        <w:lang w:eastAsia="fr-FR"/>
                      </w:rPr>
                    </m:ctrlPr>
                  </m:fPr>
                  <m:num>
                    <m:r>
                      <w:rPr>
                        <w:rFonts w:ascii="Cambria Math" w:eastAsiaTheme="minorEastAsia" w:hAnsi="Cambria Math"/>
                        <w:lang w:eastAsia="fr-FR"/>
                      </w:rPr>
                      <m:t>5,5</m:t>
                    </m:r>
                  </m:num>
                  <m:den>
                    <m:r>
                      <w:rPr>
                        <w:rFonts w:ascii="Cambria Math" w:eastAsiaTheme="minorEastAsia" w:hAnsi="Cambria Math"/>
                        <w:lang w:eastAsia="fr-FR"/>
                      </w:rPr>
                      <m:t>151</m:t>
                    </m:r>
                  </m:den>
                </m:f>
                <m:r>
                  <w:rPr>
                    <w:rFonts w:ascii="Cambria Math" w:eastAsiaTheme="minorEastAsia" w:hAnsi="Cambria Math"/>
                    <w:lang w:eastAsia="fr-FR"/>
                  </w:rPr>
                  <m:t>=5,04.</m:t>
                </m:r>
                <m:sSup>
                  <m:sSupPr>
                    <m:ctrlPr>
                      <w:rPr>
                        <w:rFonts w:ascii="Cambria Math" w:eastAsiaTheme="minorEastAsia" w:hAnsi="Cambria Math"/>
                        <w:i/>
                        <w:lang w:eastAsia="fr-FR"/>
                      </w:rPr>
                    </m:ctrlPr>
                  </m:sSupPr>
                  <m:e>
                    <m:r>
                      <w:rPr>
                        <w:rFonts w:ascii="Cambria Math" w:eastAsiaTheme="minorEastAsia" w:hAnsi="Cambria Math"/>
                        <w:lang w:eastAsia="fr-FR"/>
                      </w:rPr>
                      <m:t>10</m:t>
                    </m:r>
                  </m:e>
                  <m:sup>
                    <m:r>
                      <w:rPr>
                        <w:rFonts w:ascii="Cambria Math" w:eastAsiaTheme="minorEastAsia" w:hAnsi="Cambria Math"/>
                        <w:lang w:eastAsia="fr-FR"/>
                      </w:rPr>
                      <m:t>-2</m:t>
                    </m:r>
                  </m:sup>
                </m:sSup>
                <m:r>
                  <w:rPr>
                    <w:rFonts w:ascii="Cambria Math" w:eastAsiaTheme="minorEastAsia" w:hAnsi="Cambria Math"/>
                    <w:lang w:eastAsia="fr-FR"/>
                  </w:rPr>
                  <m:t>mol</m:t>
                </m:r>
              </m:oMath>
            </m:oMathPara>
          </w:p>
        </w:tc>
        <w:tc>
          <w:tcPr>
            <w:tcW w:w="1402" w:type="dxa"/>
          </w:tcPr>
          <w:p w:rsidR="006F3382" w:rsidRDefault="006F3382" w:rsidP="00BE5F7F">
            <w:pPr>
              <w:pStyle w:val="Sansinterligne"/>
              <w:rPr>
                <w:rFonts w:eastAsiaTheme="minorEastAsia"/>
                <w:lang w:eastAsia="fr-FR"/>
              </w:rPr>
            </w:pPr>
            <m:oMathPara>
              <m:oMath>
                <m:r>
                  <w:rPr>
                    <w:rFonts w:ascii="Cambria Math" w:eastAsiaTheme="minorEastAsia" w:hAnsi="Cambria Math"/>
                    <w:lang w:eastAsia="fr-FR"/>
                  </w:rPr>
                  <m:t xml:space="preserve">n = </m:t>
                </m:r>
                <m:f>
                  <m:fPr>
                    <m:ctrlPr>
                      <w:rPr>
                        <w:rFonts w:ascii="Cambria Math" w:eastAsiaTheme="minorEastAsia" w:hAnsi="Cambria Math"/>
                        <w:i/>
                        <w:lang w:eastAsia="fr-FR"/>
                      </w:rPr>
                    </m:ctrlPr>
                  </m:fPr>
                  <m:num>
                    <m:r>
                      <w:rPr>
                        <w:rFonts w:ascii="Cambria Math" w:eastAsiaTheme="minorEastAsia" w:hAnsi="Cambria Math"/>
                        <w:lang w:eastAsia="fr-FR"/>
                      </w:rPr>
                      <m:t>dV</m:t>
                    </m:r>
                  </m:num>
                  <m:den>
                    <m:sSub>
                      <m:sSubPr>
                        <m:ctrlPr>
                          <w:rPr>
                            <w:rFonts w:ascii="Cambria Math" w:eastAsiaTheme="minorEastAsia" w:hAnsi="Cambria Math"/>
                            <w:i/>
                            <w:lang w:eastAsia="fr-FR"/>
                          </w:rPr>
                        </m:ctrlPr>
                      </m:sSubPr>
                      <m:e>
                        <m:r>
                          <w:rPr>
                            <w:rFonts w:ascii="Cambria Math" w:eastAsiaTheme="minorEastAsia" w:hAnsi="Cambria Math"/>
                            <w:lang w:eastAsia="fr-FR"/>
                          </w:rPr>
                          <m:t>M</m:t>
                        </m:r>
                      </m:e>
                      <m:sub>
                        <m:r>
                          <w:rPr>
                            <w:rFonts w:ascii="Cambria Math" w:eastAsiaTheme="minorEastAsia" w:hAnsi="Cambria Math"/>
                            <w:lang w:eastAsia="fr-FR"/>
                          </w:rPr>
                          <m:t>2</m:t>
                        </m:r>
                      </m:sub>
                    </m:sSub>
                  </m:den>
                </m:f>
                <m:r>
                  <w:rPr>
                    <w:rFonts w:ascii="Cambria Math" w:eastAsiaTheme="minorEastAsia" w:hAnsi="Cambria Math"/>
                    <w:lang w:eastAsia="fr-FR"/>
                  </w:rPr>
                  <m:t xml:space="preserve"> = </m:t>
                </m:r>
                <m:f>
                  <m:fPr>
                    <m:ctrlPr>
                      <w:rPr>
                        <w:rFonts w:ascii="Cambria Math" w:eastAsiaTheme="minorEastAsia" w:hAnsi="Cambria Math"/>
                        <w:i/>
                        <w:lang w:eastAsia="fr-FR"/>
                      </w:rPr>
                    </m:ctrlPr>
                  </m:fPr>
                  <m:num>
                    <m:r>
                      <w:rPr>
                        <w:rFonts w:ascii="Cambria Math" w:eastAsiaTheme="minorEastAsia" w:hAnsi="Cambria Math"/>
                        <w:lang w:eastAsia="fr-FR"/>
                      </w:rPr>
                      <m:t>1,08 x 1000 x 7.</m:t>
                    </m:r>
                    <m:sSup>
                      <m:sSupPr>
                        <m:ctrlPr>
                          <w:rPr>
                            <w:rFonts w:ascii="Cambria Math" w:eastAsiaTheme="minorEastAsia" w:hAnsi="Cambria Math"/>
                            <w:i/>
                            <w:lang w:eastAsia="fr-FR"/>
                          </w:rPr>
                        </m:ctrlPr>
                      </m:sSupPr>
                      <m:e>
                        <m:r>
                          <w:rPr>
                            <w:rFonts w:ascii="Cambria Math" w:eastAsiaTheme="minorEastAsia" w:hAnsi="Cambria Math"/>
                            <w:lang w:eastAsia="fr-FR"/>
                          </w:rPr>
                          <m:t>10</m:t>
                        </m:r>
                      </m:e>
                      <m:sup>
                        <m:r>
                          <w:rPr>
                            <w:rFonts w:ascii="Cambria Math" w:eastAsiaTheme="minorEastAsia" w:hAnsi="Cambria Math"/>
                            <w:lang w:eastAsia="fr-FR"/>
                          </w:rPr>
                          <m:t>-3</m:t>
                        </m:r>
                      </m:sup>
                    </m:sSup>
                  </m:num>
                  <m:den>
                    <m:r>
                      <w:rPr>
                        <w:rFonts w:ascii="Cambria Math" w:eastAsiaTheme="minorEastAsia" w:hAnsi="Cambria Math"/>
                        <w:lang w:eastAsia="fr-FR"/>
                      </w:rPr>
                      <m:t>102,1</m:t>
                    </m:r>
                  </m:den>
                </m:f>
                <m:r>
                  <w:rPr>
                    <w:rFonts w:ascii="Cambria Math" w:eastAsiaTheme="minorEastAsia" w:hAnsi="Cambria Math"/>
                    <w:lang w:eastAsia="fr-FR"/>
                  </w:rPr>
                  <m:t xml:space="preserve"> = 7,4.</m:t>
                </m:r>
                <m:sSup>
                  <m:sSupPr>
                    <m:ctrlPr>
                      <w:rPr>
                        <w:rFonts w:ascii="Cambria Math" w:eastAsiaTheme="minorEastAsia" w:hAnsi="Cambria Math"/>
                        <w:i/>
                        <w:lang w:eastAsia="fr-FR"/>
                      </w:rPr>
                    </m:ctrlPr>
                  </m:sSupPr>
                  <m:e>
                    <m:r>
                      <w:rPr>
                        <w:rFonts w:ascii="Cambria Math" w:eastAsiaTheme="minorEastAsia" w:hAnsi="Cambria Math"/>
                        <w:lang w:eastAsia="fr-FR"/>
                      </w:rPr>
                      <m:t>10</m:t>
                    </m:r>
                  </m:e>
                  <m:sup>
                    <m:r>
                      <w:rPr>
                        <w:rFonts w:ascii="Cambria Math" w:eastAsiaTheme="minorEastAsia" w:hAnsi="Cambria Math"/>
                        <w:lang w:eastAsia="fr-FR"/>
                      </w:rPr>
                      <m:t>-2</m:t>
                    </m:r>
                  </m:sup>
                </m:sSup>
                <m:r>
                  <w:rPr>
                    <w:rFonts w:ascii="Cambria Math" w:eastAsiaTheme="minorEastAsia" w:hAnsi="Cambria Math"/>
                    <w:lang w:eastAsia="fr-FR"/>
                  </w:rPr>
                  <m:t xml:space="preserve"> mol</m:t>
                </m:r>
              </m:oMath>
            </m:oMathPara>
          </w:p>
        </w:tc>
        <w:tc>
          <w:tcPr>
            <w:tcW w:w="1848" w:type="dxa"/>
          </w:tcPr>
          <w:p w:rsidR="006F3382" w:rsidRDefault="006F3382" w:rsidP="00BE5F7F">
            <w:pPr>
              <w:pStyle w:val="Sansinterligne"/>
              <w:rPr>
                <w:rFonts w:eastAsiaTheme="minorEastAsia"/>
                <w:lang w:eastAsia="fr-FR"/>
              </w:rPr>
            </w:pPr>
            <w:r>
              <w:rPr>
                <w:rFonts w:eastAsiaTheme="minorEastAsia"/>
                <w:lang w:eastAsia="fr-FR"/>
              </w:rPr>
              <w:t>0</w:t>
            </w:r>
          </w:p>
        </w:tc>
        <w:tc>
          <w:tcPr>
            <w:tcW w:w="1848" w:type="dxa"/>
          </w:tcPr>
          <w:p w:rsidR="006F3382" w:rsidRDefault="006F3382" w:rsidP="00BE5F7F">
            <w:pPr>
              <w:pStyle w:val="Sansinterligne"/>
              <w:rPr>
                <w:rFonts w:eastAsiaTheme="minorEastAsia"/>
                <w:lang w:eastAsia="fr-FR"/>
              </w:rPr>
            </w:pPr>
            <w:r>
              <w:rPr>
                <w:rFonts w:eastAsiaTheme="minorEastAsia"/>
                <w:lang w:eastAsia="fr-FR"/>
              </w:rPr>
              <w:t>0</w:t>
            </w:r>
          </w:p>
        </w:tc>
      </w:tr>
      <w:tr w:rsidR="00F704A7" w:rsidTr="006F3382">
        <w:tc>
          <w:tcPr>
            <w:tcW w:w="1672" w:type="dxa"/>
          </w:tcPr>
          <w:p w:rsidR="006F3382" w:rsidRDefault="006F3382" w:rsidP="00BE5F7F">
            <w:pPr>
              <w:pStyle w:val="Sansinterligne"/>
              <w:rPr>
                <w:rFonts w:eastAsiaTheme="minorEastAsia"/>
                <w:lang w:eastAsia="fr-FR"/>
              </w:rPr>
            </w:pPr>
            <w:r>
              <w:rPr>
                <w:rFonts w:eastAsiaTheme="minorEastAsia"/>
                <w:lang w:eastAsia="fr-FR"/>
              </w:rPr>
              <w:t>Etat final (max)</w:t>
            </w:r>
          </w:p>
        </w:tc>
        <w:tc>
          <w:tcPr>
            <w:tcW w:w="2292" w:type="dxa"/>
          </w:tcPr>
          <w:p w:rsidR="006F3382" w:rsidRDefault="006F3382" w:rsidP="00BE5F7F">
            <w:pPr>
              <w:pStyle w:val="Sansinterligne"/>
              <w:rPr>
                <w:rFonts w:eastAsiaTheme="minorEastAsia"/>
                <w:lang w:eastAsia="fr-FR"/>
              </w:rPr>
            </w:pPr>
            <w:r>
              <w:rPr>
                <w:rFonts w:eastAsiaTheme="minorEastAsia"/>
                <w:lang w:eastAsia="fr-FR"/>
              </w:rPr>
              <w:t>0</w:t>
            </w:r>
          </w:p>
        </w:tc>
        <w:tc>
          <w:tcPr>
            <w:tcW w:w="1402" w:type="dxa"/>
          </w:tcPr>
          <w:p w:rsidR="006F3382" w:rsidRDefault="00F704A7" w:rsidP="00BE5F7F">
            <w:pPr>
              <w:pStyle w:val="Sansinterligne"/>
              <w:rPr>
                <w:rFonts w:eastAsiaTheme="minorEastAsia"/>
                <w:lang w:eastAsia="fr-FR"/>
              </w:rPr>
            </w:pPr>
            <m:oMathPara>
              <m:oMath>
                <m:r>
                  <w:rPr>
                    <w:rFonts w:ascii="Cambria Math" w:eastAsiaTheme="minorEastAsia" w:hAnsi="Cambria Math"/>
                    <w:lang w:eastAsia="fr-FR"/>
                  </w:rPr>
                  <m:t>2,36.</m:t>
                </m:r>
                <m:sSup>
                  <m:sSupPr>
                    <m:ctrlPr>
                      <w:rPr>
                        <w:rFonts w:ascii="Cambria Math" w:eastAsiaTheme="minorEastAsia" w:hAnsi="Cambria Math"/>
                        <w:i/>
                        <w:lang w:eastAsia="fr-FR"/>
                      </w:rPr>
                    </m:ctrlPr>
                  </m:sSupPr>
                  <m:e>
                    <m:r>
                      <w:rPr>
                        <w:rFonts w:ascii="Cambria Math" w:eastAsiaTheme="minorEastAsia" w:hAnsi="Cambria Math"/>
                        <w:lang w:eastAsia="fr-FR"/>
                      </w:rPr>
                      <m:t>10</m:t>
                    </m:r>
                  </m:e>
                  <m:sup>
                    <m:r>
                      <w:rPr>
                        <w:rFonts w:ascii="Cambria Math" w:eastAsiaTheme="minorEastAsia" w:hAnsi="Cambria Math"/>
                        <w:lang w:eastAsia="fr-FR"/>
                      </w:rPr>
                      <m:t>-2</m:t>
                    </m:r>
                  </m:sup>
                </m:sSup>
                <m:r>
                  <w:rPr>
                    <w:rFonts w:ascii="Cambria Math" w:eastAsiaTheme="minorEastAsia" w:hAnsi="Cambria Math"/>
                    <w:lang w:eastAsia="fr-FR"/>
                  </w:rPr>
                  <m:t xml:space="preserve"> mol</m:t>
                </m:r>
              </m:oMath>
            </m:oMathPara>
          </w:p>
        </w:tc>
        <w:tc>
          <w:tcPr>
            <w:tcW w:w="1848" w:type="dxa"/>
          </w:tcPr>
          <w:p w:rsidR="006F3382" w:rsidRDefault="00207B7E" w:rsidP="00BE5F7F">
            <w:pPr>
              <w:pStyle w:val="Sansinterligne"/>
              <w:rPr>
                <w:rFonts w:eastAsiaTheme="minorEastAsia"/>
                <w:lang w:eastAsia="fr-FR"/>
              </w:rPr>
            </w:pPr>
            <m:oMathPara>
              <m:oMath>
                <m:sSub>
                  <m:sSubPr>
                    <m:ctrlPr>
                      <w:rPr>
                        <w:rFonts w:ascii="Cambria Math" w:eastAsiaTheme="minorEastAsia" w:hAnsi="Cambria Math"/>
                        <w:i/>
                        <w:lang w:eastAsia="fr-FR"/>
                      </w:rPr>
                    </m:ctrlPr>
                  </m:sSubPr>
                  <m:e>
                    <m:r>
                      <w:rPr>
                        <w:rFonts w:ascii="Cambria Math" w:eastAsiaTheme="minorEastAsia" w:hAnsi="Cambria Math"/>
                        <w:lang w:eastAsia="fr-FR"/>
                      </w:rPr>
                      <m:t>n</m:t>
                    </m:r>
                  </m:e>
                  <m:sub>
                    <m:r>
                      <w:rPr>
                        <w:rFonts w:ascii="Cambria Math" w:eastAsiaTheme="minorEastAsia" w:hAnsi="Cambria Math"/>
                        <w:lang w:eastAsia="fr-FR"/>
                      </w:rPr>
                      <m:t>max</m:t>
                    </m:r>
                  </m:sub>
                </m:sSub>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n</m:t>
                    </m:r>
                  </m:e>
                  <m:sub>
                    <m:r>
                      <w:rPr>
                        <w:rFonts w:ascii="Cambria Math" w:eastAsiaTheme="minorEastAsia" w:hAnsi="Cambria Math"/>
                        <w:lang w:eastAsia="fr-FR"/>
                      </w:rPr>
                      <m:t>0</m:t>
                    </m:r>
                  </m:sub>
                </m:sSub>
                <m:r>
                  <w:rPr>
                    <w:rFonts w:ascii="Cambria Math" w:eastAsiaTheme="minorEastAsia" w:hAnsi="Cambria Math"/>
                    <w:lang w:eastAsia="fr-FR"/>
                  </w:rPr>
                  <m:t>=5,04.</m:t>
                </m:r>
                <m:sSup>
                  <m:sSupPr>
                    <m:ctrlPr>
                      <w:rPr>
                        <w:rFonts w:ascii="Cambria Math" w:eastAsiaTheme="minorEastAsia" w:hAnsi="Cambria Math"/>
                        <w:i/>
                        <w:lang w:eastAsia="fr-FR"/>
                      </w:rPr>
                    </m:ctrlPr>
                  </m:sSupPr>
                  <m:e>
                    <m:r>
                      <w:rPr>
                        <w:rFonts w:ascii="Cambria Math" w:eastAsiaTheme="minorEastAsia" w:hAnsi="Cambria Math"/>
                        <w:lang w:eastAsia="fr-FR"/>
                      </w:rPr>
                      <m:t>10</m:t>
                    </m:r>
                  </m:e>
                  <m:sup>
                    <m:r>
                      <w:rPr>
                        <w:rFonts w:ascii="Cambria Math" w:eastAsiaTheme="minorEastAsia" w:hAnsi="Cambria Math"/>
                        <w:lang w:eastAsia="fr-FR"/>
                      </w:rPr>
                      <m:t>-2</m:t>
                    </m:r>
                  </m:sup>
                </m:sSup>
                <m:r>
                  <w:rPr>
                    <w:rFonts w:ascii="Cambria Math" w:eastAsiaTheme="minorEastAsia" w:hAnsi="Cambria Math"/>
                    <w:lang w:eastAsia="fr-FR"/>
                  </w:rPr>
                  <m:t>mol</m:t>
                </m:r>
              </m:oMath>
            </m:oMathPara>
          </w:p>
        </w:tc>
        <w:tc>
          <w:tcPr>
            <w:tcW w:w="1848" w:type="dxa"/>
          </w:tcPr>
          <w:p w:rsidR="006F3382" w:rsidRDefault="00207B7E" w:rsidP="00BE5F7F">
            <w:pPr>
              <w:pStyle w:val="Sansinterligne"/>
              <w:rPr>
                <w:rFonts w:eastAsiaTheme="minorEastAsia"/>
                <w:lang w:eastAsia="fr-FR"/>
              </w:rPr>
            </w:pPr>
            <m:oMathPara>
              <m:oMath>
                <m:sSub>
                  <m:sSubPr>
                    <m:ctrlPr>
                      <w:rPr>
                        <w:rFonts w:ascii="Cambria Math" w:eastAsiaTheme="minorEastAsia" w:hAnsi="Cambria Math"/>
                        <w:i/>
                        <w:lang w:eastAsia="fr-FR"/>
                      </w:rPr>
                    </m:ctrlPr>
                  </m:sSubPr>
                  <m:e>
                    <m:r>
                      <w:rPr>
                        <w:rFonts w:ascii="Cambria Math" w:eastAsiaTheme="minorEastAsia" w:hAnsi="Cambria Math"/>
                        <w:lang w:eastAsia="fr-FR"/>
                      </w:rPr>
                      <m:t>n</m:t>
                    </m:r>
                  </m:e>
                  <m:sub>
                    <m:r>
                      <w:rPr>
                        <w:rFonts w:ascii="Cambria Math" w:eastAsiaTheme="minorEastAsia" w:hAnsi="Cambria Math"/>
                        <w:lang w:eastAsia="fr-FR"/>
                      </w:rPr>
                      <m:t>0</m:t>
                    </m:r>
                  </m:sub>
                </m:sSub>
                <m:r>
                  <w:rPr>
                    <w:rFonts w:ascii="Cambria Math" w:eastAsiaTheme="minorEastAsia" w:hAnsi="Cambria Math"/>
                    <w:lang w:eastAsia="fr-FR"/>
                  </w:rPr>
                  <m:t>=5,04.</m:t>
                </m:r>
                <m:sSup>
                  <m:sSupPr>
                    <m:ctrlPr>
                      <w:rPr>
                        <w:rFonts w:ascii="Cambria Math" w:eastAsiaTheme="minorEastAsia" w:hAnsi="Cambria Math"/>
                        <w:i/>
                        <w:lang w:eastAsia="fr-FR"/>
                      </w:rPr>
                    </m:ctrlPr>
                  </m:sSupPr>
                  <m:e>
                    <m:r>
                      <w:rPr>
                        <w:rFonts w:ascii="Cambria Math" w:eastAsiaTheme="minorEastAsia" w:hAnsi="Cambria Math"/>
                        <w:lang w:eastAsia="fr-FR"/>
                      </w:rPr>
                      <m:t>10</m:t>
                    </m:r>
                  </m:e>
                  <m:sup>
                    <m:r>
                      <w:rPr>
                        <w:rFonts w:ascii="Cambria Math" w:eastAsiaTheme="minorEastAsia" w:hAnsi="Cambria Math"/>
                        <w:lang w:eastAsia="fr-FR"/>
                      </w:rPr>
                      <m:t>-2</m:t>
                    </m:r>
                  </m:sup>
                </m:sSup>
                <m:r>
                  <w:rPr>
                    <w:rFonts w:ascii="Cambria Math" w:eastAsiaTheme="minorEastAsia" w:hAnsi="Cambria Math"/>
                    <w:lang w:eastAsia="fr-FR"/>
                  </w:rPr>
                  <m:t>mol</m:t>
                </m:r>
              </m:oMath>
            </m:oMathPara>
          </w:p>
        </w:tc>
      </w:tr>
    </w:tbl>
    <w:p w:rsidR="00F704A7" w:rsidRDefault="00F704A7" w:rsidP="00BE5F7F">
      <w:pPr>
        <w:pStyle w:val="Sansinterligne"/>
        <w:rPr>
          <w:rFonts w:eastAsiaTheme="minorEastAsia"/>
          <w:lang w:eastAsia="fr-FR"/>
        </w:rPr>
      </w:pPr>
    </w:p>
    <w:p w:rsidR="006F3382" w:rsidRDefault="009A7D39" w:rsidP="00BE5F7F">
      <w:pPr>
        <w:pStyle w:val="Sansinterligne"/>
        <w:rPr>
          <w:rFonts w:eastAsiaTheme="minorEastAsia"/>
          <w:lang w:eastAsia="fr-FR"/>
        </w:rPr>
      </w:pPr>
      <w:r>
        <w:rPr>
          <w:rFonts w:eastAsiaTheme="minorEastAsia"/>
          <w:lang w:eastAsia="fr-FR"/>
        </w:rPr>
        <w:t>Donc :</w:t>
      </w:r>
    </w:p>
    <w:p w:rsidR="009A7D39" w:rsidRDefault="009A7D39" w:rsidP="00BE5F7F">
      <w:pPr>
        <w:pStyle w:val="Sansinterligne"/>
        <w:rPr>
          <w:rFonts w:eastAsiaTheme="minorEastAsia"/>
          <w:lang w:eastAsia="fr-FR"/>
        </w:rPr>
      </w:pPr>
      <m:oMathPara>
        <m:oMath>
          <m:r>
            <m:rPr>
              <m:sty m:val="p"/>
            </m:rPr>
            <w:rPr>
              <w:rFonts w:ascii="Cambria Math" w:eastAsiaTheme="minorEastAsia" w:hAnsi="Cambria Math"/>
              <w:lang w:eastAsia="fr-FR"/>
            </w:rPr>
            <m:t>η</m:t>
          </m:r>
          <m:r>
            <w:rPr>
              <w:rFonts w:ascii="Cambria Math" w:eastAsiaTheme="minorEastAsia" w:hAnsi="Cambria Math"/>
              <w:lang w:eastAsia="fr-FR"/>
            </w:rPr>
            <m:t xml:space="preserve">= </m:t>
          </m:r>
          <m:f>
            <m:fPr>
              <m:ctrlPr>
                <w:rPr>
                  <w:rFonts w:ascii="Cambria Math" w:eastAsiaTheme="minorEastAsia" w:hAnsi="Cambria Math"/>
                  <w:i/>
                  <w:lang w:eastAsia="fr-FR"/>
                </w:rPr>
              </m:ctrlPr>
            </m:fPr>
            <m:num>
              <m:sSub>
                <m:sSubPr>
                  <m:ctrlPr>
                    <w:rPr>
                      <w:rFonts w:ascii="Cambria Math" w:eastAsiaTheme="minorEastAsia" w:hAnsi="Cambria Math"/>
                      <w:i/>
                      <w:lang w:eastAsia="fr-FR"/>
                    </w:rPr>
                  </m:ctrlPr>
                </m:sSubPr>
                <m:e>
                  <m:r>
                    <w:rPr>
                      <w:rFonts w:ascii="Cambria Math" w:eastAsiaTheme="minorEastAsia" w:hAnsi="Cambria Math"/>
                      <w:lang w:eastAsia="fr-FR"/>
                    </w:rPr>
                    <m:t>n</m:t>
                  </m:r>
                </m:e>
                <m:sub>
                  <m:r>
                    <w:rPr>
                      <w:rFonts w:ascii="Cambria Math" w:eastAsiaTheme="minorEastAsia" w:hAnsi="Cambria Math"/>
                      <w:lang w:eastAsia="fr-FR"/>
                    </w:rPr>
                    <m:t>p</m:t>
                  </m:r>
                </m:sub>
              </m:sSub>
            </m:num>
            <m:den>
              <m:sSub>
                <m:sSubPr>
                  <m:ctrlPr>
                    <w:rPr>
                      <w:rFonts w:ascii="Cambria Math" w:eastAsiaTheme="minorEastAsia" w:hAnsi="Cambria Math"/>
                      <w:i/>
                      <w:lang w:eastAsia="fr-FR"/>
                    </w:rPr>
                  </m:ctrlPr>
                </m:sSubPr>
                <m:e>
                  <m:r>
                    <w:rPr>
                      <w:rFonts w:ascii="Cambria Math" w:eastAsiaTheme="minorEastAsia" w:hAnsi="Cambria Math"/>
                      <w:lang w:eastAsia="fr-FR"/>
                    </w:rPr>
                    <m:t>n</m:t>
                  </m:r>
                </m:e>
                <m:sub>
                  <m:r>
                    <w:rPr>
                      <w:rFonts w:ascii="Cambria Math" w:eastAsiaTheme="minorEastAsia" w:hAnsi="Cambria Math"/>
                      <w:lang w:eastAsia="fr-FR"/>
                    </w:rPr>
                    <m:t>0</m:t>
                  </m:r>
                </m:sub>
              </m:sSub>
            </m:den>
          </m:f>
          <m:r>
            <w:rPr>
              <w:rFonts w:ascii="Cambria Math" w:eastAsiaTheme="minorEastAsia" w:hAnsi="Cambria Math"/>
              <w:lang w:eastAsia="fr-FR"/>
            </w:rPr>
            <m:t xml:space="preserve"> = </m:t>
          </m:r>
          <m:f>
            <m:fPr>
              <m:ctrlPr>
                <w:rPr>
                  <w:rFonts w:ascii="Cambria Math" w:eastAsiaTheme="minorEastAsia" w:hAnsi="Cambria Math"/>
                  <w:i/>
                  <w:lang w:eastAsia="fr-FR"/>
                </w:rPr>
              </m:ctrlPr>
            </m:fPr>
            <m:num>
              <m:sSub>
                <m:sSubPr>
                  <m:ctrlPr>
                    <w:rPr>
                      <w:rFonts w:ascii="Cambria Math" w:eastAsiaTheme="minorEastAsia" w:hAnsi="Cambria Math"/>
                      <w:i/>
                      <w:lang w:eastAsia="fr-FR"/>
                    </w:rPr>
                  </m:ctrlPr>
                </m:sSubPr>
                <m:e>
                  <m:r>
                    <w:rPr>
                      <w:rFonts w:ascii="Cambria Math" w:eastAsiaTheme="minorEastAsia" w:hAnsi="Cambria Math"/>
                      <w:lang w:eastAsia="fr-FR"/>
                    </w:rPr>
                    <m:t>m</m:t>
                  </m:r>
                </m:e>
                <m:sub>
                  <m:r>
                    <w:rPr>
                      <w:rFonts w:ascii="Cambria Math" w:eastAsiaTheme="minorEastAsia" w:hAnsi="Cambria Math"/>
                      <w:lang w:eastAsia="fr-FR"/>
                    </w:rPr>
                    <m:t>exp</m:t>
                  </m:r>
                </m:sub>
              </m:sSub>
            </m:num>
            <m:den>
              <m:sSub>
                <m:sSubPr>
                  <m:ctrlPr>
                    <w:rPr>
                      <w:rFonts w:ascii="Cambria Math" w:eastAsiaTheme="minorEastAsia" w:hAnsi="Cambria Math"/>
                      <w:i/>
                      <w:lang w:eastAsia="fr-FR"/>
                    </w:rPr>
                  </m:ctrlPr>
                </m:sSubPr>
                <m:e>
                  <m:r>
                    <w:rPr>
                      <w:rFonts w:ascii="Cambria Math" w:eastAsiaTheme="minorEastAsia" w:hAnsi="Cambria Math"/>
                      <w:lang w:eastAsia="fr-FR"/>
                    </w:rPr>
                    <m:t>M</m:t>
                  </m:r>
                </m:e>
                <m:sub>
                  <m:r>
                    <w:rPr>
                      <w:rFonts w:ascii="Cambria Math" w:eastAsiaTheme="minorEastAsia" w:hAnsi="Cambria Math"/>
                      <w:lang w:eastAsia="fr-FR"/>
                    </w:rPr>
                    <m:t>paracétamol</m:t>
                  </m:r>
                </m:sub>
              </m:sSub>
              <m:r>
                <w:rPr>
                  <w:rFonts w:ascii="Cambria Math" w:eastAsiaTheme="minorEastAsia" w:hAnsi="Cambria Math"/>
                  <w:lang w:eastAsia="fr-FR"/>
                </w:rPr>
                <m:t xml:space="preserve"> x </m:t>
              </m:r>
              <m:sSub>
                <m:sSubPr>
                  <m:ctrlPr>
                    <w:rPr>
                      <w:rFonts w:ascii="Cambria Math" w:eastAsiaTheme="minorEastAsia" w:hAnsi="Cambria Math"/>
                      <w:i/>
                      <w:lang w:eastAsia="fr-FR"/>
                    </w:rPr>
                  </m:ctrlPr>
                </m:sSubPr>
                <m:e>
                  <m:r>
                    <w:rPr>
                      <w:rFonts w:ascii="Cambria Math" w:eastAsiaTheme="minorEastAsia" w:hAnsi="Cambria Math"/>
                      <w:lang w:eastAsia="fr-FR"/>
                    </w:rPr>
                    <m:t>n</m:t>
                  </m:r>
                </m:e>
                <m:sub>
                  <m:r>
                    <w:rPr>
                      <w:rFonts w:ascii="Cambria Math" w:eastAsiaTheme="minorEastAsia" w:hAnsi="Cambria Math"/>
                      <w:lang w:eastAsia="fr-FR"/>
                    </w:rPr>
                    <m:t>o</m:t>
                  </m:r>
                </m:sub>
              </m:sSub>
            </m:den>
          </m:f>
          <m:r>
            <w:rPr>
              <w:rFonts w:ascii="Cambria Math" w:eastAsiaTheme="minorEastAsia" w:hAnsi="Cambria Math"/>
              <w:lang w:eastAsia="fr-FR"/>
            </w:rPr>
            <m:t xml:space="preserve"> </m:t>
          </m:r>
        </m:oMath>
      </m:oMathPara>
    </w:p>
    <w:p w:rsidR="00F75763" w:rsidRDefault="00F75763" w:rsidP="00BE5F7F">
      <w:pPr>
        <w:pStyle w:val="Sansinterligne"/>
        <w:rPr>
          <w:rFonts w:eastAsiaTheme="minorEastAsia"/>
          <w:lang w:eastAsia="fr-FR"/>
        </w:rPr>
      </w:pPr>
      <w:r>
        <w:rPr>
          <w:rFonts w:eastAsiaTheme="minorEastAsia"/>
          <w:lang w:eastAsia="fr-FR"/>
        </w:rPr>
        <w:t>En déduire le rendement comme le rapport des masses (sachant qu’un peu de produit aura été prélevé pour la CCM et la température de fusion).</w:t>
      </w:r>
    </w:p>
    <w:p w:rsidR="00D53EA2" w:rsidRDefault="00D53EA2" w:rsidP="00BE5F7F">
      <w:pPr>
        <w:pStyle w:val="Sansinterligne"/>
        <w:rPr>
          <w:rFonts w:eastAsiaTheme="minorEastAsia"/>
          <w:i/>
          <w:iCs/>
          <w:lang w:eastAsia="fr-FR"/>
        </w:rPr>
      </w:pPr>
      <w:r w:rsidRPr="00D53EA2">
        <w:rPr>
          <w:rFonts w:eastAsiaTheme="minorEastAsia"/>
          <w:i/>
          <w:iCs/>
          <w:color w:val="00B0F0"/>
          <w:lang w:eastAsia="fr-FR"/>
        </w:rPr>
        <w:t>Le rendement n’a de sens que sur le produit recristallisé et sec.</w:t>
      </w:r>
    </w:p>
    <w:p w:rsidR="00FF267F" w:rsidRDefault="00FF267F" w:rsidP="00BE5F7F">
      <w:pPr>
        <w:pStyle w:val="Sansinterligne"/>
        <w:rPr>
          <w:rFonts w:eastAsiaTheme="minorEastAsia"/>
          <w:lang w:eastAsia="fr-FR"/>
        </w:rPr>
      </w:pPr>
    </w:p>
    <w:p w:rsidR="00D53EA2" w:rsidRDefault="00D53EA2" w:rsidP="00BE5F7F">
      <w:pPr>
        <w:pStyle w:val="Sansinterligne"/>
        <w:rPr>
          <w:rFonts w:eastAsiaTheme="minorEastAsia"/>
          <w:lang w:eastAsia="fr-FR"/>
        </w:rPr>
      </w:pPr>
      <w:r>
        <w:rPr>
          <w:rFonts w:eastAsiaTheme="minorEastAsia"/>
          <w:lang w:eastAsia="fr-FR"/>
        </w:rPr>
        <w:t>Revenir sur le choix du montage :</w:t>
      </w:r>
    </w:p>
    <w:p w:rsidR="00D53EA2" w:rsidRDefault="00D53EA2" w:rsidP="00D53EA2">
      <w:pPr>
        <w:pStyle w:val="Sansinterligne"/>
        <w:numPr>
          <w:ilvl w:val="0"/>
          <w:numId w:val="29"/>
        </w:numPr>
        <w:rPr>
          <w:rFonts w:eastAsiaTheme="minorEastAsia"/>
          <w:lang w:eastAsia="fr-FR"/>
        </w:rPr>
      </w:pPr>
      <w:r>
        <w:rPr>
          <w:rFonts w:eastAsiaTheme="minorEastAsia"/>
          <w:lang w:eastAsia="fr-FR"/>
        </w:rPr>
        <w:t>Reflux : permet d’éviter les pertes de réactifs, donc amélioration du rendement</w:t>
      </w:r>
    </w:p>
    <w:p w:rsidR="00D53EA2" w:rsidRDefault="00D53EA2" w:rsidP="00D53EA2">
      <w:pPr>
        <w:pStyle w:val="Sansinterligne"/>
        <w:numPr>
          <w:ilvl w:val="0"/>
          <w:numId w:val="29"/>
        </w:numPr>
        <w:rPr>
          <w:rFonts w:eastAsiaTheme="minorEastAsia"/>
          <w:lang w:eastAsia="fr-FR"/>
        </w:rPr>
      </w:pPr>
      <w:r>
        <w:rPr>
          <w:rFonts w:eastAsiaTheme="minorEastAsia"/>
          <w:lang w:eastAsia="fr-FR"/>
        </w:rPr>
        <w:t>Température : amélioration cinétique mais choisie pour ne pas dénaturer ni les réactifs ni les produits</w:t>
      </w:r>
    </w:p>
    <w:p w:rsidR="00D53EA2" w:rsidRPr="00312076" w:rsidRDefault="00D53EA2" w:rsidP="00312076">
      <w:pPr>
        <w:pStyle w:val="Sansinterligne"/>
        <w:numPr>
          <w:ilvl w:val="0"/>
          <w:numId w:val="29"/>
        </w:numPr>
        <w:rPr>
          <w:rFonts w:eastAsiaTheme="minorEastAsia"/>
          <w:lang w:eastAsia="fr-FR"/>
        </w:rPr>
      </w:pPr>
      <w:r>
        <w:rPr>
          <w:rFonts w:eastAsiaTheme="minorEastAsia"/>
          <w:lang w:eastAsia="fr-FR"/>
        </w:rPr>
        <w:t>Durée de la réaction : compromis entre rendement et consommation énergétique</w:t>
      </w:r>
    </w:p>
    <w:p w:rsidR="00D53EA2" w:rsidRPr="00D53EA2" w:rsidRDefault="00D53EA2" w:rsidP="00D53EA2">
      <w:pPr>
        <w:pStyle w:val="Sansinterligne"/>
        <w:rPr>
          <w:rFonts w:eastAsiaTheme="minorEastAsia"/>
          <w:i/>
          <w:iCs/>
          <w:lang w:eastAsia="fr-FR"/>
        </w:rPr>
      </w:pPr>
      <w:r w:rsidRPr="00D53EA2">
        <w:rPr>
          <w:rFonts w:eastAsiaTheme="minorEastAsia"/>
          <w:i/>
          <w:iCs/>
          <w:color w:val="00B0F0"/>
          <w:lang w:eastAsia="fr-FR"/>
        </w:rPr>
        <w:t>Dean-Stark : augmentation du rendement pour des réactions athermiques comme l’estérification</w:t>
      </w:r>
      <w:r>
        <w:rPr>
          <w:rFonts w:eastAsiaTheme="minorEastAsia"/>
          <w:i/>
          <w:iCs/>
          <w:lang w:eastAsia="fr-FR"/>
        </w:rPr>
        <w:t xml:space="preserve"> </w:t>
      </w:r>
    </w:p>
    <w:p w:rsidR="00D53EA2" w:rsidRDefault="00D53EA2" w:rsidP="00BE5F7F">
      <w:pPr>
        <w:pStyle w:val="Sansinterligne"/>
        <w:rPr>
          <w:rFonts w:eastAsiaTheme="minorEastAsia"/>
          <w:i/>
          <w:iCs/>
          <w:lang w:eastAsia="fr-FR"/>
        </w:rPr>
      </w:pPr>
    </w:p>
    <w:p w:rsidR="00D53EA2" w:rsidRPr="003D2915" w:rsidRDefault="003D2915" w:rsidP="007B21F3">
      <w:pPr>
        <w:pStyle w:val="Sansinterligne"/>
        <w:pBdr>
          <w:left w:val="thinThickSmallGap" w:sz="24" w:space="4" w:color="00B050"/>
        </w:pBdr>
        <w:rPr>
          <w:b/>
          <w:bCs/>
          <w:smallCaps/>
          <w:lang w:eastAsia="fr-FR"/>
        </w:rPr>
      </w:pPr>
      <w:r>
        <w:rPr>
          <w:b/>
          <w:bCs/>
          <w:smallCaps/>
          <w:lang w:eastAsia="fr-FR"/>
        </w:rPr>
        <w:t xml:space="preserve">Transition : Lors de cette synthèse, on </w:t>
      </w:r>
      <w:r w:rsidR="007B21F3">
        <w:rPr>
          <w:b/>
          <w:bCs/>
          <w:smallCaps/>
          <w:lang w:eastAsia="fr-FR"/>
        </w:rPr>
        <w:t xml:space="preserve">écrit une réaction entre </w:t>
      </w:r>
      <w:r w:rsidR="00913DE0">
        <w:rPr>
          <w:b/>
          <w:bCs/>
          <w:smallCaps/>
          <w:lang w:eastAsia="fr-FR"/>
        </w:rPr>
        <w:t>le</w:t>
      </w:r>
      <w:r w:rsidR="00312076">
        <w:rPr>
          <w:b/>
          <w:bCs/>
          <w:smallCaps/>
          <w:lang w:eastAsia="fr-FR"/>
        </w:rPr>
        <w:t xml:space="preserve"> groupe amine</w:t>
      </w:r>
      <w:r w:rsidR="007B21F3">
        <w:rPr>
          <w:b/>
          <w:bCs/>
          <w:smallCaps/>
          <w:lang w:eastAsia="fr-FR"/>
        </w:rPr>
        <w:t xml:space="preserve"> et l’anhydride. Cependant, nous aurions également pu écrire une réaction entre l’oxygène d</w:t>
      </w:r>
      <w:r w:rsidR="00312076">
        <w:rPr>
          <w:b/>
          <w:bCs/>
          <w:smallCaps/>
          <w:lang w:eastAsia="fr-FR"/>
        </w:rPr>
        <w:t>e l’hydroxyde</w:t>
      </w:r>
      <w:r w:rsidR="007B21F3">
        <w:rPr>
          <w:b/>
          <w:bCs/>
          <w:smallCaps/>
          <w:lang w:eastAsia="fr-FR"/>
        </w:rPr>
        <w:t xml:space="preserve"> et l’anhydride, ce qui aurait formé un autre produit et aurait diminuer grandement le rendement de la synthèse. Cet effet est ce que l’on appelle la sélectivité d’une réaction, point que nous allons développer par la suite.</w:t>
      </w:r>
    </w:p>
    <w:p w:rsidR="00281EE7" w:rsidRDefault="00281EE7" w:rsidP="00567F55">
      <w:pPr>
        <w:pStyle w:val="Sansinterligne"/>
        <w:rPr>
          <w:u w:val="single"/>
          <w:lang w:eastAsia="fr-FR"/>
        </w:rPr>
      </w:pPr>
    </w:p>
    <w:p w:rsidR="007B21F3" w:rsidRDefault="007B21F3" w:rsidP="007B21F3">
      <w:pPr>
        <w:pStyle w:val="Sansinterligne"/>
        <w:numPr>
          <w:ilvl w:val="0"/>
          <w:numId w:val="32"/>
        </w:numPr>
        <w:rPr>
          <w:b/>
          <w:bCs/>
          <w:u w:val="single"/>
          <w:lang w:eastAsia="fr-FR"/>
        </w:rPr>
      </w:pPr>
      <w:r>
        <w:rPr>
          <w:b/>
          <w:bCs/>
          <w:u w:val="single"/>
          <w:lang w:eastAsia="fr-FR"/>
        </w:rPr>
        <w:t>La sélectivité en synthèse organique</w:t>
      </w:r>
    </w:p>
    <w:p w:rsidR="007B21F3" w:rsidRDefault="007B21F3" w:rsidP="007B21F3">
      <w:pPr>
        <w:pStyle w:val="Sansinterligne"/>
        <w:numPr>
          <w:ilvl w:val="0"/>
          <w:numId w:val="37"/>
        </w:numPr>
        <w:rPr>
          <w:b/>
          <w:bCs/>
          <w:lang w:eastAsia="fr-FR"/>
        </w:rPr>
      </w:pPr>
      <w:r>
        <w:rPr>
          <w:b/>
          <w:bCs/>
          <w:lang w:eastAsia="fr-FR"/>
        </w:rPr>
        <w:t xml:space="preserve">Réactifs </w:t>
      </w:r>
      <w:proofErr w:type="spellStart"/>
      <w:r>
        <w:rPr>
          <w:b/>
          <w:bCs/>
          <w:lang w:eastAsia="fr-FR"/>
        </w:rPr>
        <w:t>chimiosélectifs</w:t>
      </w:r>
      <w:proofErr w:type="spellEnd"/>
      <w:r>
        <w:rPr>
          <w:b/>
          <w:bCs/>
          <w:lang w:eastAsia="fr-FR"/>
        </w:rPr>
        <w:t xml:space="preserve"> et synthèse sélective</w:t>
      </w:r>
    </w:p>
    <w:p w:rsidR="007B21F3" w:rsidRDefault="007B21F3" w:rsidP="007B21F3">
      <w:pPr>
        <w:pStyle w:val="Sansinterligne"/>
        <w:rPr>
          <w:lang w:eastAsia="fr-FR"/>
        </w:rPr>
      </w:pPr>
    </w:p>
    <w:p w:rsidR="0043131D" w:rsidRDefault="00913DE0" w:rsidP="007B21F3">
      <w:pPr>
        <w:pStyle w:val="Sansinterligne"/>
        <w:rPr>
          <w:lang w:eastAsia="fr-FR"/>
        </w:rPr>
      </w:pPr>
      <w:r>
        <w:rPr>
          <w:lang w:eastAsia="fr-FR"/>
        </w:rPr>
        <w:t>[</w:t>
      </w:r>
      <w:r w:rsidR="0043131D">
        <w:rPr>
          <w:lang w:eastAsia="fr-FR"/>
        </w:rPr>
        <w:t>5]p.</w:t>
      </w:r>
      <w:r w:rsidR="00423622">
        <w:rPr>
          <w:lang w:eastAsia="fr-FR"/>
        </w:rPr>
        <w:t>500</w:t>
      </w:r>
      <w:r w:rsidR="0043131D">
        <w:rPr>
          <w:lang w:eastAsia="fr-FR"/>
        </w:rPr>
        <w:t xml:space="preserve"> : </w:t>
      </w:r>
    </w:p>
    <w:p w:rsidR="0043131D" w:rsidRDefault="0043131D" w:rsidP="007B21F3">
      <w:pPr>
        <w:pStyle w:val="Sansinterligne"/>
      </w:pPr>
      <w:r>
        <w:rPr>
          <w:i/>
          <w:iCs/>
          <w:lang w:eastAsia="fr-FR"/>
        </w:rPr>
        <w:t xml:space="preserve">Composé polyfonctionnel : </w:t>
      </w:r>
      <w:r>
        <w:rPr>
          <w:lang w:eastAsia="fr-FR"/>
        </w:rPr>
        <w:t>composé possédant plusieurs groupes caractéristiques.</w:t>
      </w:r>
    </w:p>
    <w:p w:rsidR="00FA437A" w:rsidRPr="00FA437A" w:rsidRDefault="00FA437A" w:rsidP="00FA437A">
      <w:pPr>
        <w:pStyle w:val="Sansinterligne"/>
      </w:pPr>
      <w:r>
        <w:rPr>
          <w:lang w:eastAsia="fr-FR"/>
        </w:rPr>
        <w:t>À faire au tableau : schéma du 4-aminophénol avec les deux groupes caractéristiques.</w:t>
      </w:r>
    </w:p>
    <w:p w:rsidR="00312076" w:rsidRPr="00FA437A" w:rsidRDefault="00312076" w:rsidP="007B21F3">
      <w:pPr>
        <w:pStyle w:val="Sansinterligne"/>
        <w:rPr>
          <w:color w:val="00B0F0"/>
          <w:lang w:eastAsia="fr-FR"/>
        </w:rPr>
      </w:pPr>
    </w:p>
    <w:p w:rsidR="00973284" w:rsidRDefault="00973284" w:rsidP="007B21F3">
      <w:pPr>
        <w:pStyle w:val="Sansinterligne"/>
        <w:rPr>
          <w:i/>
          <w:iCs/>
          <w:lang w:eastAsia="fr-FR"/>
        </w:rPr>
      </w:pPr>
      <w:r>
        <w:rPr>
          <w:lang w:eastAsia="fr-FR"/>
        </w:rPr>
        <w:t xml:space="preserve">Une réaction est </w:t>
      </w:r>
      <w:proofErr w:type="spellStart"/>
      <w:r w:rsidR="00282D3B">
        <w:rPr>
          <w:i/>
          <w:iCs/>
          <w:lang w:eastAsia="fr-FR"/>
        </w:rPr>
        <w:t>chimio</w:t>
      </w:r>
      <w:r>
        <w:rPr>
          <w:i/>
          <w:iCs/>
          <w:lang w:eastAsia="fr-FR"/>
        </w:rPr>
        <w:t>sélective</w:t>
      </w:r>
      <w:proofErr w:type="spellEnd"/>
      <w:r>
        <w:rPr>
          <w:lang w:eastAsia="fr-FR"/>
        </w:rPr>
        <w:t xml:space="preserve"> lorsque, parmi plusieurs « fonctions » (phénol ou a</w:t>
      </w:r>
      <w:r w:rsidR="00312076">
        <w:rPr>
          <w:lang w:eastAsia="fr-FR"/>
        </w:rPr>
        <w:t>mine</w:t>
      </w:r>
      <w:r>
        <w:rPr>
          <w:lang w:eastAsia="fr-FR"/>
        </w:rPr>
        <w:t xml:space="preserve">) d’une même molécule, l’une d’elles réagit préférentiellement avec le réactif considéré. Ce réactif est dit </w:t>
      </w:r>
      <w:proofErr w:type="spellStart"/>
      <w:r>
        <w:rPr>
          <w:i/>
          <w:iCs/>
          <w:lang w:eastAsia="fr-FR"/>
        </w:rPr>
        <w:t>chimiosélectif</w:t>
      </w:r>
      <w:proofErr w:type="spellEnd"/>
      <w:r>
        <w:rPr>
          <w:i/>
          <w:iCs/>
          <w:lang w:eastAsia="fr-FR"/>
        </w:rPr>
        <w:t>.</w:t>
      </w:r>
    </w:p>
    <w:p w:rsidR="00973284" w:rsidRDefault="00973284" w:rsidP="00973284">
      <w:pPr>
        <w:pStyle w:val="Sansinterligne"/>
        <w:numPr>
          <w:ilvl w:val="0"/>
          <w:numId w:val="38"/>
        </w:numPr>
        <w:rPr>
          <w:lang w:eastAsia="fr-FR"/>
        </w:rPr>
      </w:pPr>
      <w:r>
        <w:rPr>
          <w:lang w:eastAsia="fr-FR"/>
        </w:rPr>
        <w:t>Ainsi, dans la synthèse d</w:t>
      </w:r>
      <w:r w:rsidR="00312076">
        <w:rPr>
          <w:lang w:eastAsia="fr-FR"/>
        </w:rPr>
        <w:t>u paracétamol</w:t>
      </w:r>
      <w:r>
        <w:rPr>
          <w:lang w:eastAsia="fr-FR"/>
        </w:rPr>
        <w:t xml:space="preserve">, le réactif </w:t>
      </w:r>
      <w:proofErr w:type="spellStart"/>
      <w:r>
        <w:rPr>
          <w:lang w:eastAsia="fr-FR"/>
        </w:rPr>
        <w:t>chimiosélectif</w:t>
      </w:r>
      <w:proofErr w:type="spellEnd"/>
      <w:r>
        <w:rPr>
          <w:lang w:eastAsia="fr-FR"/>
        </w:rPr>
        <w:t xml:space="preserve"> est l’anhydride acétique.</w:t>
      </w:r>
    </w:p>
    <w:p w:rsidR="00973284" w:rsidRDefault="00973284" w:rsidP="007B21F3">
      <w:pPr>
        <w:pStyle w:val="Sansinterligne"/>
        <w:rPr>
          <w:lang w:eastAsia="fr-FR"/>
        </w:rPr>
      </w:pPr>
    </w:p>
    <w:p w:rsidR="005520AF" w:rsidRDefault="00312076" w:rsidP="007B21F3">
      <w:pPr>
        <w:pStyle w:val="Sansinterligne"/>
        <w:rPr>
          <w:color w:val="7030A0"/>
          <w:lang w:eastAsia="fr-FR"/>
        </w:rPr>
      </w:pPr>
      <w:r>
        <w:rPr>
          <w:color w:val="7030A0"/>
          <w:lang w:eastAsia="fr-FR"/>
        </w:rPr>
        <w:t xml:space="preserve">(Diapo </w:t>
      </w:r>
      <w:r w:rsidR="00FA437A">
        <w:rPr>
          <w:color w:val="7030A0"/>
          <w:lang w:eastAsia="fr-FR"/>
        </w:rPr>
        <w:t>8)</w:t>
      </w:r>
      <w:r>
        <w:rPr>
          <w:color w:val="7030A0"/>
          <w:lang w:eastAsia="fr-FR"/>
        </w:rPr>
        <w:t> : La sélectivité de la synthèse du paracétamol</w:t>
      </w:r>
    </w:p>
    <w:p w:rsidR="00FA437A" w:rsidRPr="00FA437A" w:rsidRDefault="00FA437A" w:rsidP="00FA437A">
      <w:pPr>
        <w:pStyle w:val="Sansinterligne"/>
      </w:pPr>
      <w:r>
        <w:t>Il peut y avoir formation du N-(4-hydroxyphényl)acétamide (paracétamol) ou du 4-aminobenzoate de méthyle (ester)</w:t>
      </w:r>
    </w:p>
    <w:p w:rsidR="00312076" w:rsidRDefault="00312076" w:rsidP="007B21F3">
      <w:pPr>
        <w:pStyle w:val="Sansinterligne"/>
        <w:rPr>
          <w:i/>
          <w:iCs/>
          <w:color w:val="00B0F0"/>
          <w:lang w:eastAsia="fr-FR"/>
        </w:rPr>
      </w:pPr>
    </w:p>
    <w:p w:rsidR="00276CB9" w:rsidRPr="00FA437A" w:rsidRDefault="001013BA" w:rsidP="00FA437A">
      <w:pPr>
        <w:pStyle w:val="Sansinterligne"/>
        <w:rPr>
          <w:color w:val="7030A0"/>
          <w:lang w:eastAsia="fr-FR"/>
        </w:rPr>
      </w:pPr>
      <w:r>
        <w:rPr>
          <w:i/>
          <w:iCs/>
          <w:color w:val="7030A0"/>
          <w:lang w:eastAsia="fr-FR"/>
        </w:rPr>
        <w:t xml:space="preserve">(Diapo </w:t>
      </w:r>
      <w:r w:rsidR="00FA437A">
        <w:rPr>
          <w:i/>
          <w:iCs/>
          <w:color w:val="7030A0"/>
          <w:lang w:eastAsia="fr-FR"/>
        </w:rPr>
        <w:t xml:space="preserve">9) : </w:t>
      </w:r>
      <w:r w:rsidR="00FA437A">
        <w:rPr>
          <w:color w:val="7030A0"/>
          <w:lang w:eastAsia="fr-FR"/>
        </w:rPr>
        <w:t>Spectre analysé du paracétamol (il apparait un groupe hydroxyle qui ne serait pas présente dans le cas de l’autre produit)</w:t>
      </w:r>
    </w:p>
    <w:p w:rsidR="00C536CB" w:rsidRDefault="00FA437A" w:rsidP="007B21F3">
      <w:pPr>
        <w:pStyle w:val="Sansinterligne"/>
        <w:rPr>
          <w:i/>
          <w:iCs/>
          <w:color w:val="00B0F0"/>
          <w:lang w:eastAsia="fr-FR"/>
        </w:rPr>
      </w:pPr>
      <w:r>
        <w:rPr>
          <w:i/>
          <w:iCs/>
          <w:color w:val="00B0F0"/>
          <w:lang w:eastAsia="fr-FR"/>
        </w:rPr>
        <w:t>Les températures de fusion tabulées sont également différentes :</w:t>
      </w:r>
    </w:p>
    <w:p w:rsidR="00FA437A" w:rsidRDefault="00FA437A" w:rsidP="007B21F3">
      <w:pPr>
        <w:pStyle w:val="Sansinterligne"/>
        <w:rPr>
          <w:i/>
          <w:iCs/>
          <w:color w:val="00B0F0"/>
          <w:lang w:eastAsia="fr-FR"/>
        </w:rPr>
      </w:pPr>
      <w:r>
        <w:rPr>
          <w:i/>
          <w:iCs/>
          <w:color w:val="00B0F0"/>
          <w:lang w:eastAsia="fr-FR"/>
        </w:rPr>
        <w:lastRenderedPageBreak/>
        <w:tab/>
        <w:t>171 °C pour le paracétamol</w:t>
      </w:r>
    </w:p>
    <w:p w:rsidR="00FA437A" w:rsidRPr="00FA437A" w:rsidRDefault="00FA437A" w:rsidP="007B21F3">
      <w:pPr>
        <w:pStyle w:val="Sansinterligne"/>
        <w:rPr>
          <w:i/>
          <w:iCs/>
          <w:color w:val="00B0F0"/>
          <w:lang w:eastAsia="fr-FR"/>
        </w:rPr>
      </w:pPr>
      <w:r>
        <w:rPr>
          <w:i/>
          <w:iCs/>
          <w:color w:val="00B0F0"/>
          <w:lang w:eastAsia="fr-FR"/>
        </w:rPr>
        <w:tab/>
        <w:t>112+/- 2 °C pour le 4-aminobenzoate de méthyle</w:t>
      </w:r>
    </w:p>
    <w:p w:rsidR="00522873" w:rsidRDefault="00522873" w:rsidP="007B21F3">
      <w:pPr>
        <w:pStyle w:val="Sansinterligne"/>
        <w:rPr>
          <w:lang w:eastAsia="fr-FR"/>
        </w:rPr>
      </w:pPr>
    </w:p>
    <w:p w:rsidR="0001046D" w:rsidRDefault="0001046D" w:rsidP="007B21F3">
      <w:pPr>
        <w:pStyle w:val="Sansinterligne"/>
        <w:rPr>
          <w:i/>
          <w:iCs/>
          <w:lang w:eastAsia="fr-FR"/>
        </w:rPr>
      </w:pPr>
      <w:r>
        <w:rPr>
          <w:lang w:eastAsia="fr-FR"/>
        </w:rPr>
        <w:t xml:space="preserve">La réaction a lieu préférentiellement entre le groupe amine du 4-aminophénol et le carbone de l’anhydride. Cette synthèse est donc </w:t>
      </w:r>
      <w:proofErr w:type="spellStart"/>
      <w:r>
        <w:rPr>
          <w:lang w:eastAsia="fr-FR"/>
        </w:rPr>
        <w:t>chimiosélective</w:t>
      </w:r>
      <w:proofErr w:type="spellEnd"/>
      <w:r>
        <w:rPr>
          <w:lang w:eastAsia="fr-FR"/>
        </w:rPr>
        <w:t xml:space="preserve"> et l’anhydride est un réactif </w:t>
      </w:r>
      <w:proofErr w:type="spellStart"/>
      <w:r>
        <w:rPr>
          <w:i/>
          <w:iCs/>
          <w:lang w:eastAsia="fr-FR"/>
        </w:rPr>
        <w:t>chimiosélectif</w:t>
      </w:r>
      <w:proofErr w:type="spellEnd"/>
      <w:r>
        <w:rPr>
          <w:i/>
          <w:iCs/>
          <w:lang w:eastAsia="fr-FR"/>
        </w:rPr>
        <w:t>.</w:t>
      </w:r>
    </w:p>
    <w:p w:rsidR="0001046D" w:rsidRPr="0001046D" w:rsidRDefault="0001046D" w:rsidP="007B21F3">
      <w:pPr>
        <w:pStyle w:val="Sansinterligne"/>
        <w:rPr>
          <w:color w:val="7030A0"/>
          <w:lang w:eastAsia="fr-FR"/>
        </w:rPr>
      </w:pPr>
      <w:r>
        <w:rPr>
          <w:lang w:eastAsia="fr-FR"/>
        </w:rPr>
        <w:t xml:space="preserve">Ce caractère dépend des réactifs mis en jeu comme le montre la synthèse de l’aspirine. </w:t>
      </w:r>
      <w:r>
        <w:rPr>
          <w:color w:val="7030A0"/>
          <w:lang w:eastAsia="fr-FR"/>
        </w:rPr>
        <w:t>(Diapo 10)</w:t>
      </w:r>
    </w:p>
    <w:p w:rsidR="005F60DF" w:rsidRDefault="005F60DF" w:rsidP="007B21F3">
      <w:pPr>
        <w:pStyle w:val="Sansinterligne"/>
        <w:rPr>
          <w:lang w:eastAsia="fr-FR"/>
        </w:rPr>
      </w:pPr>
      <w:r>
        <w:rPr>
          <w:lang w:eastAsia="fr-FR"/>
        </w:rPr>
        <w:t xml:space="preserve">Pour s’assurer que la réaction est bel et bien sélective, il est possible de le vérifier </w:t>
      </w:r>
      <w:r w:rsidR="00041BF6">
        <w:rPr>
          <w:lang w:eastAsia="fr-FR"/>
        </w:rPr>
        <w:t>par des méthodes spectroscopiques.</w:t>
      </w:r>
    </w:p>
    <w:p w:rsidR="00041BF6" w:rsidRDefault="00041BF6" w:rsidP="007B21F3">
      <w:pPr>
        <w:pStyle w:val="Sansinterligne"/>
        <w:rPr>
          <w:lang w:eastAsia="fr-FR"/>
        </w:rPr>
      </w:pPr>
    </w:p>
    <w:p w:rsidR="00041BF6" w:rsidRDefault="00041BF6" w:rsidP="00041BF6">
      <w:pPr>
        <w:pStyle w:val="Sansinterligne"/>
        <w:pBdr>
          <w:left w:val="thinThickSmallGap" w:sz="24" w:space="4" w:color="00B050"/>
        </w:pBdr>
        <w:rPr>
          <w:b/>
          <w:bCs/>
          <w:smallCaps/>
          <w:lang w:eastAsia="fr-FR"/>
        </w:rPr>
      </w:pPr>
      <w:r>
        <w:rPr>
          <w:b/>
          <w:bCs/>
          <w:smallCaps/>
          <w:lang w:eastAsia="fr-FR"/>
        </w:rPr>
        <w:t xml:space="preserve">Transition : On a vu qu’un intérêt des réactifs </w:t>
      </w:r>
      <w:proofErr w:type="spellStart"/>
      <w:r>
        <w:rPr>
          <w:b/>
          <w:bCs/>
          <w:smallCaps/>
          <w:lang w:eastAsia="fr-FR"/>
        </w:rPr>
        <w:t>chimiosélectifs</w:t>
      </w:r>
      <w:proofErr w:type="spellEnd"/>
      <w:r>
        <w:rPr>
          <w:b/>
          <w:bCs/>
          <w:smallCaps/>
          <w:lang w:eastAsia="fr-FR"/>
        </w:rPr>
        <w:t xml:space="preserve"> était d’augmenter le rendement d’une synthèse. Mais comment peut-on faire lorsqu’il n’est pas possible d’utiliser un réactif </w:t>
      </w:r>
      <w:proofErr w:type="spellStart"/>
      <w:r>
        <w:rPr>
          <w:b/>
          <w:bCs/>
          <w:smallCaps/>
          <w:lang w:eastAsia="fr-FR"/>
        </w:rPr>
        <w:t>chimiosélectifs</w:t>
      </w:r>
      <w:proofErr w:type="spellEnd"/>
      <w:r>
        <w:rPr>
          <w:b/>
          <w:bCs/>
          <w:smallCaps/>
          <w:lang w:eastAsia="fr-FR"/>
        </w:rPr>
        <w:t> ?</w:t>
      </w:r>
    </w:p>
    <w:p w:rsidR="00041BF6" w:rsidRDefault="00041BF6" w:rsidP="007B21F3">
      <w:pPr>
        <w:pStyle w:val="Sansinterligne"/>
        <w:rPr>
          <w:b/>
          <w:bCs/>
          <w:smallCaps/>
          <w:lang w:eastAsia="fr-FR"/>
        </w:rPr>
      </w:pPr>
    </w:p>
    <w:p w:rsidR="00041BF6" w:rsidRPr="00041BF6" w:rsidRDefault="00041BF6" w:rsidP="007B21F3">
      <w:pPr>
        <w:pStyle w:val="Sansinterligne"/>
        <w:rPr>
          <w:b/>
          <w:bCs/>
          <w:smallCaps/>
          <w:lang w:eastAsia="fr-FR"/>
        </w:rPr>
      </w:pPr>
    </w:p>
    <w:p w:rsidR="00041BF6" w:rsidRDefault="00041BF6" w:rsidP="00462B7C">
      <w:pPr>
        <w:pStyle w:val="Sansinterligne"/>
        <w:numPr>
          <w:ilvl w:val="0"/>
          <w:numId w:val="37"/>
        </w:numPr>
        <w:rPr>
          <w:b/>
          <w:bCs/>
          <w:lang w:eastAsia="fr-FR"/>
        </w:rPr>
      </w:pPr>
      <w:r>
        <w:rPr>
          <w:b/>
          <w:bCs/>
          <w:lang w:eastAsia="fr-FR"/>
        </w:rPr>
        <w:t>Protection de fonction</w:t>
      </w:r>
      <w:r w:rsidR="00D34A2D">
        <w:rPr>
          <w:b/>
          <w:bCs/>
          <w:lang w:eastAsia="fr-FR"/>
        </w:rPr>
        <w:t xml:space="preserve"> – application à la synthèse peptidique</w:t>
      </w:r>
    </w:p>
    <w:p w:rsidR="00D34A2D" w:rsidRDefault="00D34A2D" w:rsidP="00D34A2D">
      <w:pPr>
        <w:pStyle w:val="Sansinterligne"/>
        <w:rPr>
          <w:lang w:eastAsia="fr-FR"/>
        </w:rPr>
      </w:pPr>
      <w:r>
        <w:rPr>
          <w:lang w:eastAsia="fr-FR"/>
        </w:rPr>
        <w:t xml:space="preserve">[5] p. 501 Un </w:t>
      </w:r>
      <w:r>
        <w:rPr>
          <w:i/>
          <w:iCs/>
          <w:lang w:eastAsia="fr-FR"/>
        </w:rPr>
        <w:t xml:space="preserve">groupe protecteur </w:t>
      </w:r>
      <w:r>
        <w:rPr>
          <w:lang w:eastAsia="fr-FR"/>
        </w:rPr>
        <w:t>est un groupe caractéristique, volontairement créé dans la molécule d’un composé polyfonctionnel afin de bloquer la réactivité de l’une de ses fonctions. Cette fonction est temporairement en une autre fonction.</w:t>
      </w:r>
    </w:p>
    <w:p w:rsidR="00D34A2D" w:rsidRDefault="00D34A2D" w:rsidP="00D34A2D">
      <w:pPr>
        <w:pStyle w:val="Sansinterligne"/>
        <w:rPr>
          <w:lang w:eastAsia="fr-FR"/>
        </w:rPr>
      </w:pPr>
    </w:p>
    <w:p w:rsidR="00D34A2D" w:rsidRDefault="00D34A2D" w:rsidP="00D34A2D">
      <w:pPr>
        <w:pStyle w:val="Sansinterligne"/>
        <w:rPr>
          <w:lang w:eastAsia="fr-FR"/>
        </w:rPr>
      </w:pPr>
      <w:r>
        <w:rPr>
          <w:lang w:eastAsia="fr-FR"/>
        </w:rPr>
        <w:t>Exemple à écrire au tableau :</w:t>
      </w:r>
    </w:p>
    <w:p w:rsidR="00D34A2D" w:rsidRDefault="00D34A2D" w:rsidP="00D34A2D">
      <w:pPr>
        <w:pStyle w:val="Sansinterligne"/>
        <w:rPr>
          <w:lang w:eastAsia="fr-FR"/>
        </w:rPr>
      </w:pPr>
      <w:r>
        <w:rPr>
          <w:lang w:eastAsia="fr-FR"/>
        </w:rPr>
        <w:t>[8] p. 523</w:t>
      </w:r>
      <w:r w:rsidR="00C94886">
        <w:rPr>
          <w:lang w:eastAsia="fr-FR"/>
        </w:rPr>
        <w:t xml:space="preserve"> (</w:t>
      </w:r>
      <w:proofErr w:type="spellStart"/>
      <w:r w:rsidR="00C94886">
        <w:rPr>
          <w:lang w:eastAsia="fr-FR"/>
        </w:rPr>
        <w:t>acét</w:t>
      </w:r>
      <w:r w:rsidR="002C7747">
        <w:rPr>
          <w:lang w:eastAsia="fr-FR"/>
        </w:rPr>
        <w:t>a</w:t>
      </w:r>
      <w:r w:rsidR="00C94886">
        <w:rPr>
          <w:lang w:eastAsia="fr-FR"/>
        </w:rPr>
        <w:t>lisation</w:t>
      </w:r>
      <w:proofErr w:type="spellEnd"/>
      <w:r w:rsidR="00C94886">
        <w:rPr>
          <w:lang w:eastAsia="fr-FR"/>
        </w:rPr>
        <w:t xml:space="preserve"> de la propanone (acétone)) </w:t>
      </w:r>
    </w:p>
    <w:p w:rsidR="00D34A2D" w:rsidRDefault="00D34A2D" w:rsidP="00D34A2D">
      <w:pPr>
        <w:pStyle w:val="Sansinterligne"/>
        <w:rPr>
          <w:lang w:eastAsia="fr-FR"/>
        </w:rPr>
      </w:pPr>
    </w:p>
    <w:p w:rsidR="00D34A2D" w:rsidRDefault="00D34A2D" w:rsidP="00D34A2D">
      <w:pPr>
        <w:pStyle w:val="Sansinterligne"/>
        <w:jc w:val="center"/>
        <w:rPr>
          <w:lang w:eastAsia="fr-FR"/>
        </w:rPr>
      </w:pPr>
      <w:r>
        <w:rPr>
          <w:noProof/>
        </w:rPr>
        <w:drawing>
          <wp:inline distT="0" distB="0" distL="0" distR="0" wp14:anchorId="680561CF" wp14:editId="053F9344">
            <wp:extent cx="4429125" cy="10953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125" cy="1095375"/>
                    </a:xfrm>
                    <a:prstGeom prst="rect">
                      <a:avLst/>
                    </a:prstGeom>
                  </pic:spPr>
                </pic:pic>
              </a:graphicData>
            </a:graphic>
          </wp:inline>
        </w:drawing>
      </w:r>
    </w:p>
    <w:p w:rsidR="00D34A2D" w:rsidRPr="00D34A2D" w:rsidRDefault="00D34A2D" w:rsidP="00D34A2D">
      <w:pPr>
        <w:pStyle w:val="Sansinterligne"/>
        <w:rPr>
          <w:lang w:eastAsia="fr-FR"/>
        </w:rPr>
      </w:pPr>
    </w:p>
    <w:p w:rsidR="00462B7C" w:rsidRDefault="00C94886" w:rsidP="00462B7C">
      <w:pPr>
        <w:pStyle w:val="Sansinterligne"/>
        <w:rPr>
          <w:lang w:eastAsia="fr-FR"/>
        </w:rPr>
      </w:pPr>
      <w:r>
        <w:rPr>
          <w:lang w:eastAsia="fr-FR"/>
        </w:rPr>
        <w:t>Ainsi, on a protégé la fonction cétone en modifiant temporairement en une fonction acétal en retirant l’eau au fur et à mesure.</w:t>
      </w:r>
    </w:p>
    <w:p w:rsidR="002C7747" w:rsidRPr="00FF267F" w:rsidRDefault="00C94886" w:rsidP="007B21F3">
      <w:pPr>
        <w:pStyle w:val="Sansinterligne"/>
        <w:rPr>
          <w:i/>
          <w:iCs/>
          <w:color w:val="00B0F0"/>
          <w:lang w:eastAsia="fr-FR"/>
        </w:rPr>
      </w:pPr>
      <w:r w:rsidRPr="00FF267F">
        <w:rPr>
          <w:i/>
          <w:iCs/>
          <w:color w:val="00B0F0"/>
          <w:lang w:eastAsia="fr-FR"/>
        </w:rPr>
        <w:t>Pour rouvrir la fonction acétal, il suffit d’hydrater (en milieu acide) l’acétal</w:t>
      </w:r>
      <w:r w:rsidR="005435AB" w:rsidRPr="00FF267F">
        <w:rPr>
          <w:i/>
          <w:iCs/>
          <w:color w:val="00B0F0"/>
          <w:lang w:eastAsia="fr-FR"/>
        </w:rPr>
        <w:t xml:space="preserve"> suivant le mécanisme suivant </w:t>
      </w:r>
      <w:r w:rsidR="00103E1F" w:rsidRPr="00FF267F">
        <w:rPr>
          <w:i/>
          <w:iCs/>
          <w:color w:val="00B0F0"/>
          <w:lang w:eastAsia="fr-FR"/>
        </w:rPr>
        <w:t>(voir mécanisme joint en image)</w:t>
      </w:r>
    </w:p>
    <w:p w:rsidR="005435AB" w:rsidRDefault="005435AB" w:rsidP="007B21F3">
      <w:pPr>
        <w:pStyle w:val="Sansinterligne"/>
        <w:rPr>
          <w:lang w:eastAsia="fr-FR"/>
        </w:rPr>
      </w:pPr>
    </w:p>
    <w:p w:rsidR="005435AB" w:rsidRDefault="005435AB" w:rsidP="007B21F3">
      <w:pPr>
        <w:pStyle w:val="Sansinterligne"/>
        <w:rPr>
          <w:color w:val="7030A0"/>
          <w:lang w:eastAsia="fr-FR"/>
        </w:rPr>
      </w:pPr>
      <w:r>
        <w:rPr>
          <w:color w:val="7030A0"/>
          <w:lang w:eastAsia="fr-FR"/>
        </w:rPr>
        <w:t>(Diapo 1</w:t>
      </w:r>
      <w:r w:rsidR="0001046D">
        <w:rPr>
          <w:color w:val="7030A0"/>
          <w:lang w:eastAsia="fr-FR"/>
        </w:rPr>
        <w:t>1</w:t>
      </w:r>
      <w:r w:rsidR="00034414">
        <w:rPr>
          <w:color w:val="7030A0"/>
          <w:lang w:eastAsia="fr-FR"/>
        </w:rPr>
        <w:t xml:space="preserve"> et 1</w:t>
      </w:r>
      <w:r w:rsidR="0001046D">
        <w:rPr>
          <w:color w:val="7030A0"/>
          <w:lang w:eastAsia="fr-FR"/>
        </w:rPr>
        <w:t>2</w:t>
      </w:r>
      <w:r>
        <w:rPr>
          <w:color w:val="7030A0"/>
          <w:lang w:eastAsia="fr-FR"/>
        </w:rPr>
        <w:t>) Application à la synthèse peptidique :</w:t>
      </w:r>
    </w:p>
    <w:p w:rsidR="005435AB" w:rsidRDefault="005435AB" w:rsidP="007B21F3">
      <w:pPr>
        <w:pStyle w:val="Sansinterligne"/>
        <w:rPr>
          <w:lang w:eastAsia="fr-FR"/>
        </w:rPr>
      </w:pPr>
      <w:r>
        <w:rPr>
          <w:lang w:eastAsia="fr-FR"/>
        </w:rPr>
        <w:t xml:space="preserve">On considère deux acides α-aminés </w:t>
      </w:r>
      <w:r w:rsidR="00034414">
        <w:rPr>
          <w:lang w:eastAsia="fr-FR"/>
        </w:rPr>
        <w:t xml:space="preserve">(molécules constituées d’une fonction acide carboxylique et une fonction amine en α) </w:t>
      </w:r>
      <w:r>
        <w:rPr>
          <w:lang w:eastAsia="fr-FR"/>
        </w:rPr>
        <w:t>qu’on souhaite faire réagir entre eux.</w:t>
      </w:r>
    </w:p>
    <w:p w:rsidR="00D8117E" w:rsidRDefault="00D8117E" w:rsidP="00D8117E">
      <w:pPr>
        <w:pStyle w:val="Sansinterligne"/>
        <w:jc w:val="center"/>
        <w:rPr>
          <w:lang w:eastAsia="fr-FR"/>
        </w:rPr>
      </w:pPr>
      <w:r>
        <w:rPr>
          <w:noProof/>
        </w:rPr>
        <w:drawing>
          <wp:inline distT="0" distB="0" distL="0" distR="0">
            <wp:extent cx="1438275" cy="10891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346" cy="1090738"/>
                    </a:xfrm>
                    <a:prstGeom prst="rect">
                      <a:avLst/>
                    </a:prstGeom>
                    <a:noFill/>
                    <a:ln>
                      <a:noFill/>
                    </a:ln>
                  </pic:spPr>
                </pic:pic>
              </a:graphicData>
            </a:graphic>
          </wp:inline>
        </w:drawing>
      </w:r>
    </w:p>
    <w:p w:rsidR="005435AB" w:rsidRDefault="005435AB" w:rsidP="007B21F3">
      <w:pPr>
        <w:pStyle w:val="Sansinterligne"/>
        <w:rPr>
          <w:lang w:eastAsia="fr-FR"/>
        </w:rPr>
      </w:pPr>
      <w:r>
        <w:rPr>
          <w:lang w:eastAsia="fr-FR"/>
        </w:rPr>
        <w:tab/>
        <w:t>Sur l’un, on protège la fonction acide carboxylique alors que sur l’autre, on protège la fonction amine, on met les deux réactifs en contact et on déprotège une (ou les deux) fonction(s) sur le dipeptide voire d’un polypeptide : polymères d’acides α-aminés : protéines.</w:t>
      </w:r>
    </w:p>
    <w:p w:rsidR="00BE1299" w:rsidRDefault="005435AB" w:rsidP="00BE1299">
      <w:pPr>
        <w:pStyle w:val="Sansinterligne"/>
        <w:rPr>
          <w:lang w:eastAsia="fr-FR"/>
        </w:rPr>
      </w:pPr>
      <w:r>
        <w:rPr>
          <w:lang w:eastAsia="fr-FR"/>
        </w:rPr>
        <w:tab/>
      </w:r>
    </w:p>
    <w:p w:rsidR="005435AB" w:rsidRPr="00BE1299" w:rsidRDefault="00D8117E" w:rsidP="00BE1299">
      <w:pPr>
        <w:pStyle w:val="Sansinterligne"/>
        <w:ind w:firstLine="708"/>
        <w:rPr>
          <w:lang w:eastAsia="fr-FR"/>
        </w:rPr>
      </w:pPr>
      <w:r>
        <w:rPr>
          <w:i/>
          <w:iCs/>
          <w:color w:val="00B0F0"/>
          <w:lang w:eastAsia="fr-FR"/>
        </w:rPr>
        <w:t xml:space="preserve">Pour protéger les amines, on peut utiliser : le </w:t>
      </w:r>
      <w:proofErr w:type="spellStart"/>
      <w:r>
        <w:rPr>
          <w:i/>
          <w:iCs/>
          <w:color w:val="00B0F0"/>
          <w:lang w:eastAsia="fr-FR"/>
        </w:rPr>
        <w:t>tert-butoxycarbonyle</w:t>
      </w:r>
      <w:proofErr w:type="spellEnd"/>
      <w:r>
        <w:rPr>
          <w:i/>
          <w:iCs/>
          <w:color w:val="00B0F0"/>
          <w:lang w:eastAsia="fr-FR"/>
        </w:rPr>
        <w:t xml:space="preserve"> (</w:t>
      </w:r>
      <w:proofErr w:type="spellStart"/>
      <w:r>
        <w:rPr>
          <w:i/>
          <w:iCs/>
          <w:color w:val="00B0F0"/>
          <w:lang w:eastAsia="fr-FR"/>
        </w:rPr>
        <w:t>déprotection</w:t>
      </w:r>
      <w:proofErr w:type="spellEnd"/>
      <w:r>
        <w:rPr>
          <w:i/>
          <w:iCs/>
          <w:color w:val="00B0F0"/>
          <w:lang w:eastAsia="fr-FR"/>
        </w:rPr>
        <w:t xml:space="preserve"> acide) ou </w:t>
      </w:r>
      <w:hyperlink r:id="rId13" w:tooltip="Fluorénylméthoxycarbonyle" w:history="1">
        <w:proofErr w:type="spellStart"/>
        <w:r w:rsidRPr="00D8117E">
          <w:rPr>
            <w:rStyle w:val="Lienhypertexte"/>
            <w:rFonts w:ascii="Arial" w:hAnsi="Arial" w:cs="Arial"/>
            <w:i/>
            <w:iCs/>
            <w:color w:val="00B0F0"/>
            <w:sz w:val="21"/>
            <w:szCs w:val="21"/>
            <w:shd w:val="clear" w:color="auto" w:fill="FFFFFF"/>
          </w:rPr>
          <w:t>fluorénylméthoxycarbonyle</w:t>
        </w:r>
        <w:proofErr w:type="spellEnd"/>
      </w:hyperlink>
      <w:r w:rsidRPr="00D8117E">
        <w:rPr>
          <w:rFonts w:ascii="Arial" w:hAnsi="Arial" w:cs="Arial"/>
          <w:i/>
          <w:iCs/>
          <w:color w:val="00B0F0"/>
          <w:sz w:val="21"/>
          <w:szCs w:val="21"/>
          <w:shd w:val="clear" w:color="auto" w:fill="FFFFFF"/>
        </w:rPr>
        <w:t> </w:t>
      </w:r>
      <w:r>
        <w:rPr>
          <w:rFonts w:ascii="Arial" w:hAnsi="Arial" w:cs="Arial"/>
          <w:i/>
          <w:iCs/>
          <w:color w:val="00B0F0"/>
          <w:sz w:val="21"/>
          <w:szCs w:val="21"/>
          <w:shd w:val="clear" w:color="auto" w:fill="FFFFFF"/>
        </w:rPr>
        <w:t>(</w:t>
      </w:r>
      <w:proofErr w:type="spellStart"/>
      <w:r>
        <w:rPr>
          <w:rFonts w:ascii="Arial" w:hAnsi="Arial" w:cs="Arial"/>
          <w:i/>
          <w:iCs/>
          <w:color w:val="00B0F0"/>
          <w:sz w:val="21"/>
          <w:szCs w:val="21"/>
          <w:shd w:val="clear" w:color="auto" w:fill="FFFFFF"/>
        </w:rPr>
        <w:t>déprotection</w:t>
      </w:r>
      <w:proofErr w:type="spellEnd"/>
      <w:r>
        <w:rPr>
          <w:rFonts w:ascii="Arial" w:hAnsi="Arial" w:cs="Arial"/>
          <w:i/>
          <w:iCs/>
          <w:color w:val="00B0F0"/>
          <w:sz w:val="21"/>
          <w:szCs w:val="21"/>
          <w:shd w:val="clear" w:color="auto" w:fill="FFFFFF"/>
        </w:rPr>
        <w:t xml:space="preserve"> basique)</w:t>
      </w:r>
    </w:p>
    <w:p w:rsidR="00D8117E" w:rsidRDefault="00D8117E" w:rsidP="007B21F3">
      <w:pPr>
        <w:pStyle w:val="Sansinterligne"/>
        <w:rPr>
          <w:rFonts w:ascii="Arial" w:hAnsi="Arial" w:cs="Arial"/>
          <w:i/>
          <w:iCs/>
          <w:color w:val="00B0F0"/>
          <w:sz w:val="21"/>
          <w:szCs w:val="21"/>
          <w:shd w:val="clear" w:color="auto" w:fill="FFFFFF"/>
        </w:rPr>
      </w:pPr>
    </w:p>
    <w:p w:rsidR="00D8117E" w:rsidRPr="00D8117E" w:rsidRDefault="00D8117E" w:rsidP="007B21F3">
      <w:pPr>
        <w:pStyle w:val="Sansinterligne"/>
        <w:rPr>
          <w:i/>
          <w:iCs/>
          <w:color w:val="00B0F0"/>
          <w:lang w:eastAsia="fr-FR"/>
        </w:rPr>
      </w:pPr>
      <w:r>
        <w:rPr>
          <w:noProof/>
        </w:rPr>
        <w:lastRenderedPageBreak/>
        <w:drawing>
          <wp:inline distT="0" distB="0" distL="0" distR="0" wp14:anchorId="40EE6974" wp14:editId="7F76126B">
            <wp:extent cx="2510387" cy="1000125"/>
            <wp:effectExtent l="0" t="0" r="4445" b="0"/>
            <wp:docPr id="5" name="Image 5" descr="File:Tert-Butoxycarbonyl protected Glycine Structural Formulae V.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Tert-Butoxycarbonyl protected Glycine Structural Formulae V.1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7063" cy="1002785"/>
                    </a:xfrm>
                    <a:prstGeom prst="rect">
                      <a:avLst/>
                    </a:prstGeom>
                    <a:noFill/>
                    <a:ln>
                      <a:noFill/>
                    </a:ln>
                  </pic:spPr>
                </pic:pic>
              </a:graphicData>
            </a:graphic>
          </wp:inline>
        </w:drawing>
      </w:r>
      <w:r>
        <w:rPr>
          <w:i/>
          <w:iCs/>
          <w:color w:val="00B0F0"/>
          <w:lang w:eastAsia="fr-FR"/>
        </w:rPr>
        <w:t xml:space="preserve">                              </w:t>
      </w:r>
      <w:r>
        <w:rPr>
          <w:noProof/>
        </w:rPr>
        <w:drawing>
          <wp:inline distT="0" distB="0" distL="0" distR="0">
            <wp:extent cx="1698625" cy="1019175"/>
            <wp:effectExtent l="0" t="0" r="0" b="9525"/>
            <wp:docPr id="4" name="Image 4" descr="Fluorénylméthoxycarbonyl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orénylméthoxycarbonyle — Wikipédia"/>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794" b="50869"/>
                    <a:stretch/>
                  </pic:blipFill>
                  <pic:spPr bwMode="auto">
                    <a:xfrm>
                      <a:off x="0" y="0"/>
                      <a:ext cx="1698625" cy="1019175"/>
                    </a:xfrm>
                    <a:prstGeom prst="rect">
                      <a:avLst/>
                    </a:prstGeom>
                    <a:noFill/>
                    <a:ln>
                      <a:noFill/>
                    </a:ln>
                    <a:extLst>
                      <a:ext uri="{53640926-AAD7-44D8-BBD7-CCE9431645EC}">
                        <a14:shadowObscured xmlns:a14="http://schemas.microsoft.com/office/drawing/2010/main"/>
                      </a:ext>
                    </a:extLst>
                  </pic:spPr>
                </pic:pic>
              </a:graphicData>
            </a:graphic>
          </wp:inline>
        </w:drawing>
      </w:r>
    </w:p>
    <w:p w:rsidR="005435AB" w:rsidRDefault="005435AB" w:rsidP="007B21F3">
      <w:pPr>
        <w:pStyle w:val="Sansinterligne"/>
        <w:rPr>
          <w:lang w:eastAsia="fr-FR"/>
        </w:rPr>
      </w:pPr>
    </w:p>
    <w:p w:rsidR="005435AB" w:rsidRPr="001A47CE" w:rsidRDefault="001A47CE" w:rsidP="007B21F3">
      <w:pPr>
        <w:pStyle w:val="Sansinterligne"/>
        <w:rPr>
          <w:i/>
          <w:iCs/>
          <w:color w:val="00B0F0"/>
          <w:lang w:eastAsia="fr-FR"/>
        </w:rPr>
      </w:pPr>
      <w:r>
        <w:rPr>
          <w:i/>
          <w:iCs/>
          <w:color w:val="00B0F0"/>
          <w:lang w:eastAsia="fr-FR"/>
        </w:rPr>
        <w:tab/>
        <w:t>Pour protéger l’acide, on peut utiliser un alcool primaire, pour former un ester et on déprotège par saponification.</w:t>
      </w:r>
    </w:p>
    <w:p w:rsidR="00041BF6" w:rsidRDefault="00041BF6" w:rsidP="007B21F3">
      <w:pPr>
        <w:pStyle w:val="Sansinterligne"/>
        <w:rPr>
          <w:lang w:eastAsia="fr-FR"/>
        </w:rPr>
      </w:pPr>
    </w:p>
    <w:p w:rsidR="00041BF6" w:rsidRDefault="001A47CE" w:rsidP="007B21F3">
      <w:pPr>
        <w:pStyle w:val="Sansinterligne"/>
        <w:rPr>
          <w:lang w:eastAsia="fr-FR"/>
        </w:rPr>
      </w:pPr>
      <w:r>
        <w:rPr>
          <w:lang w:eastAsia="fr-FR"/>
        </w:rPr>
        <w:t>Avec deux acides, on peut obtenir plusieurs dipeptides : prenons comme exemple la glycine (</w:t>
      </w:r>
      <w:proofErr w:type="spellStart"/>
      <w:r>
        <w:rPr>
          <w:lang w:eastAsia="fr-FR"/>
        </w:rPr>
        <w:t>gly</w:t>
      </w:r>
      <w:proofErr w:type="spellEnd"/>
      <w:r>
        <w:rPr>
          <w:lang w:eastAsia="fr-FR"/>
        </w:rPr>
        <w:t xml:space="preserve">) et la leucine (leu), on peut dont obtenir leu-leu, </w:t>
      </w:r>
      <w:proofErr w:type="spellStart"/>
      <w:r>
        <w:rPr>
          <w:lang w:eastAsia="fr-FR"/>
        </w:rPr>
        <w:t>gly</w:t>
      </w:r>
      <w:proofErr w:type="spellEnd"/>
      <w:r>
        <w:rPr>
          <w:lang w:eastAsia="fr-FR"/>
        </w:rPr>
        <w:t>-leu, leu-</w:t>
      </w:r>
      <w:proofErr w:type="spellStart"/>
      <w:r>
        <w:rPr>
          <w:lang w:eastAsia="fr-FR"/>
        </w:rPr>
        <w:t>gly</w:t>
      </w:r>
      <w:proofErr w:type="spellEnd"/>
      <w:r>
        <w:rPr>
          <w:lang w:eastAsia="fr-FR"/>
        </w:rPr>
        <w:t xml:space="preserve"> et </w:t>
      </w:r>
      <w:proofErr w:type="spellStart"/>
      <w:r>
        <w:rPr>
          <w:lang w:eastAsia="fr-FR"/>
        </w:rPr>
        <w:t>gly-gly</w:t>
      </w:r>
      <w:proofErr w:type="spellEnd"/>
      <w:r>
        <w:rPr>
          <w:lang w:eastAsia="fr-FR"/>
        </w:rPr>
        <w:t xml:space="preserve"> </w:t>
      </w:r>
    </w:p>
    <w:p w:rsidR="00FA28F7" w:rsidRDefault="00FA28F7" w:rsidP="007B21F3">
      <w:pPr>
        <w:pStyle w:val="Sansinterligne"/>
        <w:rPr>
          <w:b/>
          <w:bCs/>
          <w:color w:val="FF0000"/>
          <w:lang w:eastAsia="fr-FR"/>
        </w:rPr>
      </w:pPr>
      <w:bookmarkStart w:id="2" w:name="_GoBack"/>
      <w:bookmarkEnd w:id="2"/>
    </w:p>
    <w:p w:rsidR="001A47CE" w:rsidRDefault="001A47CE" w:rsidP="007B21F3">
      <w:pPr>
        <w:pStyle w:val="Sansinterligne"/>
        <w:rPr>
          <w:b/>
          <w:bCs/>
          <w:color w:val="FF0000"/>
          <w:lang w:eastAsia="fr-FR"/>
        </w:rPr>
      </w:pPr>
      <w:r>
        <w:rPr>
          <w:b/>
          <w:bCs/>
          <w:color w:val="FF0000"/>
          <w:lang w:eastAsia="fr-FR"/>
        </w:rPr>
        <w:t xml:space="preserve">Conclusion : avant de se lancer dans une synthèse chimique, l’expérimentateur doit absolument réfléchir aux paramètres qui peuvent impacter le rendement de cette synthèse tout en prenant en compte d’autres contraintes extérieures (coût financier, </w:t>
      </w:r>
      <w:r w:rsidR="00C5522B">
        <w:rPr>
          <w:b/>
          <w:bCs/>
          <w:color w:val="FF0000"/>
          <w:lang w:eastAsia="fr-FR"/>
        </w:rPr>
        <w:t xml:space="preserve">toxicité pour l’homme et l’environnement). </w:t>
      </w:r>
    </w:p>
    <w:p w:rsidR="00C5522B" w:rsidRPr="00282D3B" w:rsidRDefault="00C5522B" w:rsidP="007B21F3">
      <w:pPr>
        <w:pStyle w:val="Sansinterligne"/>
        <w:rPr>
          <w:b/>
          <w:bCs/>
          <w:i/>
          <w:iCs/>
          <w:color w:val="00B0F0"/>
          <w:lang w:eastAsia="fr-FR"/>
        </w:rPr>
      </w:pPr>
      <w:r>
        <w:rPr>
          <w:b/>
          <w:bCs/>
          <w:color w:val="FF0000"/>
          <w:lang w:eastAsia="fr-FR"/>
        </w:rPr>
        <w:t xml:space="preserve">Dans la leçon, on a développé la sélectivité liée aux fonctions des molécules, certaines réactions sont également stéréosélectives </w:t>
      </w:r>
      <w:r>
        <w:rPr>
          <w:b/>
          <w:bCs/>
          <w:i/>
          <w:iCs/>
          <w:color w:val="00B0F0"/>
          <w:lang w:eastAsia="fr-FR"/>
        </w:rPr>
        <w:t>(un stéréoisomère est favorisée, c’est le cas par exemple d’une substitution 2 où il y a une inversion de Walden</w:t>
      </w:r>
      <w:r w:rsidR="00BD52A9">
        <w:rPr>
          <w:b/>
          <w:bCs/>
          <w:i/>
          <w:iCs/>
          <w:color w:val="00B0F0"/>
          <w:lang w:eastAsia="fr-FR"/>
        </w:rPr>
        <w:t>, c’est le cas aussi pour la réduction par borohydrure de sodium</w:t>
      </w:r>
      <w:r>
        <w:rPr>
          <w:b/>
          <w:bCs/>
          <w:i/>
          <w:iCs/>
          <w:color w:val="00B0F0"/>
          <w:lang w:eastAsia="fr-FR"/>
        </w:rPr>
        <w:t>)</w:t>
      </w:r>
      <w:r w:rsidR="00282D3B">
        <w:rPr>
          <w:b/>
          <w:bCs/>
          <w:i/>
          <w:iCs/>
          <w:color w:val="00B0F0"/>
          <w:lang w:eastAsia="fr-FR"/>
        </w:rPr>
        <w:t xml:space="preserve"> </w:t>
      </w:r>
      <w:r w:rsidR="00282D3B">
        <w:rPr>
          <w:b/>
          <w:bCs/>
          <w:color w:val="FF0000"/>
          <w:lang w:eastAsia="fr-FR"/>
        </w:rPr>
        <w:t xml:space="preserve">ou régiosélectives </w:t>
      </w:r>
      <w:r w:rsidR="00282D3B">
        <w:rPr>
          <w:b/>
          <w:bCs/>
          <w:i/>
          <w:iCs/>
          <w:color w:val="00B0F0"/>
          <w:lang w:eastAsia="fr-FR"/>
        </w:rPr>
        <w:t>(alcène + eau -&gt; alcool : formation d’un carbocation préférentiellement).</w:t>
      </w:r>
    </w:p>
    <w:p w:rsidR="00FF5594" w:rsidRPr="00BE1299" w:rsidRDefault="00FF5594" w:rsidP="00BE1299">
      <w:pPr>
        <w:pStyle w:val="Sansinterligne"/>
        <w:rPr>
          <w:lang w:eastAsia="fr-FR"/>
        </w:rPr>
      </w:pPr>
    </w:p>
    <w:p w:rsidR="002B344E" w:rsidRDefault="002B344E" w:rsidP="009B3A3E">
      <w:pPr>
        <w:pStyle w:val="Sansinterligne"/>
        <w:rPr>
          <w:u w:val="single"/>
          <w:lang w:eastAsia="fr-FR"/>
        </w:rPr>
      </w:pPr>
      <w:r>
        <w:rPr>
          <w:u w:val="single"/>
          <w:lang w:eastAsia="fr-FR"/>
        </w:rPr>
        <w:t>Commentaires ASB :</w:t>
      </w:r>
    </w:p>
    <w:p w:rsidR="002B344E" w:rsidRDefault="002B344E" w:rsidP="002B344E">
      <w:pPr>
        <w:pStyle w:val="Sansinterligne"/>
        <w:numPr>
          <w:ilvl w:val="0"/>
          <w:numId w:val="29"/>
        </w:numPr>
        <w:rPr>
          <w:lang w:eastAsia="fr-FR"/>
        </w:rPr>
      </w:pPr>
      <w:r>
        <w:rPr>
          <w:lang w:eastAsia="fr-FR"/>
        </w:rPr>
        <w:t>Difficulté : réalisation de toutes les étapes (et ne pas faire de raccourcis)</w:t>
      </w:r>
    </w:p>
    <w:p w:rsidR="002B344E" w:rsidRDefault="002B344E" w:rsidP="002B344E">
      <w:pPr>
        <w:pStyle w:val="Sansinterligne"/>
        <w:numPr>
          <w:ilvl w:val="0"/>
          <w:numId w:val="29"/>
        </w:numPr>
        <w:rPr>
          <w:lang w:eastAsia="fr-FR"/>
        </w:rPr>
      </w:pPr>
      <w:r>
        <w:rPr>
          <w:lang w:eastAsia="fr-FR"/>
        </w:rPr>
        <w:t>Transferts quantitatifs (rincer les choses entre deux pour ne pas perdre en rendement</w:t>
      </w:r>
    </w:p>
    <w:p w:rsidR="002B344E" w:rsidRDefault="002B344E" w:rsidP="002B344E">
      <w:pPr>
        <w:pStyle w:val="Sansinterligne"/>
        <w:numPr>
          <w:ilvl w:val="0"/>
          <w:numId w:val="29"/>
        </w:numPr>
        <w:rPr>
          <w:lang w:eastAsia="fr-FR"/>
        </w:rPr>
      </w:pPr>
      <w:r>
        <w:rPr>
          <w:lang w:eastAsia="fr-FR"/>
        </w:rPr>
        <w:t>Lycée : application d’une recette alors qu’en CPGE : je peux proposer une partie d’un protocole</w:t>
      </w:r>
    </w:p>
    <w:p w:rsidR="002B344E" w:rsidRDefault="002B344E" w:rsidP="002B344E">
      <w:pPr>
        <w:pStyle w:val="Sansinterligne"/>
        <w:numPr>
          <w:ilvl w:val="0"/>
          <w:numId w:val="29"/>
        </w:numPr>
        <w:rPr>
          <w:lang w:eastAsia="fr-FR"/>
        </w:rPr>
      </w:pPr>
      <w:r>
        <w:rPr>
          <w:lang w:eastAsia="fr-FR"/>
        </w:rPr>
        <w:t xml:space="preserve">Choix du catalyseur : il faut en discuter </w:t>
      </w:r>
    </w:p>
    <w:p w:rsidR="002B344E" w:rsidRPr="002B344E" w:rsidRDefault="002B344E" w:rsidP="00BE1299">
      <w:pPr>
        <w:pStyle w:val="Sansinterligne"/>
        <w:numPr>
          <w:ilvl w:val="0"/>
          <w:numId w:val="29"/>
        </w:numPr>
        <w:rPr>
          <w:lang w:eastAsia="fr-FR"/>
        </w:rPr>
      </w:pPr>
      <w:r>
        <w:rPr>
          <w:lang w:eastAsia="fr-FR"/>
        </w:rPr>
        <w:t>Prévoir un tableau récapitulatif (pour revenir sur le cahier des charges)</w:t>
      </w:r>
      <w:r w:rsidR="00C30FCC">
        <w:rPr>
          <w:lang w:eastAsia="fr-FR"/>
        </w:rPr>
        <w:t xml:space="preserve"> (déjà fait)</w:t>
      </w:r>
    </w:p>
    <w:sectPr w:rsidR="002B344E" w:rsidRPr="002B34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B7E" w:rsidRDefault="00207B7E" w:rsidP="00A06968">
      <w:pPr>
        <w:spacing w:after="0" w:line="240" w:lineRule="auto"/>
      </w:pPr>
      <w:r>
        <w:separator/>
      </w:r>
    </w:p>
  </w:endnote>
  <w:endnote w:type="continuationSeparator" w:id="0">
    <w:p w:rsidR="00207B7E" w:rsidRDefault="00207B7E" w:rsidP="00A0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topia-Regular">
    <w:altName w:val="Calibri"/>
    <w:panose1 w:val="00000000000000000000"/>
    <w:charset w:val="00"/>
    <w:family w:val="auto"/>
    <w:notTrueType/>
    <w:pitch w:val="default"/>
    <w:sig w:usb0="00000003" w:usb1="00000000" w:usb2="00000000" w:usb3="00000000" w:csb0="00000001" w:csb1="00000000"/>
  </w:font>
  <w:font w:name="Utopia-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B7E" w:rsidRDefault="00207B7E" w:rsidP="00A06968">
      <w:pPr>
        <w:spacing w:after="0" w:line="240" w:lineRule="auto"/>
      </w:pPr>
      <w:r>
        <w:separator/>
      </w:r>
    </w:p>
  </w:footnote>
  <w:footnote w:type="continuationSeparator" w:id="0">
    <w:p w:rsidR="00207B7E" w:rsidRDefault="00207B7E" w:rsidP="00A06968">
      <w:pPr>
        <w:spacing w:after="0" w:line="240" w:lineRule="auto"/>
      </w:pPr>
      <w:r>
        <w:continuationSeparator/>
      </w:r>
    </w:p>
  </w:footnote>
  <w:footnote w:id="1">
    <w:p w:rsidR="006E77CE" w:rsidRPr="006E77CE" w:rsidRDefault="006E77CE">
      <w:pPr>
        <w:pStyle w:val="Notedebasdepage"/>
      </w:pPr>
      <w:r>
        <w:rPr>
          <w:rStyle w:val="Appelnotedebasdep"/>
        </w:rPr>
        <w:footnoteRef/>
      </w:r>
      <w:r>
        <w:t xml:space="preserve"> L’acide chlorhydrique correspond à une solution de chlorure d’hydrogène (H</w:t>
      </w:r>
      <w:r>
        <w:rPr>
          <w:vertAlign w:val="subscript"/>
        </w:rPr>
        <w:t>3</w:t>
      </w:r>
      <w:r>
        <w:t>O</w:t>
      </w:r>
      <w:r>
        <w:rPr>
          <w:vertAlign w:val="superscript"/>
        </w:rPr>
        <w:t>+</w:t>
      </w:r>
      <w:r>
        <w:t>,Cl</w:t>
      </w:r>
      <w:r>
        <w:rPr>
          <w:vertAlign w:val="superscript"/>
        </w:rPr>
        <w: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2519"/>
    <w:multiLevelType w:val="hybridMultilevel"/>
    <w:tmpl w:val="767A94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82350D"/>
    <w:multiLevelType w:val="hybridMultilevel"/>
    <w:tmpl w:val="FD16F374"/>
    <w:lvl w:ilvl="0" w:tplc="275A00F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A6041F"/>
    <w:multiLevelType w:val="hybridMultilevel"/>
    <w:tmpl w:val="ED1E3DA8"/>
    <w:lvl w:ilvl="0" w:tplc="1DBE47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B92DF1"/>
    <w:multiLevelType w:val="hybridMultilevel"/>
    <w:tmpl w:val="D4AA3E5A"/>
    <w:lvl w:ilvl="0" w:tplc="E7DA3F74">
      <w:start w:val="2"/>
      <w:numFmt w:val="bullet"/>
      <w:lvlText w:val=""/>
      <w:lvlJc w:val="left"/>
      <w:pPr>
        <w:ind w:left="1065" w:hanging="360"/>
      </w:pPr>
      <w:rPr>
        <w:rFonts w:ascii="Wingdings" w:eastAsiaTheme="minorHAnsi" w:hAnsi="Wingdings"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14123841"/>
    <w:multiLevelType w:val="hybridMultilevel"/>
    <w:tmpl w:val="60064510"/>
    <w:lvl w:ilvl="0" w:tplc="5B321E86">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79A1396"/>
    <w:multiLevelType w:val="hybridMultilevel"/>
    <w:tmpl w:val="C200ECA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1D233A"/>
    <w:multiLevelType w:val="hybridMultilevel"/>
    <w:tmpl w:val="37A4D692"/>
    <w:lvl w:ilvl="0" w:tplc="A96037E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0F75D62"/>
    <w:multiLevelType w:val="hybridMultilevel"/>
    <w:tmpl w:val="07D85F76"/>
    <w:lvl w:ilvl="0" w:tplc="8E86138A">
      <w:numFmt w:val="bullet"/>
      <w:lvlText w:val="-"/>
      <w:lvlJc w:val="left"/>
      <w:pPr>
        <w:ind w:left="720" w:hanging="360"/>
      </w:pPr>
      <w:rPr>
        <w:rFonts w:ascii="Calibri" w:eastAsiaTheme="minorHAnsi" w:hAnsi="Calibri" w:cstheme="minorBidi"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EB7C79"/>
    <w:multiLevelType w:val="hybridMultilevel"/>
    <w:tmpl w:val="701EB53A"/>
    <w:lvl w:ilvl="0" w:tplc="7838635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258879A1"/>
    <w:multiLevelType w:val="hybridMultilevel"/>
    <w:tmpl w:val="9AAA0C42"/>
    <w:lvl w:ilvl="0" w:tplc="0E18F1E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28DC3C16"/>
    <w:multiLevelType w:val="hybridMultilevel"/>
    <w:tmpl w:val="07909D92"/>
    <w:lvl w:ilvl="0" w:tplc="10EC841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5802E2"/>
    <w:multiLevelType w:val="hybridMultilevel"/>
    <w:tmpl w:val="0910ED3C"/>
    <w:lvl w:ilvl="0" w:tplc="1708DB9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3023E9"/>
    <w:multiLevelType w:val="hybridMultilevel"/>
    <w:tmpl w:val="7C5EA7BE"/>
    <w:lvl w:ilvl="0" w:tplc="69D471EA">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F104191"/>
    <w:multiLevelType w:val="hybridMultilevel"/>
    <w:tmpl w:val="57A24028"/>
    <w:lvl w:ilvl="0" w:tplc="040C0019">
      <w:start w:val="1"/>
      <w:numFmt w:val="lowerLetter"/>
      <w:lvlText w:val="%1."/>
      <w:lvlJc w:val="left"/>
      <w:pPr>
        <w:ind w:left="1776" w:hanging="360"/>
      </w:pPr>
      <w:rPr>
        <w:rFonts w:hint="default"/>
      </w:r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4" w15:restartNumberingAfterBreak="0">
    <w:nsid w:val="2F737B10"/>
    <w:multiLevelType w:val="hybridMultilevel"/>
    <w:tmpl w:val="A2AAEE9C"/>
    <w:lvl w:ilvl="0" w:tplc="E94ED5EE">
      <w:numFmt w:val="bullet"/>
      <w:lvlText w:val="-"/>
      <w:lvlJc w:val="left"/>
      <w:pPr>
        <w:ind w:left="720" w:hanging="360"/>
      </w:pPr>
      <w:rPr>
        <w:rFonts w:ascii="Calibri" w:eastAsiaTheme="minorHAnsi" w:hAnsi="Calibri"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753ED9"/>
    <w:multiLevelType w:val="hybridMultilevel"/>
    <w:tmpl w:val="172C5A12"/>
    <w:lvl w:ilvl="0" w:tplc="B5AAD51C">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6" w15:restartNumberingAfterBreak="0">
    <w:nsid w:val="38541C28"/>
    <w:multiLevelType w:val="hybridMultilevel"/>
    <w:tmpl w:val="B1823D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BD04B76"/>
    <w:multiLevelType w:val="hybridMultilevel"/>
    <w:tmpl w:val="C74894DE"/>
    <w:lvl w:ilvl="0" w:tplc="7E5ABCF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41A8140A"/>
    <w:multiLevelType w:val="hybridMultilevel"/>
    <w:tmpl w:val="151411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2701421"/>
    <w:multiLevelType w:val="hybridMultilevel"/>
    <w:tmpl w:val="A2785F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2A97ED2"/>
    <w:multiLevelType w:val="hybridMultilevel"/>
    <w:tmpl w:val="27B6B8A4"/>
    <w:lvl w:ilvl="0" w:tplc="7AEAC7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37A5B04"/>
    <w:multiLevelType w:val="hybridMultilevel"/>
    <w:tmpl w:val="D59655F8"/>
    <w:lvl w:ilvl="0" w:tplc="DD5A637A">
      <w:numFmt w:val="bullet"/>
      <w:lvlText w:val="-"/>
      <w:lvlJc w:val="left"/>
      <w:pPr>
        <w:ind w:left="720" w:hanging="360"/>
      </w:pPr>
      <w:rPr>
        <w:rFonts w:ascii="Calibri" w:eastAsiaTheme="minorHAnsi" w:hAnsi="Calibri" w:cstheme="minorBidi"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87A308F"/>
    <w:multiLevelType w:val="hybridMultilevel"/>
    <w:tmpl w:val="0C8E1A9E"/>
    <w:lvl w:ilvl="0" w:tplc="76C62A1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EBC5026"/>
    <w:multiLevelType w:val="hybridMultilevel"/>
    <w:tmpl w:val="8DC433E0"/>
    <w:lvl w:ilvl="0" w:tplc="99C4978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6B095B"/>
    <w:multiLevelType w:val="hybridMultilevel"/>
    <w:tmpl w:val="6F1CF5F6"/>
    <w:lvl w:ilvl="0" w:tplc="26F4E742">
      <w:start w:val="1"/>
      <w:numFmt w:val="lowerLetter"/>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52525782"/>
    <w:multiLevelType w:val="hybridMultilevel"/>
    <w:tmpl w:val="012AFB4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90F68AB"/>
    <w:multiLevelType w:val="hybridMultilevel"/>
    <w:tmpl w:val="2748809A"/>
    <w:lvl w:ilvl="0" w:tplc="3620E98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5A7D3F88"/>
    <w:multiLevelType w:val="hybridMultilevel"/>
    <w:tmpl w:val="83E6B1E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F2A21F1"/>
    <w:multiLevelType w:val="hybridMultilevel"/>
    <w:tmpl w:val="634A9CB2"/>
    <w:lvl w:ilvl="0" w:tplc="C74426A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680F472E"/>
    <w:multiLevelType w:val="hybridMultilevel"/>
    <w:tmpl w:val="51188220"/>
    <w:lvl w:ilvl="0" w:tplc="25D4AF6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695F1D27"/>
    <w:multiLevelType w:val="hybridMultilevel"/>
    <w:tmpl w:val="E9227D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BE614E0"/>
    <w:multiLevelType w:val="hybridMultilevel"/>
    <w:tmpl w:val="3662CFD8"/>
    <w:lvl w:ilvl="0" w:tplc="B6CC634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70C45D42"/>
    <w:multiLevelType w:val="hybridMultilevel"/>
    <w:tmpl w:val="2F286CD6"/>
    <w:lvl w:ilvl="0" w:tplc="B97C59F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15:restartNumberingAfterBreak="0">
    <w:nsid w:val="71DB208E"/>
    <w:multiLevelType w:val="hybridMultilevel"/>
    <w:tmpl w:val="A3D240CA"/>
    <w:lvl w:ilvl="0" w:tplc="D58C14D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70A0E50"/>
    <w:multiLevelType w:val="hybridMultilevel"/>
    <w:tmpl w:val="902A27B6"/>
    <w:lvl w:ilvl="0" w:tplc="4FF616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C214385"/>
    <w:multiLevelType w:val="hybridMultilevel"/>
    <w:tmpl w:val="76D2CF9C"/>
    <w:lvl w:ilvl="0" w:tplc="E5129AB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6" w15:restartNumberingAfterBreak="0">
    <w:nsid w:val="7D092808"/>
    <w:multiLevelType w:val="hybridMultilevel"/>
    <w:tmpl w:val="DD2EEC50"/>
    <w:lvl w:ilvl="0" w:tplc="37E830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FB3493B"/>
    <w:multiLevelType w:val="hybridMultilevel"/>
    <w:tmpl w:val="34CA9DD8"/>
    <w:lvl w:ilvl="0" w:tplc="96D87A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2"/>
  </w:num>
  <w:num w:numId="4">
    <w:abstractNumId w:val="30"/>
  </w:num>
  <w:num w:numId="5">
    <w:abstractNumId w:val="28"/>
  </w:num>
  <w:num w:numId="6">
    <w:abstractNumId w:val="17"/>
  </w:num>
  <w:num w:numId="7">
    <w:abstractNumId w:val="35"/>
  </w:num>
  <w:num w:numId="8">
    <w:abstractNumId w:val="37"/>
  </w:num>
  <w:num w:numId="9">
    <w:abstractNumId w:val="33"/>
  </w:num>
  <w:num w:numId="10">
    <w:abstractNumId w:val="10"/>
  </w:num>
  <w:num w:numId="11">
    <w:abstractNumId w:val="34"/>
  </w:num>
  <w:num w:numId="12">
    <w:abstractNumId w:val="36"/>
  </w:num>
  <w:num w:numId="13">
    <w:abstractNumId w:val="16"/>
  </w:num>
  <w:num w:numId="14">
    <w:abstractNumId w:val="5"/>
  </w:num>
  <w:num w:numId="15">
    <w:abstractNumId w:val="32"/>
  </w:num>
  <w:num w:numId="16">
    <w:abstractNumId w:val="25"/>
  </w:num>
  <w:num w:numId="17">
    <w:abstractNumId w:val="29"/>
  </w:num>
  <w:num w:numId="18">
    <w:abstractNumId w:val="0"/>
  </w:num>
  <w:num w:numId="19">
    <w:abstractNumId w:val="6"/>
  </w:num>
  <w:num w:numId="20">
    <w:abstractNumId w:val="23"/>
  </w:num>
  <w:num w:numId="21">
    <w:abstractNumId w:val="31"/>
  </w:num>
  <w:num w:numId="22">
    <w:abstractNumId w:val="14"/>
  </w:num>
  <w:num w:numId="23">
    <w:abstractNumId w:val="19"/>
  </w:num>
  <w:num w:numId="24">
    <w:abstractNumId w:val="9"/>
  </w:num>
  <w:num w:numId="25">
    <w:abstractNumId w:val="13"/>
  </w:num>
  <w:num w:numId="26">
    <w:abstractNumId w:val="3"/>
  </w:num>
  <w:num w:numId="27">
    <w:abstractNumId w:val="4"/>
  </w:num>
  <w:num w:numId="28">
    <w:abstractNumId w:val="7"/>
  </w:num>
  <w:num w:numId="29">
    <w:abstractNumId w:val="21"/>
  </w:num>
  <w:num w:numId="30">
    <w:abstractNumId w:val="18"/>
  </w:num>
  <w:num w:numId="31">
    <w:abstractNumId w:val="26"/>
  </w:num>
  <w:num w:numId="32">
    <w:abstractNumId w:val="12"/>
  </w:num>
  <w:num w:numId="33">
    <w:abstractNumId w:val="24"/>
  </w:num>
  <w:num w:numId="34">
    <w:abstractNumId w:val="1"/>
  </w:num>
  <w:num w:numId="35">
    <w:abstractNumId w:val="27"/>
  </w:num>
  <w:num w:numId="36">
    <w:abstractNumId w:val="15"/>
  </w:num>
  <w:num w:numId="37">
    <w:abstractNumId w:val="8"/>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CF"/>
    <w:rsid w:val="0001046D"/>
    <w:rsid w:val="00013EF3"/>
    <w:rsid w:val="00024DEC"/>
    <w:rsid w:val="00034414"/>
    <w:rsid w:val="00041BF6"/>
    <w:rsid w:val="00061875"/>
    <w:rsid w:val="00065C19"/>
    <w:rsid w:val="0007304E"/>
    <w:rsid w:val="00081460"/>
    <w:rsid w:val="000939D5"/>
    <w:rsid w:val="00093D37"/>
    <w:rsid w:val="000A3F8B"/>
    <w:rsid w:val="000B6C12"/>
    <w:rsid w:val="000C0D39"/>
    <w:rsid w:val="000D165D"/>
    <w:rsid w:val="000D4731"/>
    <w:rsid w:val="001013BA"/>
    <w:rsid w:val="001037A3"/>
    <w:rsid w:val="00103E1F"/>
    <w:rsid w:val="00104588"/>
    <w:rsid w:val="00122226"/>
    <w:rsid w:val="00131AA1"/>
    <w:rsid w:val="001A41AE"/>
    <w:rsid w:val="001A47CE"/>
    <w:rsid w:val="001A73EF"/>
    <w:rsid w:val="001C2935"/>
    <w:rsid w:val="001C41D7"/>
    <w:rsid w:val="001C7E3E"/>
    <w:rsid w:val="001F7C8C"/>
    <w:rsid w:val="00201AFD"/>
    <w:rsid w:val="00207B7E"/>
    <w:rsid w:val="00243CE4"/>
    <w:rsid w:val="00276575"/>
    <w:rsid w:val="00276CB9"/>
    <w:rsid w:val="00281EE7"/>
    <w:rsid w:val="00282D3B"/>
    <w:rsid w:val="002B0CDC"/>
    <w:rsid w:val="002B344E"/>
    <w:rsid w:val="002B3633"/>
    <w:rsid w:val="002C7747"/>
    <w:rsid w:val="002D7D3A"/>
    <w:rsid w:val="002E3D67"/>
    <w:rsid w:val="002F11EE"/>
    <w:rsid w:val="00303CAD"/>
    <w:rsid w:val="00312076"/>
    <w:rsid w:val="00336811"/>
    <w:rsid w:val="00347B53"/>
    <w:rsid w:val="00353B0E"/>
    <w:rsid w:val="00365F03"/>
    <w:rsid w:val="00372E4B"/>
    <w:rsid w:val="00382EC4"/>
    <w:rsid w:val="00391852"/>
    <w:rsid w:val="00397DD1"/>
    <w:rsid w:val="003A11A8"/>
    <w:rsid w:val="003B626D"/>
    <w:rsid w:val="003D2915"/>
    <w:rsid w:val="00410CBA"/>
    <w:rsid w:val="004214CF"/>
    <w:rsid w:val="00423622"/>
    <w:rsid w:val="00424073"/>
    <w:rsid w:val="00430606"/>
    <w:rsid w:val="0043131D"/>
    <w:rsid w:val="004566A8"/>
    <w:rsid w:val="00460F62"/>
    <w:rsid w:val="0046144E"/>
    <w:rsid w:val="00462B7C"/>
    <w:rsid w:val="004923C1"/>
    <w:rsid w:val="004923CE"/>
    <w:rsid w:val="004A0174"/>
    <w:rsid w:val="004A3E1A"/>
    <w:rsid w:val="004A7863"/>
    <w:rsid w:val="004C0448"/>
    <w:rsid w:val="004D0305"/>
    <w:rsid w:val="004D3FBD"/>
    <w:rsid w:val="004F7224"/>
    <w:rsid w:val="0052245C"/>
    <w:rsid w:val="00522873"/>
    <w:rsid w:val="00523F00"/>
    <w:rsid w:val="005269AD"/>
    <w:rsid w:val="005344D4"/>
    <w:rsid w:val="00541DF8"/>
    <w:rsid w:val="0054320B"/>
    <w:rsid w:val="005435AB"/>
    <w:rsid w:val="005520AF"/>
    <w:rsid w:val="00565EC7"/>
    <w:rsid w:val="00567F55"/>
    <w:rsid w:val="00583083"/>
    <w:rsid w:val="00593906"/>
    <w:rsid w:val="005B6C6D"/>
    <w:rsid w:val="005C2121"/>
    <w:rsid w:val="005D1215"/>
    <w:rsid w:val="005F60DF"/>
    <w:rsid w:val="00615239"/>
    <w:rsid w:val="006365A1"/>
    <w:rsid w:val="00661F5B"/>
    <w:rsid w:val="006873A5"/>
    <w:rsid w:val="00693420"/>
    <w:rsid w:val="006B4A1A"/>
    <w:rsid w:val="006D384C"/>
    <w:rsid w:val="006D67AB"/>
    <w:rsid w:val="006E77CE"/>
    <w:rsid w:val="006F0B13"/>
    <w:rsid w:val="006F3382"/>
    <w:rsid w:val="00702DB7"/>
    <w:rsid w:val="00706389"/>
    <w:rsid w:val="00711E27"/>
    <w:rsid w:val="007226DF"/>
    <w:rsid w:val="00735F1E"/>
    <w:rsid w:val="00750363"/>
    <w:rsid w:val="007512E0"/>
    <w:rsid w:val="0075642B"/>
    <w:rsid w:val="00761A31"/>
    <w:rsid w:val="00767647"/>
    <w:rsid w:val="00777AD5"/>
    <w:rsid w:val="00777E66"/>
    <w:rsid w:val="00795797"/>
    <w:rsid w:val="007A1289"/>
    <w:rsid w:val="007B21F3"/>
    <w:rsid w:val="007D101A"/>
    <w:rsid w:val="007E1EC3"/>
    <w:rsid w:val="007E3221"/>
    <w:rsid w:val="008217A3"/>
    <w:rsid w:val="00825271"/>
    <w:rsid w:val="008616EF"/>
    <w:rsid w:val="00865677"/>
    <w:rsid w:val="00867CE1"/>
    <w:rsid w:val="008978F3"/>
    <w:rsid w:val="008B41E0"/>
    <w:rsid w:val="008F4ADA"/>
    <w:rsid w:val="008F75C7"/>
    <w:rsid w:val="00913DE0"/>
    <w:rsid w:val="00934FED"/>
    <w:rsid w:val="0094221C"/>
    <w:rsid w:val="00947486"/>
    <w:rsid w:val="00955600"/>
    <w:rsid w:val="00957974"/>
    <w:rsid w:val="0096666F"/>
    <w:rsid w:val="0096671B"/>
    <w:rsid w:val="00967F13"/>
    <w:rsid w:val="00973284"/>
    <w:rsid w:val="00977E46"/>
    <w:rsid w:val="009A21F6"/>
    <w:rsid w:val="009A7D39"/>
    <w:rsid w:val="009B3A3E"/>
    <w:rsid w:val="009B6084"/>
    <w:rsid w:val="009C397F"/>
    <w:rsid w:val="009D528F"/>
    <w:rsid w:val="009D5F3A"/>
    <w:rsid w:val="00A0202C"/>
    <w:rsid w:val="00A028B3"/>
    <w:rsid w:val="00A06968"/>
    <w:rsid w:val="00A37009"/>
    <w:rsid w:val="00A73A5C"/>
    <w:rsid w:val="00A83C2D"/>
    <w:rsid w:val="00AB0E25"/>
    <w:rsid w:val="00AB324D"/>
    <w:rsid w:val="00AD1B0F"/>
    <w:rsid w:val="00AE3613"/>
    <w:rsid w:val="00AE6DE8"/>
    <w:rsid w:val="00B170E9"/>
    <w:rsid w:val="00B53226"/>
    <w:rsid w:val="00B54FC9"/>
    <w:rsid w:val="00B563E0"/>
    <w:rsid w:val="00B60143"/>
    <w:rsid w:val="00B67BC0"/>
    <w:rsid w:val="00B72BC5"/>
    <w:rsid w:val="00B73CCD"/>
    <w:rsid w:val="00B86368"/>
    <w:rsid w:val="00BB121A"/>
    <w:rsid w:val="00BC4E24"/>
    <w:rsid w:val="00BD0A9A"/>
    <w:rsid w:val="00BD418D"/>
    <w:rsid w:val="00BD52A9"/>
    <w:rsid w:val="00BE1299"/>
    <w:rsid w:val="00BE5F7F"/>
    <w:rsid w:val="00BF79E2"/>
    <w:rsid w:val="00C219DF"/>
    <w:rsid w:val="00C30FCC"/>
    <w:rsid w:val="00C536CB"/>
    <w:rsid w:val="00C5370A"/>
    <w:rsid w:val="00C5522B"/>
    <w:rsid w:val="00C711C8"/>
    <w:rsid w:val="00C94886"/>
    <w:rsid w:val="00CA31DC"/>
    <w:rsid w:val="00CA60C3"/>
    <w:rsid w:val="00CC112E"/>
    <w:rsid w:val="00CD1BB3"/>
    <w:rsid w:val="00CD5194"/>
    <w:rsid w:val="00CD7D15"/>
    <w:rsid w:val="00CF7603"/>
    <w:rsid w:val="00D24F3E"/>
    <w:rsid w:val="00D27B9C"/>
    <w:rsid w:val="00D34A2D"/>
    <w:rsid w:val="00D34DAF"/>
    <w:rsid w:val="00D45EE5"/>
    <w:rsid w:val="00D47F85"/>
    <w:rsid w:val="00D51752"/>
    <w:rsid w:val="00D53EA2"/>
    <w:rsid w:val="00D56C6A"/>
    <w:rsid w:val="00D71276"/>
    <w:rsid w:val="00D75FCC"/>
    <w:rsid w:val="00D8117E"/>
    <w:rsid w:val="00DB3DBB"/>
    <w:rsid w:val="00DC141B"/>
    <w:rsid w:val="00DC3B55"/>
    <w:rsid w:val="00DC59F6"/>
    <w:rsid w:val="00DE0CE6"/>
    <w:rsid w:val="00DE6DEE"/>
    <w:rsid w:val="00DF39F8"/>
    <w:rsid w:val="00DF4D4E"/>
    <w:rsid w:val="00DF5B97"/>
    <w:rsid w:val="00E041CB"/>
    <w:rsid w:val="00E11454"/>
    <w:rsid w:val="00E52510"/>
    <w:rsid w:val="00E91A36"/>
    <w:rsid w:val="00EA3B03"/>
    <w:rsid w:val="00EB3182"/>
    <w:rsid w:val="00EB3E8F"/>
    <w:rsid w:val="00ED7DF2"/>
    <w:rsid w:val="00EF2337"/>
    <w:rsid w:val="00EF4DC5"/>
    <w:rsid w:val="00F22DE9"/>
    <w:rsid w:val="00F31FF5"/>
    <w:rsid w:val="00F40276"/>
    <w:rsid w:val="00F5318B"/>
    <w:rsid w:val="00F704A7"/>
    <w:rsid w:val="00F75763"/>
    <w:rsid w:val="00FA28F7"/>
    <w:rsid w:val="00FA437A"/>
    <w:rsid w:val="00FB1CFD"/>
    <w:rsid w:val="00FC481E"/>
    <w:rsid w:val="00FC7E11"/>
    <w:rsid w:val="00FD2A5C"/>
    <w:rsid w:val="00FF267F"/>
    <w:rsid w:val="00FF55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6A68"/>
  <w15:chartTrackingRefBased/>
  <w15:docId w15:val="{D8E3876B-50E6-4030-A1A0-717FE0CD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73CCD"/>
    <w:pPr>
      <w:spacing w:after="0" w:line="240" w:lineRule="auto"/>
    </w:pPr>
  </w:style>
  <w:style w:type="paragraph" w:styleId="Notedebasdepage">
    <w:name w:val="footnote text"/>
    <w:basedOn w:val="Normal"/>
    <w:link w:val="NotedebasdepageCar"/>
    <w:uiPriority w:val="99"/>
    <w:semiHidden/>
    <w:unhideWhenUsed/>
    <w:rsid w:val="00A069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06968"/>
    <w:rPr>
      <w:sz w:val="20"/>
      <w:szCs w:val="20"/>
    </w:rPr>
  </w:style>
  <w:style w:type="character" w:styleId="Appelnotedebasdep">
    <w:name w:val="footnote reference"/>
    <w:basedOn w:val="Policepardfaut"/>
    <w:uiPriority w:val="99"/>
    <w:semiHidden/>
    <w:unhideWhenUsed/>
    <w:rsid w:val="00A06968"/>
    <w:rPr>
      <w:vertAlign w:val="superscript"/>
    </w:rPr>
  </w:style>
  <w:style w:type="character" w:styleId="Lienhypertexte">
    <w:name w:val="Hyperlink"/>
    <w:basedOn w:val="Policepardfaut"/>
    <w:uiPriority w:val="99"/>
    <w:unhideWhenUsed/>
    <w:rsid w:val="0096671B"/>
    <w:rPr>
      <w:color w:val="0000FF"/>
      <w:u w:val="single"/>
    </w:rPr>
  </w:style>
  <w:style w:type="paragraph" w:styleId="Paragraphedeliste">
    <w:name w:val="List Paragraph"/>
    <w:basedOn w:val="Normal"/>
    <w:uiPriority w:val="34"/>
    <w:qFormat/>
    <w:rsid w:val="00CD5194"/>
    <w:pPr>
      <w:ind w:left="720"/>
      <w:contextualSpacing/>
    </w:pPr>
  </w:style>
  <w:style w:type="paragraph" w:styleId="En-tte">
    <w:name w:val="header"/>
    <w:basedOn w:val="Normal"/>
    <w:link w:val="En-tteCar"/>
    <w:uiPriority w:val="99"/>
    <w:unhideWhenUsed/>
    <w:rsid w:val="004F7224"/>
    <w:pPr>
      <w:tabs>
        <w:tab w:val="center" w:pos="4536"/>
        <w:tab w:val="right" w:pos="9072"/>
      </w:tabs>
      <w:spacing w:after="0" w:line="240" w:lineRule="auto"/>
    </w:pPr>
  </w:style>
  <w:style w:type="character" w:customStyle="1" w:styleId="En-tteCar">
    <w:name w:val="En-tête Car"/>
    <w:basedOn w:val="Policepardfaut"/>
    <w:link w:val="En-tte"/>
    <w:uiPriority w:val="99"/>
    <w:rsid w:val="004F7224"/>
  </w:style>
  <w:style w:type="paragraph" w:styleId="Pieddepage">
    <w:name w:val="footer"/>
    <w:basedOn w:val="Normal"/>
    <w:link w:val="PieddepageCar"/>
    <w:uiPriority w:val="99"/>
    <w:unhideWhenUsed/>
    <w:rsid w:val="004F72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224"/>
  </w:style>
  <w:style w:type="character" w:styleId="Mentionnonrsolue">
    <w:name w:val="Unresolved Mention"/>
    <w:basedOn w:val="Policepardfaut"/>
    <w:uiPriority w:val="99"/>
    <w:semiHidden/>
    <w:unhideWhenUsed/>
    <w:rsid w:val="00777E66"/>
    <w:rPr>
      <w:color w:val="605E5C"/>
      <w:shd w:val="clear" w:color="auto" w:fill="E1DFDD"/>
    </w:rPr>
  </w:style>
  <w:style w:type="character" w:styleId="Textedelespacerserv">
    <w:name w:val="Placeholder Text"/>
    <w:basedOn w:val="Policepardfaut"/>
    <w:uiPriority w:val="99"/>
    <w:semiHidden/>
    <w:rsid w:val="00F31FF5"/>
    <w:rPr>
      <w:color w:val="808080"/>
    </w:rPr>
  </w:style>
  <w:style w:type="character" w:styleId="Lienhypertextesuivivisit">
    <w:name w:val="FollowedHyperlink"/>
    <w:basedOn w:val="Policepardfaut"/>
    <w:uiPriority w:val="99"/>
    <w:semiHidden/>
    <w:unhideWhenUsed/>
    <w:rsid w:val="00CA31DC"/>
    <w:rPr>
      <w:color w:val="954F72" w:themeColor="followedHyperlink"/>
      <w:u w:val="single"/>
    </w:rPr>
  </w:style>
  <w:style w:type="table" w:styleId="Grilledutableau">
    <w:name w:val="Table Grid"/>
    <w:basedOn w:val="TableauNormal"/>
    <w:uiPriority w:val="39"/>
    <w:rsid w:val="006F3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5231">
      <w:bodyDiv w:val="1"/>
      <w:marLeft w:val="0"/>
      <w:marRight w:val="0"/>
      <w:marTop w:val="0"/>
      <w:marBottom w:val="0"/>
      <w:divBdr>
        <w:top w:val="none" w:sz="0" w:space="0" w:color="auto"/>
        <w:left w:val="none" w:sz="0" w:space="0" w:color="auto"/>
        <w:bottom w:val="none" w:sz="0" w:space="0" w:color="auto"/>
        <w:right w:val="none" w:sz="0" w:space="0" w:color="auto"/>
      </w:divBdr>
    </w:div>
    <w:div w:id="816723639">
      <w:bodyDiv w:val="1"/>
      <w:marLeft w:val="0"/>
      <w:marRight w:val="0"/>
      <w:marTop w:val="0"/>
      <w:marBottom w:val="0"/>
      <w:divBdr>
        <w:top w:val="none" w:sz="0" w:space="0" w:color="auto"/>
        <w:left w:val="none" w:sz="0" w:space="0" w:color="auto"/>
        <w:bottom w:val="none" w:sz="0" w:space="0" w:color="auto"/>
        <w:right w:val="none" w:sz="0" w:space="0" w:color="auto"/>
      </w:divBdr>
    </w:div>
    <w:div w:id="1063872506">
      <w:bodyDiv w:val="1"/>
      <w:marLeft w:val="0"/>
      <w:marRight w:val="0"/>
      <w:marTop w:val="0"/>
      <w:marBottom w:val="0"/>
      <w:divBdr>
        <w:top w:val="none" w:sz="0" w:space="0" w:color="auto"/>
        <w:left w:val="none" w:sz="0" w:space="0" w:color="auto"/>
        <w:bottom w:val="none" w:sz="0" w:space="0" w:color="auto"/>
        <w:right w:val="none" w:sz="0" w:space="0" w:color="auto"/>
      </w:divBdr>
    </w:div>
    <w:div w:id="10700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o.org/dyn/icsc/showcard.listCards3" TargetMode="External"/><Relationship Id="rId13" Type="http://schemas.openxmlformats.org/officeDocument/2006/relationships/hyperlink" Target="https://fr.wikipedia.org/wiki/Fluor%C3%A9nylm%C3%A9thoxycarbony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culturesciences.chimie.ens.fr/content/film-utilisation-du-banc-kofler-pour-mesurer-une-temperature-fusion-933" TargetMode="External"/><Relationship Id="rId4" Type="http://schemas.openxmlformats.org/officeDocument/2006/relationships/settings" Target="settings.xml"/><Relationship Id="rId9" Type="http://schemas.openxmlformats.org/officeDocument/2006/relationships/hyperlink" Target="https://www.sigmaaldrich.com/catalog/substance/138126972711?lang=fr&amp;region=FR"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1ABEB-E9AC-4B38-B5D7-595A06B92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3092</TotalTime>
  <Pages>6</Pages>
  <Words>2066</Words>
  <Characters>11364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BONNEMORT</dc:creator>
  <cp:keywords/>
  <dc:description/>
  <cp:lastModifiedBy>Rémy BONNEMORT</cp:lastModifiedBy>
  <cp:revision>103</cp:revision>
  <dcterms:created xsi:type="dcterms:W3CDTF">2020-03-15T12:13:00Z</dcterms:created>
  <dcterms:modified xsi:type="dcterms:W3CDTF">2020-06-12T14:44:00Z</dcterms:modified>
</cp:coreProperties>
</file>