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8E64D2">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8E64D2">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6</w:t>
                      </w:r>
                    </w:p>
                  </w:txbxContent>
                </v:textbox>
              </v:shape>
            </w:pict>
          </mc:Fallback>
        </mc:AlternateContent>
      </w:r>
      <w:r w:rsidR="00B73CCD">
        <w:tab/>
      </w:r>
      <w:proofErr w:type="spellStart"/>
      <w:r w:rsidR="00B73CCD">
        <w:t>Sép</w:t>
      </w:r>
      <w:proofErr w:type="spellEnd"/>
      <w:r w:rsidR="00B73CCD">
        <w:tab/>
      </w:r>
      <w:r w:rsidR="00B73CCD">
        <w:tab/>
      </w:r>
      <w:r w:rsidR="008E64D2">
        <w:rPr>
          <w:b/>
          <w:bCs/>
          <w:sz w:val="32"/>
          <w:szCs w:val="32"/>
        </w:rPr>
        <w:t>Dosages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6A3F21" w:rsidRDefault="006B4A1A" w:rsidP="006D384C">
      <w:pPr>
        <w:autoSpaceDE w:val="0"/>
        <w:autoSpaceDN w:val="0"/>
        <w:adjustRightInd w:val="0"/>
        <w:spacing w:after="0" w:line="240" w:lineRule="auto"/>
      </w:pPr>
      <w:r w:rsidRPr="00325F0B">
        <w:t xml:space="preserve">[1] </w:t>
      </w:r>
      <w:hyperlink r:id="rId8" w:history="1">
        <w:r w:rsidR="005C5C7D" w:rsidRPr="00325F0B">
          <w:rPr>
            <w:rStyle w:val="Lienhypertexte"/>
          </w:rPr>
          <w:t>https://fr.wikipedia.org/wiki/Affaire_du_talc_Morhange</w:t>
        </w:r>
      </w:hyperlink>
      <w:r w:rsidR="005C5C7D" w:rsidRPr="00325F0B">
        <w:t xml:space="preserve"> (</w:t>
      </w:r>
      <w:r w:rsidR="00325F0B" w:rsidRPr="00325F0B">
        <w:t>Affa</w:t>
      </w:r>
      <w:r w:rsidR="00325F0B">
        <w:t>ire du talc de Morhange)</w:t>
      </w:r>
    </w:p>
    <w:p w:rsidR="00D642E3" w:rsidRDefault="00D642E3" w:rsidP="006D384C">
      <w:pPr>
        <w:autoSpaceDE w:val="0"/>
        <w:autoSpaceDN w:val="0"/>
        <w:adjustRightInd w:val="0"/>
        <w:spacing w:after="0" w:line="240" w:lineRule="auto"/>
      </w:pPr>
      <w:r>
        <w:t xml:space="preserve">[2] </w:t>
      </w:r>
      <w:bookmarkStart w:id="0" w:name="OLE_LINK1"/>
      <w:bookmarkStart w:id="1" w:name="OLE_LINK2"/>
      <w:r w:rsidRPr="00D642E3">
        <w:t>Valéry PRÉVOST, Bernard RICHOUX et al. Physique Chimie, Terminale S enseignement spéciﬁque.Nathan,2012.</w:t>
      </w:r>
      <w:bookmarkEnd w:id="0"/>
      <w:bookmarkEnd w:id="1"/>
    </w:p>
    <w:p w:rsidR="00D642E3" w:rsidRDefault="00D642E3" w:rsidP="006D384C">
      <w:pPr>
        <w:autoSpaceDE w:val="0"/>
        <w:autoSpaceDN w:val="0"/>
        <w:adjustRightInd w:val="0"/>
        <w:spacing w:after="0" w:line="240" w:lineRule="auto"/>
      </w:pPr>
      <w:r>
        <w:t xml:space="preserve">[3] </w:t>
      </w:r>
      <w:r w:rsidRPr="00D642E3">
        <w:t>Valéry PRÉVOST, Bernard RICHOUX et al. Physique Chimie, Terminale S enseignement spéciﬁque.Nathan,201</w:t>
      </w:r>
      <w:r>
        <w:t>7</w:t>
      </w:r>
      <w:r w:rsidRPr="00D642E3">
        <w:t>.</w:t>
      </w:r>
    </w:p>
    <w:p w:rsidR="00D642E3" w:rsidRDefault="00D642E3" w:rsidP="006D384C">
      <w:pPr>
        <w:autoSpaceDE w:val="0"/>
        <w:autoSpaceDN w:val="0"/>
        <w:adjustRightInd w:val="0"/>
        <w:spacing w:after="0" w:line="240" w:lineRule="auto"/>
      </w:pPr>
      <w:r>
        <w:t xml:space="preserve">[4] </w:t>
      </w:r>
      <w:r w:rsidRPr="00D642E3">
        <w:t xml:space="preserve">Mathieu RUFFENACH, </w:t>
      </w:r>
      <w:proofErr w:type="spellStart"/>
      <w:r w:rsidRPr="00D642E3">
        <w:t>Theirry</w:t>
      </w:r>
      <w:proofErr w:type="spellEnd"/>
      <w:r w:rsidRPr="00D642E3">
        <w:t xml:space="preserve"> CARIAT, Valérie MORA et al. Physique Chimie, Terminale S enseignementspéciﬁque.Bordas,2012</w:t>
      </w:r>
    </w:p>
    <w:p w:rsidR="00A744F7" w:rsidRDefault="00A744F7" w:rsidP="006D384C">
      <w:pPr>
        <w:autoSpaceDE w:val="0"/>
        <w:autoSpaceDN w:val="0"/>
        <w:adjustRightInd w:val="0"/>
        <w:spacing w:after="0" w:line="240" w:lineRule="auto"/>
      </w:pPr>
      <w:r>
        <w:t xml:space="preserve">[5] </w:t>
      </w:r>
      <w:r w:rsidRPr="00A744F7">
        <w:t>André DURUPTHY, Thierry DULAURANS et al. Physique Chimie, Terminale S enseignement spéciﬁque.HachetteEducation,2012. ISBN :2011355745.</w:t>
      </w:r>
    </w:p>
    <w:p w:rsidR="009E7162" w:rsidRPr="006A3F21" w:rsidRDefault="009E7162" w:rsidP="006D384C">
      <w:pPr>
        <w:autoSpaceDE w:val="0"/>
        <w:autoSpaceDN w:val="0"/>
        <w:adjustRightInd w:val="0"/>
        <w:spacing w:after="0" w:line="240" w:lineRule="auto"/>
      </w:pPr>
      <w:r>
        <w:t xml:space="preserve">[6] </w:t>
      </w:r>
      <w:r w:rsidRPr="009E7162">
        <w:t>Stanislas ANTCZAK, Jean-François Le MARÉCHAL et al. Physique Chimie, Terminale S enseignementspéciﬁque.Hatier,2012.</w:t>
      </w:r>
    </w:p>
    <w:p w:rsidR="000D165D" w:rsidRPr="00325F0B" w:rsidRDefault="000D165D" w:rsidP="000D165D">
      <w:pPr>
        <w:pBdr>
          <w:bottom w:val="single" w:sz="4" w:space="1" w:color="auto"/>
        </w:pBdr>
        <w:autoSpaceDE w:val="0"/>
        <w:autoSpaceDN w:val="0"/>
        <w:adjustRightInd w:val="0"/>
        <w:spacing w:after="0" w:line="240" w:lineRule="auto"/>
        <w:rPr>
          <w:rFonts w:ascii="Utopia-Regular" w:hAnsi="Utopia-Regular" w:cs="Utopia-Regular"/>
          <w:color w:val="000000"/>
          <w:sz w:val="16"/>
          <w:szCs w:val="16"/>
        </w:rPr>
      </w:pPr>
    </w:p>
    <w:p w:rsidR="00B73CCD" w:rsidRDefault="00B73CCD" w:rsidP="00750363">
      <w:pPr>
        <w:autoSpaceDE w:val="0"/>
        <w:autoSpaceDN w:val="0"/>
        <w:adjustRightInd w:val="0"/>
        <w:spacing w:after="0" w:line="240" w:lineRule="auto"/>
        <w:rPr>
          <w:b/>
          <w:bCs/>
          <w:u w:val="single"/>
        </w:rPr>
      </w:pPr>
      <w:r w:rsidRPr="005D1215">
        <w:rPr>
          <w:b/>
          <w:bCs/>
          <w:u w:val="single"/>
        </w:rPr>
        <w:t>Expériences :</w:t>
      </w:r>
    </w:p>
    <w:p w:rsidR="007C077C" w:rsidRDefault="006A3F21" w:rsidP="007C077C">
      <w:pPr>
        <w:pStyle w:val="Paragraphedeliste"/>
        <w:numPr>
          <w:ilvl w:val="0"/>
          <w:numId w:val="39"/>
        </w:numPr>
        <w:autoSpaceDE w:val="0"/>
        <w:autoSpaceDN w:val="0"/>
        <w:adjustRightInd w:val="0"/>
        <w:spacing w:after="0" w:line="240" w:lineRule="auto"/>
      </w:pPr>
      <w:r>
        <w:t>Dosage du bleu de patenté E 131 dans les schtroumpfs (</w:t>
      </w:r>
      <w:r w:rsidR="00D642E3">
        <w:t xml:space="preserve">[2] </w:t>
      </w:r>
      <w:r>
        <w:t xml:space="preserve">Nathan 2012, </w:t>
      </w:r>
      <w:proofErr w:type="spellStart"/>
      <w:r>
        <w:t>Term</w:t>
      </w:r>
      <w:proofErr w:type="spellEnd"/>
      <w:r>
        <w:t xml:space="preserve"> S – p.111)</w:t>
      </w:r>
    </w:p>
    <w:p w:rsidR="00D642E3" w:rsidRPr="007C077C" w:rsidRDefault="00D642E3" w:rsidP="007C077C">
      <w:pPr>
        <w:pStyle w:val="Paragraphedeliste"/>
        <w:numPr>
          <w:ilvl w:val="0"/>
          <w:numId w:val="39"/>
        </w:numPr>
        <w:autoSpaceDE w:val="0"/>
        <w:autoSpaceDN w:val="0"/>
        <w:adjustRightInd w:val="0"/>
        <w:spacing w:after="0" w:line="240" w:lineRule="auto"/>
      </w:pPr>
      <w:r>
        <w:t xml:space="preserve">Dosage de </w:t>
      </w:r>
      <w:proofErr w:type="spellStart"/>
      <w:r>
        <w:t>NaCl</w:t>
      </w:r>
      <w:proofErr w:type="spellEnd"/>
      <w:r>
        <w:t xml:space="preserve"> dans un sérum physiologique ([4] p.471)</w:t>
      </w:r>
    </w:p>
    <w:p w:rsidR="008E64D2" w:rsidRPr="005D1215" w:rsidRDefault="008E64D2" w:rsidP="00750363">
      <w:pPr>
        <w:autoSpaceDE w:val="0"/>
        <w:autoSpaceDN w:val="0"/>
        <w:adjustRightInd w:val="0"/>
        <w:spacing w:after="0" w:line="240" w:lineRule="auto"/>
        <w:rPr>
          <w:b/>
          <w:bCs/>
          <w:u w:val="single"/>
        </w:rPr>
      </w:pPr>
    </w:p>
    <w:p w:rsidR="00B73CCD" w:rsidRDefault="00B73CCD" w:rsidP="00B65F39">
      <w:pPr>
        <w:pStyle w:val="Sansinterligne"/>
        <w:pBdr>
          <w:top w:val="single" w:sz="4" w:space="1" w:color="auto"/>
        </w:pBdr>
        <w:rPr>
          <w:b/>
          <w:bCs/>
          <w:u w:val="single"/>
        </w:rPr>
      </w:pPr>
      <w:r>
        <w:rPr>
          <w:b/>
          <w:bCs/>
          <w:u w:val="single"/>
        </w:rPr>
        <w:t>Prérequis :</w:t>
      </w:r>
    </w:p>
    <w:p w:rsidR="00B65F39" w:rsidRDefault="00B65F39" w:rsidP="00B65F39">
      <w:pPr>
        <w:pStyle w:val="Sansinterligne"/>
        <w:numPr>
          <w:ilvl w:val="0"/>
          <w:numId w:val="39"/>
        </w:numPr>
      </w:pPr>
      <w:r>
        <w:t>Spectrophotométrie</w:t>
      </w:r>
    </w:p>
    <w:p w:rsidR="00B65F39" w:rsidRDefault="00B65F39" w:rsidP="00B65F39">
      <w:pPr>
        <w:pStyle w:val="Sansinterligne"/>
        <w:numPr>
          <w:ilvl w:val="0"/>
          <w:numId w:val="39"/>
        </w:numPr>
      </w:pPr>
      <w:r>
        <w:t>Dissolution et dilution</w:t>
      </w:r>
    </w:p>
    <w:p w:rsidR="003B10D7" w:rsidRPr="00B65F39" w:rsidRDefault="003B10D7" w:rsidP="003B10D7">
      <w:pPr>
        <w:pStyle w:val="Sansinterligne"/>
        <w:numPr>
          <w:ilvl w:val="0"/>
          <w:numId w:val="39"/>
        </w:numPr>
      </w:pPr>
      <w:r>
        <w:t>Réactions acido-basique (terminale)</w:t>
      </w:r>
    </w:p>
    <w:p w:rsidR="003B10D7" w:rsidRDefault="003B10D7" w:rsidP="003B10D7">
      <w:pPr>
        <w:pStyle w:val="Sansinterligne"/>
        <w:pBdr>
          <w:top w:val="single" w:sz="4" w:space="1" w:color="auto"/>
          <w:bottom w:val="single" w:sz="4" w:space="1" w:color="auto"/>
        </w:pBdr>
        <w:rPr>
          <w:i/>
          <w:iCs/>
        </w:rPr>
      </w:pPr>
      <w:r>
        <w:rPr>
          <w:i/>
          <w:iCs/>
        </w:rPr>
        <w:t>Les dosages par titrage indirect sont hors programme</w:t>
      </w:r>
    </w:p>
    <w:p w:rsidR="00572DC9" w:rsidRDefault="00572DC9" w:rsidP="003B10D7">
      <w:pPr>
        <w:pStyle w:val="Sansinterligne"/>
        <w:pBdr>
          <w:top w:val="single" w:sz="4" w:space="1" w:color="auto"/>
          <w:bottom w:val="single" w:sz="4" w:space="1" w:color="auto"/>
        </w:pBdr>
        <w:rPr>
          <w:i/>
          <w:iCs/>
        </w:rPr>
      </w:pPr>
    </w:p>
    <w:p w:rsidR="00572DC9" w:rsidRPr="00572DC9" w:rsidRDefault="00572DC9" w:rsidP="003B10D7">
      <w:pPr>
        <w:pStyle w:val="Sansinterligne"/>
        <w:pBdr>
          <w:top w:val="single" w:sz="4" w:space="1" w:color="auto"/>
          <w:bottom w:val="single" w:sz="4" w:space="1" w:color="auto"/>
        </w:pBdr>
        <w:rPr>
          <w:smallCaps/>
        </w:rPr>
      </w:pPr>
      <w:r>
        <w:rPr>
          <w:smallCaps/>
        </w:rPr>
        <w:t>Tout au long de cette leçon, il faut insister sur les incertitudes.</w:t>
      </w:r>
    </w:p>
    <w:p w:rsidR="009411DF" w:rsidRDefault="009411DF" w:rsidP="003B10D7">
      <w:pPr>
        <w:pStyle w:val="Sansinterligne"/>
        <w:pBdr>
          <w:top w:val="single" w:sz="4" w:space="1" w:color="auto"/>
          <w:bottom w:val="single" w:sz="4" w:space="1" w:color="auto"/>
        </w:pBdr>
        <w:rPr>
          <w:i/>
          <w:iCs/>
        </w:rPr>
      </w:pPr>
    </w:p>
    <w:p w:rsidR="009411DF" w:rsidRPr="003B10D7" w:rsidRDefault="009411DF" w:rsidP="003B10D7">
      <w:pPr>
        <w:pStyle w:val="Sansinterligne"/>
        <w:pBdr>
          <w:top w:val="single" w:sz="4" w:space="1" w:color="auto"/>
          <w:bottom w:val="single" w:sz="4" w:space="1" w:color="auto"/>
        </w:pBdr>
        <w:rPr>
          <w:i/>
          <w:iCs/>
        </w:rPr>
      </w:pPr>
      <w:r>
        <w:rPr>
          <w:i/>
          <w:iCs/>
        </w:rPr>
        <w:t>La concentration massique du sérum physiologique est de 9 g/L ce qui correspond étant donné une masse molaire de 58,44g/mol à une concentration molaire de 1,54.</w:t>
      </w:r>
      <m:oMath>
        <m:sSup>
          <m:sSupPr>
            <m:ctrlPr>
              <w:rPr>
                <w:rFonts w:ascii="Cambria Math" w:hAnsi="Cambria Math"/>
                <w:i/>
                <w:iCs/>
              </w:rPr>
            </m:ctrlPr>
          </m:sSupPr>
          <m:e>
            <m:r>
              <w:rPr>
                <w:rFonts w:ascii="Cambria Math" w:hAnsi="Cambria Math"/>
              </w:rPr>
              <m:t>10</m:t>
            </m:r>
          </m:e>
          <m:sup>
            <m:r>
              <w:rPr>
                <w:rFonts w:ascii="Cambria Math" w:hAnsi="Cambria Math"/>
              </w:rPr>
              <m:t>-1</m:t>
            </m:r>
          </m:sup>
        </m:sSup>
      </m:oMath>
      <w:r>
        <w:rPr>
          <w:rFonts w:eastAsiaTheme="minorEastAsia"/>
          <w:i/>
          <w:iCs/>
        </w:rPr>
        <w:t>mol/L.</w:t>
      </w:r>
      <w:r>
        <w:rPr>
          <w:i/>
          <w:iCs/>
        </w:rPr>
        <w:t xml:space="preserve"> </w:t>
      </w:r>
    </w:p>
    <w:p w:rsidR="008E64D2" w:rsidRDefault="008E64D2" w:rsidP="008E64D2">
      <w:pPr>
        <w:pStyle w:val="Sansinterligne"/>
      </w:pPr>
    </w:p>
    <w:p w:rsidR="008E64D2" w:rsidRPr="00424DAA" w:rsidRDefault="007C077C" w:rsidP="008E64D2">
      <w:pPr>
        <w:pStyle w:val="Sansinterligne"/>
        <w:rPr>
          <w:b/>
          <w:bCs/>
          <w:color w:val="7030A0"/>
        </w:rPr>
      </w:pPr>
      <w:r>
        <w:rPr>
          <w:b/>
          <w:bCs/>
        </w:rPr>
        <w:t>Introduction :</w:t>
      </w:r>
      <w:r w:rsidR="00424DAA">
        <w:rPr>
          <w:b/>
          <w:bCs/>
        </w:rPr>
        <w:t xml:space="preserve"> </w:t>
      </w:r>
      <w:r w:rsidR="00424DAA">
        <w:rPr>
          <w:b/>
          <w:bCs/>
          <w:color w:val="7030A0"/>
        </w:rPr>
        <w:t>(Diapo introductive)</w:t>
      </w:r>
    </w:p>
    <w:p w:rsidR="005C5C7D" w:rsidRDefault="007C077C" w:rsidP="008E64D2">
      <w:pPr>
        <w:pStyle w:val="Sansinterligne"/>
      </w:pPr>
      <w:r>
        <w:tab/>
        <w:t>Les produits chimiques nous entourent au quotidien. Ils sont présents dans notre alimentation (colorants, agents texturants, odeurs, …), dans les médicaments (aspirine, paracétamol, sérum physiologique, …), les produits d’entretiens (eau de Javel, …)</w:t>
      </w:r>
      <w:r w:rsidR="00784621">
        <w:t>, les cosmétiques..</w:t>
      </w:r>
      <w:r>
        <w:t xml:space="preserve">. Tout comme il existe des recommandations sur les limites dans notre consommation alimentaire (il est par exemple recommandé de consommer </w:t>
      </w:r>
      <w:r w:rsidR="00DE7CAB">
        <w:t>2700 kcal par jour (Apports Nutritionnels Conseillés) pour un homme âgé entre 20 et 40 ans), il existe des doses maximales à respecter sur notre contact avec les produits chimiques de notre entourage.</w:t>
      </w:r>
      <w:r w:rsidR="005E75F4">
        <w:t xml:space="preserve"> Afin de déterminer, la quantité avec laquelle nous en sommes en contact, il est important que ce qui est mentionné sur les étiquettes soit contrôlé </w:t>
      </w:r>
      <w:r w:rsidR="005C5C7D">
        <w:t xml:space="preserve">et que des contrôles réguliers soient effectués. </w:t>
      </w:r>
    </w:p>
    <w:p w:rsidR="005C5C7D" w:rsidRDefault="005C5C7D" w:rsidP="008E64D2">
      <w:pPr>
        <w:pStyle w:val="Sansinterligne"/>
      </w:pPr>
      <w:r>
        <w:tab/>
      </w:r>
      <w:r w:rsidR="00325F0B">
        <w:t xml:space="preserve">[1] </w:t>
      </w:r>
      <w:r>
        <w:t xml:space="preserve">En effet, </w:t>
      </w:r>
      <w:r w:rsidR="00784621">
        <w:t>une trop forte concentration d’un constituant chimique peut entrainer des problèmes de santé, maladies voire la mort. On peut citer, par exemple, l’affaire du ta</w:t>
      </w:r>
      <w:r w:rsidR="009D61B1">
        <w:t>l</w:t>
      </w:r>
      <w:r w:rsidR="00784621">
        <w:t xml:space="preserve">c de </w:t>
      </w:r>
      <w:proofErr w:type="spellStart"/>
      <w:r w:rsidR="00784621">
        <w:t>Mohrange</w:t>
      </w:r>
      <w:proofErr w:type="spellEnd"/>
      <w:r w:rsidR="00784621">
        <w:t xml:space="preserve">, </w:t>
      </w:r>
      <w:r w:rsidR="009D61B1">
        <w:t>qui</w:t>
      </w:r>
      <w:r w:rsidR="00784621">
        <w:t xml:space="preserve"> a entrainé la mort de 36 enfants et en intoxiquer plus de 160 autres</w:t>
      </w:r>
      <w:r w:rsidR="009D61B1">
        <w:t xml:space="preserve"> </w:t>
      </w:r>
      <w:r w:rsidR="009D61B1">
        <w:t>à cause d’une trop forte concentration en hexachlorophène (bactéricide puissant) dans le talc</w:t>
      </w:r>
      <w:r w:rsidR="00784621">
        <w:t>.</w:t>
      </w:r>
      <w:r w:rsidR="00B760BB">
        <w:t xml:space="preserve"> Un autre exemple est lié à l’affaire de la salmonelle (bactéries) dans le lait</w:t>
      </w:r>
      <w:r w:rsidR="008A42ED">
        <w:t xml:space="preserve"> qui date de 2017. </w:t>
      </w:r>
    </w:p>
    <w:p w:rsidR="007F30DC" w:rsidRDefault="007F30DC" w:rsidP="008E64D2">
      <w:pPr>
        <w:pStyle w:val="Sansinterligne"/>
      </w:pPr>
      <w:r>
        <w:tab/>
      </w:r>
    </w:p>
    <w:p w:rsidR="007F30DC" w:rsidRDefault="007F30DC" w:rsidP="008E64D2">
      <w:pPr>
        <w:pStyle w:val="Sansinterligne"/>
        <w:rPr>
          <w:i/>
          <w:iCs/>
        </w:rPr>
      </w:pPr>
      <w:r>
        <w:lastRenderedPageBreak/>
        <w:tab/>
        <w:t xml:space="preserve">Dans cette leçon, nous allons étudier la méthode qui permet aux chimistes de déterminer les concentrations de certaines substances. Ce procédé s’appelle un </w:t>
      </w:r>
      <w:r>
        <w:rPr>
          <w:i/>
          <w:iCs/>
        </w:rPr>
        <w:t>dosage.</w:t>
      </w:r>
    </w:p>
    <w:p w:rsidR="007F30DC" w:rsidRDefault="007F30DC" w:rsidP="008E64D2">
      <w:pPr>
        <w:pStyle w:val="Sansinterligne"/>
        <w:rPr>
          <w:i/>
          <w:iCs/>
        </w:rPr>
      </w:pPr>
    </w:p>
    <w:p w:rsidR="007F30DC" w:rsidRPr="007F30DC" w:rsidRDefault="007F30DC" w:rsidP="007F30DC">
      <w:pPr>
        <w:pStyle w:val="Sansinterligne"/>
        <w:pBdr>
          <w:left w:val="single" w:sz="4" w:space="4" w:color="auto"/>
        </w:pBdr>
      </w:pPr>
      <w:r>
        <w:rPr>
          <w:i/>
          <w:iCs/>
        </w:rPr>
        <w:t xml:space="preserve">Dosage : </w:t>
      </w:r>
      <w:r>
        <w:t>méthode permettant de déterminer la concentration d’une espèce chimique ou la quantité de matière de cette espèce contenue dans un échantillon.</w:t>
      </w:r>
    </w:p>
    <w:p w:rsidR="007F30DC" w:rsidRDefault="007F30DC" w:rsidP="00EF4DC5">
      <w:pPr>
        <w:pStyle w:val="Sansinterligne"/>
        <w:rPr>
          <w:i/>
          <w:iCs/>
        </w:rPr>
      </w:pPr>
    </w:p>
    <w:p w:rsidR="007F30DC" w:rsidRDefault="007F30DC" w:rsidP="007F30DC">
      <w:pPr>
        <w:pStyle w:val="Sansinterligne"/>
        <w:numPr>
          <w:ilvl w:val="0"/>
          <w:numId w:val="40"/>
        </w:numPr>
        <w:rPr>
          <w:b/>
          <w:bCs/>
          <w:u w:val="single"/>
        </w:rPr>
      </w:pPr>
      <w:r>
        <w:rPr>
          <w:b/>
          <w:bCs/>
          <w:u w:val="single"/>
        </w:rPr>
        <w:t>Dosages par étalonnage</w:t>
      </w:r>
    </w:p>
    <w:p w:rsidR="007F30DC" w:rsidRDefault="007F30DC" w:rsidP="007F30DC">
      <w:pPr>
        <w:pStyle w:val="Sansinterligne"/>
        <w:numPr>
          <w:ilvl w:val="0"/>
          <w:numId w:val="41"/>
        </w:numPr>
        <w:rPr>
          <w:b/>
          <w:bCs/>
        </w:rPr>
      </w:pPr>
      <w:r>
        <w:rPr>
          <w:b/>
          <w:bCs/>
        </w:rPr>
        <w:t xml:space="preserve">Principe </w:t>
      </w:r>
    </w:p>
    <w:p w:rsidR="007F30DC" w:rsidRDefault="00B65F39" w:rsidP="008563F1">
      <w:pPr>
        <w:pStyle w:val="Sansinterligne"/>
        <w:ind w:firstLine="708"/>
      </w:pPr>
      <w:r>
        <w:t xml:space="preserve">De façon générique, le dosage par étalonnage consiste en la réalisation d’une échelle d’une grandeur physique qui évolue de façon connue avec la concentration. </w:t>
      </w:r>
    </w:p>
    <w:p w:rsidR="00B65F39" w:rsidRDefault="00B65F39" w:rsidP="007F30DC">
      <w:pPr>
        <w:pStyle w:val="Sansinterligne"/>
      </w:pPr>
    </w:p>
    <w:p w:rsidR="00B65F39" w:rsidRDefault="00B65F39" w:rsidP="00B65F39">
      <w:pPr>
        <w:pStyle w:val="Sansinterligne"/>
        <w:numPr>
          <w:ilvl w:val="0"/>
          <w:numId w:val="41"/>
        </w:numPr>
        <w:rPr>
          <w:b/>
          <w:bCs/>
        </w:rPr>
      </w:pPr>
      <w:r>
        <w:rPr>
          <w:b/>
          <w:bCs/>
        </w:rPr>
        <w:t>Dosage spectrophotométrique</w:t>
      </w:r>
    </w:p>
    <w:p w:rsidR="00B65F39" w:rsidRDefault="00B65F39" w:rsidP="00B65F39">
      <w:pPr>
        <w:pStyle w:val="Sansinterligne"/>
        <w:ind w:firstLine="708"/>
        <w:rPr>
          <w:rFonts w:eastAsiaTheme="minorEastAsia"/>
        </w:rPr>
      </w:pPr>
      <w:r>
        <w:t>On a vu au cours de la leçon sur la spectrophotométrie que l’absorbance d’une solution est liée à la concentration de cette dernière par la loi de Beer-Lambert</w:t>
      </w:r>
      <w:r w:rsidR="005D475F">
        <w:rPr>
          <w:rStyle w:val="Appelnotedebasdep"/>
        </w:rPr>
        <w:footnoteReference w:id="1"/>
      </w:r>
      <w:r>
        <w:t xml:space="preserve"> : </w:t>
      </w:r>
      <m:oMath>
        <m:r>
          <w:rPr>
            <w:rFonts w:ascii="Cambria Math" w:hAnsi="Cambria Math"/>
          </w:rPr>
          <m:t xml:space="preserve">A = </m:t>
        </m:r>
        <m:r>
          <m:rPr>
            <m:sty m:val="p"/>
          </m:rPr>
          <w:rPr>
            <w:rFonts w:ascii="Cambria Math" w:hAnsi="Cambria Math"/>
          </w:rPr>
          <m:t>ε</m:t>
        </m:r>
        <m:r>
          <w:rPr>
            <w:rFonts w:ascii="Cambria Math" w:hAnsi="Cambria Math"/>
          </w:rPr>
          <m:t>lc</m:t>
        </m:r>
      </m:oMath>
      <w:r>
        <w:rPr>
          <w:rFonts w:eastAsiaTheme="minorEastAsia"/>
        </w:rPr>
        <w:t xml:space="preserve"> où </w:t>
      </w:r>
      <m:oMath>
        <m:r>
          <m:rPr>
            <m:sty m:val="p"/>
          </m:rPr>
          <w:rPr>
            <w:rFonts w:ascii="Cambria Math" w:eastAsiaTheme="minorEastAsia" w:hAnsi="Cambria Math"/>
          </w:rPr>
          <m:t>ε</m:t>
        </m:r>
      </m:oMath>
      <w:r>
        <w:rPr>
          <w:rFonts w:eastAsiaTheme="minorEastAsia"/>
        </w:rPr>
        <w:t xml:space="preserve"> est le coefficient d’absorption molaire, </w:t>
      </w:r>
      <m:oMath>
        <m:r>
          <w:rPr>
            <w:rFonts w:ascii="Cambria Math" w:eastAsiaTheme="minorEastAsia" w:hAnsi="Cambria Math"/>
          </w:rPr>
          <m:t>l</m:t>
        </m:r>
      </m:oMath>
      <w:r>
        <w:rPr>
          <w:rFonts w:eastAsiaTheme="minorEastAsia"/>
        </w:rPr>
        <w:t xml:space="preserve"> la longueur de la cuve et </w:t>
      </w:r>
      <m:oMath>
        <m:r>
          <w:rPr>
            <w:rFonts w:ascii="Cambria Math" w:eastAsiaTheme="minorEastAsia" w:hAnsi="Cambria Math"/>
          </w:rPr>
          <m:t>c</m:t>
        </m:r>
      </m:oMath>
      <w:r>
        <w:rPr>
          <w:rFonts w:eastAsiaTheme="minorEastAsia"/>
        </w:rPr>
        <w:t xml:space="preserve"> la concentration en l’espèce considérée.</w:t>
      </w:r>
    </w:p>
    <w:p w:rsidR="005D475F" w:rsidRDefault="005D475F" w:rsidP="00B65F39">
      <w:pPr>
        <w:pStyle w:val="Sansinterligne"/>
        <w:ind w:firstLine="708"/>
        <w:rPr>
          <w:rFonts w:eastAsiaTheme="minorEastAsia"/>
          <w:i/>
          <w:iCs/>
          <w:color w:val="00B0F0"/>
        </w:rPr>
      </w:pPr>
      <w:r>
        <w:rPr>
          <w:rFonts w:eastAsiaTheme="minorEastAsia"/>
          <w:i/>
          <w:iCs/>
          <w:color w:val="00B0F0"/>
        </w:rPr>
        <w:t>Loi applicable pour une solution</w:t>
      </w:r>
      <w:r w:rsidR="00201BBC">
        <w:rPr>
          <w:rFonts w:eastAsiaTheme="minorEastAsia"/>
          <w:i/>
          <w:iCs/>
          <w:color w:val="00B0F0"/>
        </w:rPr>
        <w:t xml:space="preserve"> homogène,</w:t>
      </w:r>
      <w:r>
        <w:rPr>
          <w:rFonts w:eastAsiaTheme="minorEastAsia"/>
          <w:i/>
          <w:iCs/>
          <w:color w:val="00B0F0"/>
        </w:rPr>
        <w:t xml:space="preserve"> pas trop concentrée (pas de formation d’agrégats), il ne faut pas que la solution soit photosensible</w:t>
      </w:r>
      <w:r w:rsidR="00201BBC">
        <w:rPr>
          <w:rFonts w:eastAsiaTheme="minorEastAsia"/>
          <w:i/>
          <w:iCs/>
          <w:color w:val="00B0F0"/>
        </w:rPr>
        <w:t xml:space="preserve"> et on utilise une lumière monochromatique (ou presque ce qui fait la précision de l’appareil).</w:t>
      </w:r>
      <w:r>
        <w:rPr>
          <w:rFonts w:eastAsiaTheme="minorEastAsia"/>
          <w:i/>
          <w:iCs/>
          <w:color w:val="00B0F0"/>
        </w:rPr>
        <w:t xml:space="preserve"> </w:t>
      </w:r>
    </w:p>
    <w:p w:rsidR="00201BBC" w:rsidRPr="005D475F" w:rsidRDefault="00201BBC" w:rsidP="00B65F39">
      <w:pPr>
        <w:pStyle w:val="Sansinterligne"/>
        <w:ind w:firstLine="708"/>
        <w:rPr>
          <w:rFonts w:eastAsiaTheme="minorEastAsia"/>
          <w:i/>
          <w:iCs/>
          <w:color w:val="00B0F0"/>
        </w:rPr>
      </w:pPr>
      <w:r>
        <w:rPr>
          <w:rFonts w:eastAsiaTheme="minorEastAsia"/>
          <w:i/>
          <w:iCs/>
          <w:color w:val="00B0F0"/>
        </w:rPr>
        <w:t xml:space="preserve">Cette loi est applicable pour tous types de rayonnement lumineux mais aussi pour décrire l’absorption </w:t>
      </w:r>
      <w:r w:rsidR="00F47A2A">
        <w:rPr>
          <w:rFonts w:eastAsiaTheme="minorEastAsia"/>
          <w:i/>
          <w:iCs/>
          <w:color w:val="00B0F0"/>
        </w:rPr>
        <w:t>de tout rayonnement (photons, neutrons, particules α…) par la matière condensée.</w:t>
      </w:r>
    </w:p>
    <w:p w:rsidR="00B65F39" w:rsidRDefault="00B65F39" w:rsidP="00B65F39">
      <w:pPr>
        <w:pStyle w:val="Sansinterligne"/>
        <w:rPr>
          <w:rFonts w:eastAsiaTheme="minorEastAsia"/>
        </w:rPr>
      </w:pPr>
      <w:r>
        <w:rPr>
          <w:rFonts w:eastAsiaTheme="minorEastAsia"/>
        </w:rPr>
        <w:tab/>
        <w:t>Ainsi en comparant les absorbances de différentes solutions, on peut remonter à la concentration d’une solution contenant l’espèce mais en une concentration inconnue.</w:t>
      </w:r>
    </w:p>
    <w:p w:rsidR="00B65F39" w:rsidRDefault="00B65F39" w:rsidP="00B65F39">
      <w:pPr>
        <w:pStyle w:val="Sansinterligne"/>
        <w:rPr>
          <w:rFonts w:eastAsiaTheme="minorEastAsia"/>
        </w:rPr>
      </w:pPr>
      <w:r>
        <w:rPr>
          <w:rFonts w:eastAsiaTheme="minorEastAsia"/>
        </w:rPr>
        <w:tab/>
        <w:t xml:space="preserve">Pour ce faire, nous devons tracer une </w:t>
      </w:r>
      <w:r>
        <w:rPr>
          <w:rFonts w:eastAsiaTheme="minorEastAsia"/>
          <w:i/>
          <w:iCs/>
        </w:rPr>
        <w:t xml:space="preserve">courbe d’étalonnage </w:t>
      </w:r>
      <w:r>
        <w:rPr>
          <w:rFonts w:eastAsiaTheme="minorEastAsia"/>
        </w:rPr>
        <w:t>ici A en fonction de c.</w:t>
      </w:r>
    </w:p>
    <w:p w:rsidR="00B65F39" w:rsidRDefault="00B65F39" w:rsidP="00B65F39">
      <w:pPr>
        <w:pStyle w:val="Sansinterligne"/>
        <w:rPr>
          <w:rFonts w:eastAsiaTheme="minorEastAsia"/>
        </w:rPr>
      </w:pPr>
    </w:p>
    <w:p w:rsidR="00B65F39" w:rsidRDefault="00B65F39" w:rsidP="00B65F39">
      <w:pPr>
        <w:pStyle w:val="Sansinterligne"/>
        <w:ind w:firstLine="708"/>
        <w:rPr>
          <w:rFonts w:eastAsiaTheme="minorEastAsia"/>
        </w:rPr>
      </w:pPr>
      <w:r>
        <w:rPr>
          <w:rFonts w:eastAsiaTheme="minorEastAsia"/>
        </w:rPr>
        <w:t>Mise en contexte : sur un sachet de bonbons, on remarque la présence d’un colorant alimentaire le bleu de patenté (on pourrait le vérifier à l’aide d’un spectre UV-Visible) mais pas le but de la leçon.</w:t>
      </w:r>
    </w:p>
    <w:p w:rsidR="00B65F39" w:rsidRDefault="00B65F39" w:rsidP="00B65F39">
      <w:pPr>
        <w:pStyle w:val="Sansinterligne"/>
        <w:ind w:firstLine="708"/>
        <w:rPr>
          <w:rFonts w:eastAsiaTheme="minorEastAsia"/>
        </w:rPr>
      </w:pPr>
      <w:r>
        <w:rPr>
          <w:rFonts w:eastAsiaTheme="minorEastAsia"/>
        </w:rPr>
        <w:t>On souhaite connaitre la quantité de bleu de patenté contenue dans un échantillon de bonbons.</w:t>
      </w:r>
    </w:p>
    <w:p w:rsidR="00B65F39" w:rsidRDefault="00B65F39" w:rsidP="009E6E05">
      <w:pPr>
        <w:pStyle w:val="Sansinterligne"/>
        <w:rPr>
          <w:rFonts w:eastAsiaTheme="minorEastAsia"/>
        </w:rPr>
      </w:pPr>
    </w:p>
    <w:p w:rsidR="009E6E05" w:rsidRDefault="009E6E05" w:rsidP="00290459">
      <w:pPr>
        <w:pStyle w:val="Sansinterligne"/>
        <w:pBdr>
          <w:left w:val="thinThickSmallGap" w:sz="24" w:space="4" w:color="FFC000"/>
        </w:pBdr>
        <w:rPr>
          <w:rFonts w:eastAsiaTheme="minorEastAsia"/>
          <w:u w:val="single"/>
        </w:rPr>
      </w:pPr>
      <w:r>
        <w:rPr>
          <w:rFonts w:eastAsiaTheme="minorEastAsia"/>
          <w:u w:val="single"/>
        </w:rPr>
        <w:t>Dosage du bleu de patenté dans les bonbons :</w:t>
      </w:r>
    </w:p>
    <w:p w:rsidR="009E6E05" w:rsidRDefault="009E6E05" w:rsidP="00290459">
      <w:pPr>
        <w:pStyle w:val="Sansinterligne"/>
        <w:pBdr>
          <w:left w:val="thinThickSmallGap" w:sz="24" w:space="4" w:color="FFC000"/>
        </w:pBdr>
        <w:rPr>
          <w:rFonts w:eastAsiaTheme="minorEastAsia"/>
          <w:i/>
          <w:iCs/>
        </w:rPr>
      </w:pPr>
      <w:r>
        <w:rPr>
          <w:rFonts w:eastAsiaTheme="minorEastAsia"/>
        </w:rPr>
        <w:tab/>
      </w:r>
      <w:r>
        <w:rPr>
          <w:rFonts w:eastAsiaTheme="minorEastAsia"/>
          <w:i/>
          <w:iCs/>
        </w:rPr>
        <w:t>En préparation, tracer le spectre de la solution mère afin de repérer le maximum d’absorption et de s’y placer pour la suite des mesures (courbe d’étalonnage).</w:t>
      </w:r>
    </w:p>
    <w:p w:rsidR="009E6E05" w:rsidRDefault="009E6E05" w:rsidP="00290459">
      <w:pPr>
        <w:pStyle w:val="Sansinterligne"/>
        <w:pBdr>
          <w:left w:val="thinThickSmallGap" w:sz="24" w:space="4" w:color="FFC000"/>
        </w:pBdr>
        <w:rPr>
          <w:rFonts w:eastAsiaTheme="minorEastAsia"/>
          <w:i/>
          <w:iCs/>
        </w:rPr>
      </w:pPr>
      <w:r>
        <w:rPr>
          <w:rFonts w:eastAsiaTheme="minorEastAsia"/>
          <w:i/>
          <w:iCs/>
        </w:rPr>
        <w:tab/>
        <w:t>Faire le blanc avant le début de la leçon avec de l’eau distillée</w:t>
      </w:r>
    </w:p>
    <w:p w:rsidR="009E6E05" w:rsidRDefault="009E6E05" w:rsidP="00290459">
      <w:pPr>
        <w:pStyle w:val="Sansinterligne"/>
        <w:pBdr>
          <w:left w:val="thinThickSmallGap" w:sz="24" w:space="4" w:color="FFC000"/>
        </w:pBdr>
        <w:rPr>
          <w:rFonts w:eastAsiaTheme="minorEastAsia"/>
        </w:rPr>
      </w:pPr>
      <w:r>
        <w:rPr>
          <w:rFonts w:eastAsiaTheme="minorEastAsia"/>
          <w:i/>
          <w:iCs/>
        </w:rPr>
        <w:tab/>
      </w:r>
      <w:r>
        <w:rPr>
          <w:rFonts w:eastAsiaTheme="minorEastAsia"/>
        </w:rPr>
        <w:t>Faire une dilution face au jury : solution 3 ou 4 (peu importe)</w:t>
      </w:r>
    </w:p>
    <w:p w:rsidR="008563F1" w:rsidRDefault="008563F1" w:rsidP="00290459">
      <w:pPr>
        <w:pStyle w:val="Sansinterligne"/>
        <w:pBdr>
          <w:left w:val="thinThickSmallGap" w:sz="24" w:space="4" w:color="FFC000"/>
        </w:pBdr>
        <w:rPr>
          <w:rFonts w:eastAsiaTheme="minorEastAsia"/>
        </w:rPr>
      </w:pPr>
      <w:r>
        <w:rPr>
          <w:rFonts w:eastAsiaTheme="minorEastAsia"/>
        </w:rPr>
        <w:tab/>
        <w:t xml:space="preserve">Détermination de la concentration avec incertitudes </w:t>
      </w:r>
    </w:p>
    <w:p w:rsidR="008563F1" w:rsidRPr="009E6E05" w:rsidRDefault="008563F1" w:rsidP="00290459">
      <w:pPr>
        <w:pStyle w:val="Sansinterligne"/>
        <w:pBdr>
          <w:left w:val="thinThickSmallGap" w:sz="24" w:space="4" w:color="FFC000"/>
        </w:pBdr>
        <w:rPr>
          <w:rFonts w:eastAsiaTheme="minorEastAsia"/>
        </w:rPr>
      </w:pPr>
      <w:r>
        <w:rPr>
          <w:rFonts w:eastAsiaTheme="minorEastAsia"/>
        </w:rPr>
        <w:tab/>
        <w:t>Comparaison avec la dose journalière admissible de 2.5 mg/kg/jour</w:t>
      </w:r>
    </w:p>
    <w:p w:rsidR="008A42ED" w:rsidRDefault="008A42ED" w:rsidP="008A42ED">
      <w:pPr>
        <w:pStyle w:val="Sansinterligne"/>
        <w:rPr>
          <w:rFonts w:eastAsiaTheme="minorEastAsia"/>
        </w:rPr>
      </w:pPr>
    </w:p>
    <w:p w:rsidR="00937013" w:rsidRDefault="00937013" w:rsidP="00937013">
      <w:pPr>
        <w:pStyle w:val="Sansinterligne"/>
        <w:ind w:firstLine="708"/>
        <w:rPr>
          <w:rFonts w:eastAsiaTheme="minorEastAsia"/>
          <w:i/>
          <w:iCs/>
          <w:color w:val="00B0F0"/>
        </w:rPr>
      </w:pPr>
      <w:r>
        <w:rPr>
          <w:rFonts w:eastAsiaTheme="minorEastAsia"/>
          <w:i/>
          <w:iCs/>
          <w:color w:val="00B0F0"/>
        </w:rPr>
        <w:t xml:space="preserve">Fonctionnement d’un spectrophotomètre : on envoie sur une substance un faisceau lumineux de lumière </w:t>
      </w:r>
      <w:r w:rsidR="00AA4B52">
        <w:rPr>
          <w:rFonts w:eastAsiaTheme="minorEastAsia"/>
          <w:i/>
          <w:iCs/>
          <w:color w:val="00B0F0"/>
        </w:rPr>
        <w:t xml:space="preserve">monochromatique et on mesure l’intensité transmise par l’échantillon. </w:t>
      </w:r>
    </w:p>
    <w:p w:rsidR="00937013" w:rsidRDefault="00937013" w:rsidP="008A42ED">
      <w:pPr>
        <w:pStyle w:val="Sansinterligne"/>
        <w:rPr>
          <w:rFonts w:eastAsiaTheme="minorEastAsia"/>
          <w:i/>
          <w:iCs/>
          <w:color w:val="00B0F0"/>
        </w:rPr>
      </w:pPr>
      <w:r>
        <w:rPr>
          <w:rFonts w:eastAsiaTheme="minorEastAsia"/>
          <w:i/>
          <w:iCs/>
          <w:color w:val="00B0F0"/>
        </w:rPr>
        <w:tab/>
        <w:t xml:space="preserve">L’absorbance correspond à </w:t>
      </w:r>
      <m:oMath>
        <m:r>
          <w:rPr>
            <w:rFonts w:ascii="Cambria Math" w:eastAsiaTheme="minorEastAsia" w:hAnsi="Cambria Math"/>
            <w:color w:val="00B0F0"/>
          </w:rPr>
          <m:t>A</m:t>
        </m:r>
        <m:d>
          <m:dPr>
            <m:ctrlPr>
              <w:rPr>
                <w:rFonts w:ascii="Cambria Math" w:eastAsiaTheme="minorEastAsia" w:hAnsi="Cambria Math"/>
                <w:i/>
                <w:iCs/>
                <w:color w:val="00B0F0"/>
              </w:rPr>
            </m:ctrlPr>
          </m:dPr>
          <m:e>
            <m:r>
              <m:rPr>
                <m:sty m:val="p"/>
              </m:rPr>
              <w:rPr>
                <w:rFonts w:ascii="Cambria Math" w:eastAsiaTheme="minorEastAsia" w:hAnsi="Cambria Math"/>
                <w:color w:val="00B0F0"/>
              </w:rPr>
              <m:t>λ</m:t>
            </m:r>
          </m:e>
        </m:d>
        <m:r>
          <w:rPr>
            <w:rFonts w:ascii="Cambria Math" w:eastAsiaTheme="minorEastAsia" w:hAnsi="Cambria Math"/>
            <w:color w:val="00B0F0"/>
          </w:rPr>
          <m:t>=-log</m:t>
        </m:r>
        <m:f>
          <m:fPr>
            <m:ctrlPr>
              <w:rPr>
                <w:rFonts w:ascii="Cambria Math" w:eastAsiaTheme="minorEastAsia" w:hAnsi="Cambria Math"/>
                <w:i/>
                <w:iCs/>
                <w:color w:val="00B0F0"/>
              </w:rPr>
            </m:ctrlPr>
          </m:fPr>
          <m:num>
            <m:r>
              <w:rPr>
                <w:rFonts w:ascii="Cambria Math" w:eastAsiaTheme="minorEastAsia" w:hAnsi="Cambria Math"/>
                <w:color w:val="00B0F0"/>
              </w:rPr>
              <m:t>I</m:t>
            </m:r>
            <m:d>
              <m:dPr>
                <m:ctrlPr>
                  <w:rPr>
                    <w:rFonts w:ascii="Cambria Math" w:eastAsiaTheme="minorEastAsia" w:hAnsi="Cambria Math"/>
                    <w:i/>
                    <w:iCs/>
                    <w:color w:val="00B0F0"/>
                  </w:rPr>
                </m:ctrlPr>
              </m:dPr>
              <m:e>
                <m:r>
                  <m:rPr>
                    <m:sty m:val="p"/>
                  </m:rPr>
                  <w:rPr>
                    <w:rFonts w:ascii="Cambria Math" w:eastAsiaTheme="minorEastAsia" w:hAnsi="Cambria Math"/>
                    <w:color w:val="00B0F0"/>
                  </w:rPr>
                  <m:t>λ</m:t>
                </m:r>
              </m:e>
            </m:d>
          </m:num>
          <m:den>
            <m:sSub>
              <m:sSubPr>
                <m:ctrlPr>
                  <w:rPr>
                    <w:rFonts w:ascii="Cambria Math" w:eastAsiaTheme="minorEastAsia" w:hAnsi="Cambria Math"/>
                    <w:i/>
                    <w:iCs/>
                    <w:color w:val="00B0F0"/>
                  </w:rPr>
                </m:ctrlPr>
              </m:sSubPr>
              <m:e>
                <m:r>
                  <w:rPr>
                    <w:rFonts w:ascii="Cambria Math" w:eastAsiaTheme="minorEastAsia" w:hAnsi="Cambria Math"/>
                    <w:color w:val="00B0F0"/>
                  </w:rPr>
                  <m:t>I</m:t>
                </m:r>
              </m:e>
              <m:sub>
                <m:r>
                  <w:rPr>
                    <w:rFonts w:ascii="Cambria Math" w:eastAsiaTheme="minorEastAsia" w:hAnsi="Cambria Math"/>
                    <w:color w:val="00B0F0"/>
                  </w:rPr>
                  <m:t>0</m:t>
                </m:r>
              </m:sub>
            </m:sSub>
          </m:den>
        </m:f>
        <m:r>
          <w:rPr>
            <w:rFonts w:ascii="Cambria Math" w:eastAsiaTheme="minorEastAsia" w:hAnsi="Cambria Math"/>
            <w:color w:val="00B0F0"/>
          </w:rPr>
          <m:t xml:space="preserve"> = -log T</m:t>
        </m:r>
      </m:oMath>
      <w:r>
        <w:rPr>
          <w:rFonts w:eastAsiaTheme="minorEastAsia"/>
          <w:i/>
          <w:iCs/>
          <w:color w:val="00B0F0"/>
        </w:rPr>
        <w:t xml:space="preserve"> où </w:t>
      </w:r>
      <m:oMath>
        <m:sSub>
          <m:sSubPr>
            <m:ctrlPr>
              <w:rPr>
                <w:rFonts w:ascii="Cambria Math" w:eastAsiaTheme="minorEastAsia" w:hAnsi="Cambria Math"/>
                <w:i/>
                <w:iCs/>
                <w:color w:val="00B0F0"/>
              </w:rPr>
            </m:ctrlPr>
          </m:sSubPr>
          <m:e>
            <m:r>
              <w:rPr>
                <w:rFonts w:ascii="Cambria Math" w:eastAsiaTheme="minorEastAsia" w:hAnsi="Cambria Math"/>
                <w:color w:val="00B0F0"/>
              </w:rPr>
              <m:t>I</m:t>
            </m:r>
          </m:e>
          <m:sub>
            <m:r>
              <w:rPr>
                <w:rFonts w:ascii="Cambria Math" w:eastAsiaTheme="minorEastAsia" w:hAnsi="Cambria Math"/>
                <w:color w:val="00B0F0"/>
              </w:rPr>
              <m:t>0</m:t>
            </m:r>
          </m:sub>
        </m:sSub>
        <m:r>
          <w:rPr>
            <w:rFonts w:ascii="Cambria Math" w:eastAsiaTheme="minorEastAsia" w:hAnsi="Cambria Math"/>
            <w:color w:val="00B0F0"/>
          </w:rPr>
          <m:t xml:space="preserve"> </m:t>
        </m:r>
      </m:oMath>
      <w:r>
        <w:rPr>
          <w:rFonts w:eastAsiaTheme="minorEastAsia"/>
          <w:i/>
          <w:iCs/>
          <w:color w:val="00B0F0"/>
        </w:rPr>
        <w:t>es</w:t>
      </w:r>
      <w:r w:rsidR="00AA4B52">
        <w:rPr>
          <w:rFonts w:eastAsiaTheme="minorEastAsia"/>
          <w:i/>
          <w:iCs/>
          <w:color w:val="00B0F0"/>
        </w:rPr>
        <w:t>t l’</w:t>
      </w:r>
      <w:r>
        <w:rPr>
          <w:rFonts w:eastAsiaTheme="minorEastAsia"/>
          <w:i/>
          <w:iCs/>
          <w:color w:val="00B0F0"/>
        </w:rPr>
        <w:t>intensité d</w:t>
      </w:r>
      <w:r w:rsidR="00AA4B52">
        <w:rPr>
          <w:rFonts w:eastAsiaTheme="minorEastAsia"/>
          <w:i/>
          <w:iCs/>
          <w:color w:val="00B0F0"/>
        </w:rPr>
        <w:t>u</w:t>
      </w:r>
      <w:r>
        <w:rPr>
          <w:rFonts w:eastAsiaTheme="minorEastAsia"/>
          <w:i/>
          <w:iCs/>
          <w:color w:val="00B0F0"/>
        </w:rPr>
        <w:t xml:space="preserve"> </w:t>
      </w:r>
      <w:r w:rsidR="00AA4B52">
        <w:rPr>
          <w:rFonts w:eastAsiaTheme="minorEastAsia"/>
          <w:i/>
          <w:iCs/>
          <w:color w:val="00B0F0"/>
        </w:rPr>
        <w:t>faisceau incident</w:t>
      </w:r>
      <w:r>
        <w:rPr>
          <w:rFonts w:eastAsiaTheme="minorEastAsia"/>
          <w:i/>
          <w:iCs/>
          <w:color w:val="00B0F0"/>
        </w:rPr>
        <w:t xml:space="preserve"> et </w:t>
      </w:r>
      <m:oMath>
        <m:r>
          <w:rPr>
            <w:rFonts w:ascii="Cambria Math" w:eastAsiaTheme="minorEastAsia" w:hAnsi="Cambria Math"/>
            <w:color w:val="00B0F0"/>
          </w:rPr>
          <m:t>T</m:t>
        </m:r>
      </m:oMath>
      <w:r>
        <w:rPr>
          <w:rFonts w:eastAsiaTheme="minorEastAsia"/>
          <w:i/>
          <w:iCs/>
          <w:color w:val="00B0F0"/>
        </w:rPr>
        <w:t xml:space="preserve"> est appelée transmittance.</w:t>
      </w:r>
    </w:p>
    <w:p w:rsidR="00201BBC" w:rsidRPr="00937013" w:rsidRDefault="00201BBC" w:rsidP="008A42ED">
      <w:pPr>
        <w:pStyle w:val="Sansinterligne"/>
        <w:rPr>
          <w:rFonts w:eastAsiaTheme="minorEastAsia"/>
          <w:i/>
          <w:iCs/>
          <w:color w:val="00B0F0"/>
        </w:rPr>
      </w:pPr>
    </w:p>
    <w:p w:rsidR="008A42ED" w:rsidRDefault="008A42ED" w:rsidP="008A42ED">
      <w:pPr>
        <w:pStyle w:val="Sansinterligne"/>
        <w:pBdr>
          <w:left w:val="thinThickSmallGap" w:sz="24" w:space="4" w:color="00B050"/>
        </w:pBdr>
        <w:rPr>
          <w:rFonts w:eastAsiaTheme="minorEastAsia"/>
          <w:b/>
          <w:bCs/>
          <w:smallCaps/>
        </w:rPr>
      </w:pPr>
      <w:r>
        <w:rPr>
          <w:rFonts w:eastAsiaTheme="minorEastAsia"/>
          <w:b/>
          <w:bCs/>
          <w:smallCaps/>
        </w:rPr>
        <w:t>Transition : Comment faire pour une molécule qui n’est pas colorée. La spectrophotométrie UV-Visible ne peut pas être utilisée dans ce contexte. Intéressons-nous par exemple à la détermination en chlorure de sodium dans un sérum physiologique.</w:t>
      </w:r>
    </w:p>
    <w:p w:rsidR="008A42ED" w:rsidRDefault="008A42ED" w:rsidP="008A42ED">
      <w:pPr>
        <w:pStyle w:val="Sansinterligne"/>
        <w:rPr>
          <w:rFonts w:eastAsiaTheme="minorEastAsia"/>
          <w:b/>
          <w:bCs/>
          <w:smallCaps/>
        </w:rPr>
      </w:pPr>
    </w:p>
    <w:p w:rsidR="00BB7C22" w:rsidRDefault="00BB7C22" w:rsidP="008A42ED">
      <w:pPr>
        <w:pStyle w:val="Sansinterligne"/>
        <w:rPr>
          <w:rFonts w:eastAsiaTheme="minorEastAsia"/>
          <w:b/>
          <w:bCs/>
          <w:smallCaps/>
        </w:rPr>
      </w:pPr>
    </w:p>
    <w:p w:rsidR="008A42ED" w:rsidRDefault="00937013" w:rsidP="00937013">
      <w:pPr>
        <w:pStyle w:val="Sansinterligne"/>
        <w:numPr>
          <w:ilvl w:val="0"/>
          <w:numId w:val="41"/>
        </w:numPr>
        <w:rPr>
          <w:rFonts w:eastAsiaTheme="minorEastAsia"/>
          <w:b/>
          <w:bCs/>
        </w:rPr>
      </w:pPr>
      <w:r>
        <w:rPr>
          <w:rFonts w:eastAsiaTheme="minorEastAsia"/>
          <w:b/>
          <w:bCs/>
        </w:rPr>
        <w:lastRenderedPageBreak/>
        <w:t>Dosage conductimétrique</w:t>
      </w:r>
    </w:p>
    <w:p w:rsidR="00937013" w:rsidRPr="00937013" w:rsidRDefault="00937013" w:rsidP="00937013">
      <w:pPr>
        <w:pStyle w:val="Sansinterligne"/>
        <w:ind w:firstLine="708"/>
        <w:rPr>
          <w:rFonts w:eastAsiaTheme="minorEastAsia"/>
        </w:rPr>
      </w:pPr>
      <w:r>
        <w:rPr>
          <w:rFonts w:eastAsiaTheme="minorEastAsia"/>
        </w:rPr>
        <w:t xml:space="preserve">Mise en contexte : le sérum physiologique est une solution d’eau salée généralement à 9% </w:t>
      </w:r>
      <w:r w:rsidR="00290459">
        <w:rPr>
          <w:rFonts w:eastAsiaTheme="minorEastAsia"/>
        </w:rPr>
        <w:t xml:space="preserve">c’est-à-dire à </w:t>
      </w:r>
      <w:r>
        <w:rPr>
          <w:rFonts w:eastAsiaTheme="minorEastAsia"/>
        </w:rPr>
        <w:t>9g.L</w:t>
      </w:r>
      <w:r>
        <w:rPr>
          <w:rFonts w:eastAsiaTheme="minorEastAsia"/>
          <w:vertAlign w:val="superscript"/>
        </w:rPr>
        <w:t>-1</w:t>
      </w:r>
      <w:r>
        <w:rPr>
          <w:rFonts w:eastAsiaTheme="minorEastAsia"/>
        </w:rPr>
        <w:t>. On utilise ce</w:t>
      </w:r>
      <w:r w:rsidR="00290459">
        <w:rPr>
          <w:rFonts w:eastAsiaTheme="minorEastAsia"/>
        </w:rPr>
        <w:t xml:space="preserve"> produit</w:t>
      </w:r>
      <w:r>
        <w:rPr>
          <w:rFonts w:eastAsiaTheme="minorEastAsia"/>
        </w:rPr>
        <w:t xml:space="preserve"> pour nettoyer des plaies, le nez, les oreilles et les yeux notamment chez les bébés. </w:t>
      </w:r>
    </w:p>
    <w:p w:rsidR="00B65F39" w:rsidRDefault="00937013" w:rsidP="00B65F39">
      <w:pPr>
        <w:pStyle w:val="Sansinterligne"/>
        <w:rPr>
          <w:rFonts w:eastAsiaTheme="minorEastAsia"/>
        </w:rPr>
      </w:pPr>
      <w:r>
        <w:rPr>
          <w:rFonts w:eastAsiaTheme="minorEastAsia"/>
        </w:rPr>
        <w:tab/>
        <w:t xml:space="preserve">La dissolution transforme le </w:t>
      </w:r>
      <w:proofErr w:type="spellStart"/>
      <w:r>
        <w:rPr>
          <w:rFonts w:eastAsiaTheme="minorEastAsia"/>
        </w:rPr>
        <w:t>NaCl</w:t>
      </w:r>
      <w:proofErr w:type="spellEnd"/>
      <w:r>
        <w:rPr>
          <w:rFonts w:eastAsiaTheme="minorEastAsia"/>
        </w:rPr>
        <w:t xml:space="preserve"> (s) en ions Na</w:t>
      </w:r>
      <w:r>
        <w:rPr>
          <w:rFonts w:eastAsiaTheme="minorEastAsia"/>
          <w:vertAlign w:val="superscript"/>
        </w:rPr>
        <w:t>+</w:t>
      </w:r>
      <w:r>
        <w:rPr>
          <w:rFonts w:eastAsiaTheme="minorEastAsia"/>
        </w:rPr>
        <w:t xml:space="preserve"> et Cl</w:t>
      </w:r>
      <w:r>
        <w:rPr>
          <w:rFonts w:eastAsiaTheme="minorEastAsia"/>
          <w:vertAlign w:val="superscript"/>
        </w:rPr>
        <w:t xml:space="preserve">+ </w:t>
      </w:r>
      <w:r>
        <w:rPr>
          <w:rFonts w:eastAsiaTheme="minorEastAsia"/>
        </w:rPr>
        <w:t xml:space="preserve">et le passage du courant dans une solution est liée à la présence d’ions. </w:t>
      </w:r>
    </w:p>
    <w:p w:rsidR="00937013" w:rsidRDefault="00937013" w:rsidP="00B65F39">
      <w:pPr>
        <w:pStyle w:val="Sansinterligne"/>
        <w:rPr>
          <w:rFonts w:eastAsiaTheme="minorEastAsia"/>
        </w:rPr>
      </w:pPr>
      <w:r>
        <w:rPr>
          <w:rFonts w:eastAsiaTheme="minorEastAsia"/>
        </w:rPr>
        <w:tab/>
        <w:t xml:space="preserve">Il est donc possible de déterminer la concentration ionique en mesurant la </w:t>
      </w:r>
      <w:r>
        <w:rPr>
          <w:rFonts w:eastAsiaTheme="minorEastAsia"/>
          <w:i/>
          <w:iCs/>
        </w:rPr>
        <w:t xml:space="preserve">résistance </w:t>
      </w:r>
      <w:r>
        <w:rPr>
          <w:rFonts w:eastAsiaTheme="minorEastAsia"/>
        </w:rPr>
        <w:t>de la solution.</w:t>
      </w:r>
    </w:p>
    <w:p w:rsidR="00937013" w:rsidRDefault="00937013" w:rsidP="00B65F39">
      <w:pPr>
        <w:pStyle w:val="Sansinterligne"/>
        <w:rPr>
          <w:rFonts w:eastAsiaTheme="minorEastAsia"/>
        </w:rPr>
      </w:pPr>
      <w:r>
        <w:rPr>
          <w:rFonts w:eastAsiaTheme="minorEastAsia"/>
        </w:rPr>
        <w:tab/>
      </w:r>
      <w:r w:rsidR="005D475F">
        <w:rPr>
          <w:rFonts w:eastAsiaTheme="minorEastAsia"/>
        </w:rPr>
        <w:t>La loi de Kohlrausch</w:t>
      </w:r>
      <w:r w:rsidR="005D475F">
        <w:rPr>
          <w:rStyle w:val="Appelnotedebasdep"/>
          <w:rFonts w:eastAsiaTheme="minorEastAsia"/>
        </w:rPr>
        <w:footnoteReference w:id="2"/>
      </w:r>
      <w:r w:rsidR="005D475F">
        <w:rPr>
          <w:rFonts w:eastAsiaTheme="minorEastAsia"/>
        </w:rPr>
        <w:t xml:space="preserve"> dans notre cas donne :</w:t>
      </w:r>
    </w:p>
    <w:p w:rsidR="005D475F" w:rsidRDefault="005D475F" w:rsidP="00B65F39">
      <w:pPr>
        <w:pStyle w:val="Sansinterligne"/>
        <w:rPr>
          <w:rFonts w:eastAsiaTheme="minorEastAsia"/>
        </w:rPr>
      </w:pPr>
      <w:r>
        <w:rPr>
          <w:rFonts w:eastAsiaTheme="minorEastAsia"/>
        </w:rPr>
        <w:tab/>
      </w:r>
      <m:oMath>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oMath>
      <w:r w:rsidRPr="005D475F">
        <w:rPr>
          <w:rFonts w:eastAsiaTheme="minorEastAsia"/>
        </w:rPr>
        <w:t xml:space="preserve"> où</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est la conductivité molaire ionique de l’espèce i</w:t>
      </w:r>
    </w:p>
    <w:p w:rsidR="003749EE" w:rsidRPr="003749EE" w:rsidRDefault="003749EE" w:rsidP="00B65F39">
      <w:pPr>
        <w:pStyle w:val="Sansinterligne"/>
        <w:rPr>
          <w:rFonts w:eastAsiaTheme="minorEastAsia"/>
        </w:rPr>
      </w:pPr>
      <w:r>
        <w:rPr>
          <w:rFonts w:eastAsiaTheme="minorEastAsia"/>
        </w:rPr>
        <w:t xml:space="preserve">Attention aux unités : </w:t>
      </w:r>
      <m:oMath>
        <m:r>
          <m:rPr>
            <m:sty m:val="p"/>
          </m:rPr>
          <w:rPr>
            <w:rFonts w:ascii="Cambria Math" w:eastAsiaTheme="minorEastAsia" w:hAnsi="Cambria Math"/>
          </w:rPr>
          <m:t>σ</m:t>
        </m:r>
      </m:oMath>
      <w:r>
        <w:rPr>
          <w:rFonts w:eastAsiaTheme="minorEastAsia"/>
        </w:rPr>
        <w:t xml:space="preserve"> est en S.m</w:t>
      </w:r>
      <w:r>
        <w:rPr>
          <w:rFonts w:eastAsiaTheme="minorEastAsia"/>
          <w:vertAlign w:val="superscript"/>
        </w:rPr>
        <w:t>-1</w:t>
      </w:r>
      <w:r>
        <w:rPr>
          <w:rFonts w:eastAsiaTheme="minorEastAsia"/>
        </w:rPr>
        <w:t>, les concentrations sont en mol.m</w:t>
      </w:r>
      <w:r>
        <w:rPr>
          <w:rFonts w:eastAsiaTheme="minorEastAsia"/>
          <w:vertAlign w:val="superscript"/>
        </w:rPr>
        <w:t>-3</w:t>
      </w:r>
      <w:r>
        <w:rPr>
          <w:rFonts w:eastAsiaTheme="minorEastAsia"/>
        </w:rPr>
        <w:t xml:space="preserve"> et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sont en S.m².mol</w:t>
      </w:r>
      <w:r>
        <w:rPr>
          <w:rFonts w:eastAsiaTheme="minorEastAsia"/>
          <w:vertAlign w:val="superscript"/>
        </w:rPr>
        <w:t>-1</w:t>
      </w:r>
      <w:r>
        <w:rPr>
          <w:rFonts w:eastAsiaTheme="minorEastAsia"/>
        </w:rPr>
        <w:t>.</w:t>
      </w:r>
    </w:p>
    <w:p w:rsidR="00201BBC" w:rsidRDefault="00201BBC" w:rsidP="00B65F39">
      <w:pPr>
        <w:pStyle w:val="Sansinterligne"/>
        <w:rPr>
          <w:rFonts w:eastAsiaTheme="minorEastAsia"/>
          <w:color w:val="7030A0"/>
        </w:rPr>
      </w:pPr>
      <w:r>
        <w:rPr>
          <w:rFonts w:eastAsiaTheme="minorEastAsia"/>
          <w:color w:val="7030A0"/>
        </w:rPr>
        <w:t>(Diapo) Comparaison entre les lois de Beer-Lambert et de Kohlrausch</w:t>
      </w:r>
    </w:p>
    <w:p w:rsidR="00DC3CEB" w:rsidRPr="00DC3CEB" w:rsidRDefault="00DC3CEB" w:rsidP="00DC3CEB">
      <w:pPr>
        <w:pStyle w:val="Sansinterligne"/>
        <w:numPr>
          <w:ilvl w:val="0"/>
          <w:numId w:val="42"/>
        </w:numPr>
      </w:pPr>
      <w:r>
        <w:rPr>
          <w:rFonts w:eastAsiaTheme="minorEastAsia"/>
        </w:rPr>
        <w:t>Ainsi la mesure de la conductivité d’une solution permet de remonter à sa concentration si on a tracé au préalable une droite d’étalonnage.</w:t>
      </w:r>
    </w:p>
    <w:p w:rsidR="00DC3CEB" w:rsidRPr="00DC3CEB" w:rsidRDefault="00DC3CEB" w:rsidP="00DC3CEB">
      <w:pPr>
        <w:pStyle w:val="Sansinterligne"/>
        <w:rPr>
          <w:color w:val="7030A0"/>
        </w:rPr>
      </w:pPr>
      <w:r>
        <w:rPr>
          <w:rFonts w:eastAsiaTheme="minorEastAsia"/>
          <w:color w:val="7030A0"/>
        </w:rPr>
        <w:t xml:space="preserve">(Diapo) </w:t>
      </w:r>
      <w:r w:rsidRPr="00DC3CEB">
        <w:rPr>
          <w:rFonts w:eastAsiaTheme="minorEastAsia"/>
          <w:color w:val="7030A0"/>
        </w:rPr>
        <w:t>Comment mesurer la conductivité d’une solution ?</w:t>
      </w:r>
      <w:r w:rsidR="00424DAA">
        <w:rPr>
          <w:rFonts w:eastAsiaTheme="minorEastAsia"/>
          <w:color w:val="7030A0"/>
        </w:rPr>
        <w:t xml:space="preserve"> Principe du conductimètre</w:t>
      </w:r>
    </w:p>
    <w:p w:rsidR="00DC3CEB" w:rsidRDefault="0042492A" w:rsidP="00DC3CEB">
      <w:pPr>
        <w:pStyle w:val="Sansinterligne"/>
        <w:ind w:left="720"/>
      </w:pPr>
      <w:r>
        <w:t xml:space="preserve">On utilise un conductimètre </w:t>
      </w:r>
      <w:r w:rsidRPr="00290459">
        <w:rPr>
          <w:i/>
          <w:iCs/>
          <w:color w:val="00B0F0"/>
        </w:rPr>
        <w:t>(appareil constitué d’un générateur basse fréquence</w:t>
      </w:r>
      <w:r w:rsidRPr="00290459">
        <w:rPr>
          <w:rStyle w:val="Appelnotedebasdep"/>
          <w:i/>
          <w:iCs/>
          <w:color w:val="00B0F0"/>
        </w:rPr>
        <w:footnoteReference w:id="3"/>
      </w:r>
      <w:r w:rsidRPr="00290459">
        <w:rPr>
          <w:i/>
          <w:iCs/>
          <w:color w:val="00B0F0"/>
        </w:rPr>
        <w:t>, d’un ampèremètre et d’un voltmètre).</w:t>
      </w:r>
    </w:p>
    <w:p w:rsidR="00D642E3" w:rsidRDefault="00D642E3" w:rsidP="00D642E3">
      <w:pPr>
        <w:pStyle w:val="Sansinterligne"/>
      </w:pPr>
    </w:p>
    <w:p w:rsidR="00D642E3" w:rsidRDefault="00D642E3" w:rsidP="00D642E3">
      <w:pPr>
        <w:pStyle w:val="Sansinterligne"/>
        <w:pBdr>
          <w:left w:val="thinThickSmallGap" w:sz="24" w:space="4" w:color="FFC000"/>
        </w:pBdr>
        <w:rPr>
          <w:u w:val="single"/>
        </w:rPr>
      </w:pPr>
      <w:r>
        <w:rPr>
          <w:u w:val="single"/>
        </w:rPr>
        <w:t xml:space="preserve">Dosage de </w:t>
      </w:r>
      <w:proofErr w:type="spellStart"/>
      <w:r>
        <w:rPr>
          <w:u w:val="single"/>
        </w:rPr>
        <w:t>NaCl</w:t>
      </w:r>
      <w:proofErr w:type="spellEnd"/>
      <w:r>
        <w:rPr>
          <w:u w:val="single"/>
        </w:rPr>
        <w:t xml:space="preserve"> dans un sérum physiologique</w:t>
      </w:r>
    </w:p>
    <w:p w:rsidR="00D642E3" w:rsidRDefault="00D642E3" w:rsidP="00D642E3">
      <w:pPr>
        <w:pStyle w:val="Sansinterligne"/>
        <w:pBdr>
          <w:left w:val="thinThickSmallGap" w:sz="24" w:space="4" w:color="FFC000"/>
        </w:pBdr>
      </w:pPr>
      <w:r>
        <w:t>En préparation :</w:t>
      </w:r>
    </w:p>
    <w:p w:rsidR="00D642E3" w:rsidRDefault="00D642E3" w:rsidP="00D642E3">
      <w:pPr>
        <w:pStyle w:val="Sansinterligne"/>
        <w:pBdr>
          <w:left w:val="thinThickSmallGap" w:sz="24" w:space="4" w:color="FFC000"/>
        </w:pBdr>
      </w:pPr>
      <w:r>
        <w:tab/>
        <w:t>Préparation de la solution mère par dissolution (ou directement à la concentration 2.10</w:t>
      </w:r>
      <w:r>
        <w:rPr>
          <w:vertAlign w:val="superscript"/>
        </w:rPr>
        <w:t>-2</w:t>
      </w:r>
      <w:r>
        <w:t>M)</w:t>
      </w:r>
    </w:p>
    <w:p w:rsidR="00D642E3" w:rsidRDefault="00D642E3" w:rsidP="00D642E3">
      <w:pPr>
        <w:pStyle w:val="Sansinterligne"/>
        <w:pBdr>
          <w:left w:val="thinThickSmallGap" w:sz="24" w:space="4" w:color="FFC000"/>
        </w:pBdr>
      </w:pPr>
      <w:r>
        <w:tab/>
        <w:t>Préparation de la gamme étalon</w:t>
      </w:r>
    </w:p>
    <w:p w:rsidR="006B61B8" w:rsidRDefault="006B61B8" w:rsidP="00D642E3">
      <w:pPr>
        <w:pStyle w:val="Sansinterligne"/>
        <w:pBdr>
          <w:left w:val="thinThickSmallGap" w:sz="24" w:space="4" w:color="FFC000"/>
        </w:pBdr>
      </w:pPr>
      <w:r>
        <w:tab/>
        <w:t>Faire l</w:t>
      </w:r>
      <w:r w:rsidR="00151F76">
        <w:t>e</w:t>
      </w:r>
      <w:r>
        <w:t xml:space="preserve"> blanc du conductimètre en mesurant la conductivité de l’eau permutée</w:t>
      </w:r>
    </w:p>
    <w:p w:rsidR="00D642E3" w:rsidRDefault="00D642E3" w:rsidP="00D642E3">
      <w:pPr>
        <w:pStyle w:val="Sansinterligne"/>
        <w:pBdr>
          <w:left w:val="thinThickSmallGap" w:sz="24" w:space="4" w:color="FFC000"/>
        </w:pBdr>
      </w:pPr>
      <w:r>
        <w:tab/>
        <w:t>Tracé de la courbe d’étalonnage + régression en préparation</w:t>
      </w:r>
    </w:p>
    <w:p w:rsidR="00D642E3" w:rsidRDefault="00D642E3" w:rsidP="00D642E3">
      <w:pPr>
        <w:pStyle w:val="Sansinterligne"/>
        <w:pBdr>
          <w:left w:val="thinThickSmallGap" w:sz="24" w:space="4" w:color="FFC000"/>
        </w:pBdr>
      </w:pPr>
      <w:r>
        <w:t>Face au jury :</w:t>
      </w:r>
    </w:p>
    <w:p w:rsidR="00D642E3" w:rsidRDefault="00D642E3" w:rsidP="00D642E3">
      <w:pPr>
        <w:pStyle w:val="Sansinterligne"/>
        <w:pBdr>
          <w:left w:val="thinThickSmallGap" w:sz="24" w:space="4" w:color="FFC000"/>
        </w:pBdr>
      </w:pPr>
      <w:r>
        <w:tab/>
        <w:t>Détermination de la concentration du sérum physiologique</w:t>
      </w:r>
      <w:r w:rsidR="000F58C8">
        <w:t xml:space="preserve"> (à l’aide d’un tableur </w:t>
      </w:r>
      <w:proofErr w:type="spellStart"/>
      <w:r w:rsidR="000F58C8">
        <w:t>excel</w:t>
      </w:r>
      <w:proofErr w:type="spellEnd"/>
      <w:r w:rsidR="00796489">
        <w:t xml:space="preserve"> pour les incertitudes</w:t>
      </w:r>
      <w:r w:rsidR="000F58C8">
        <w:t>)</w:t>
      </w:r>
    </w:p>
    <w:p w:rsidR="000F58C8" w:rsidRDefault="000F58C8" w:rsidP="000F58C8"/>
    <w:p w:rsidR="000F58C8" w:rsidRDefault="009F3FB8" w:rsidP="009F3FB8">
      <w:pPr>
        <w:pBdr>
          <w:left w:val="thinThickSmallGap" w:sz="24" w:space="4" w:color="00B050"/>
        </w:pBdr>
        <w:rPr>
          <w:b/>
          <w:bCs/>
          <w:smallCaps/>
        </w:rPr>
      </w:pPr>
      <w:r>
        <w:rPr>
          <w:b/>
          <w:bCs/>
          <w:smallCaps/>
        </w:rPr>
        <w:t>Transition : L’étalonnage est une méthode de dosage efficace mais lente car nécessite de réaliser un étalonnage. De plus, il est indispensable de posséder le produit que l’on souhaite doser afin de réaliser la gamme étalon. Une seconde méthode de dosage existe : il s’agit du titrage.</w:t>
      </w:r>
    </w:p>
    <w:p w:rsidR="00424DAA" w:rsidRDefault="00424DAA" w:rsidP="00424DAA">
      <w:pPr>
        <w:pStyle w:val="Sansinterligne"/>
      </w:pPr>
    </w:p>
    <w:p w:rsidR="00424DAA" w:rsidRDefault="003F45E6" w:rsidP="003F45E6">
      <w:pPr>
        <w:pStyle w:val="Sansinterligne"/>
        <w:numPr>
          <w:ilvl w:val="0"/>
          <w:numId w:val="40"/>
        </w:numPr>
        <w:rPr>
          <w:b/>
          <w:bCs/>
          <w:u w:val="single"/>
        </w:rPr>
      </w:pPr>
      <w:r>
        <w:rPr>
          <w:b/>
          <w:bCs/>
          <w:u w:val="single"/>
        </w:rPr>
        <w:t>Dosages par titrage</w:t>
      </w:r>
    </w:p>
    <w:p w:rsidR="005C01F8" w:rsidRDefault="005C01F8" w:rsidP="005C01F8">
      <w:pPr>
        <w:pStyle w:val="Sansinterligne"/>
        <w:rPr>
          <w:b/>
          <w:bCs/>
          <w:u w:val="single"/>
        </w:rPr>
      </w:pPr>
    </w:p>
    <w:p w:rsidR="005C01F8" w:rsidRDefault="005C01F8" w:rsidP="005C01F8">
      <w:pPr>
        <w:pStyle w:val="Sansinterligne"/>
        <w:ind w:firstLine="360"/>
      </w:pPr>
      <w:r>
        <w:t xml:space="preserve">Dans cette partie nous allons développer uniquement des dosages volumétriques mais historiquement les premiers dosages étaient gravimétriques et reposer donc sur la mesure de la masse de réactif utilisé. </w:t>
      </w:r>
    </w:p>
    <w:p w:rsidR="005C01F8" w:rsidRPr="005C01F8" w:rsidRDefault="005C01F8" w:rsidP="005C01F8">
      <w:pPr>
        <w:pStyle w:val="Sansinterligne"/>
      </w:pPr>
    </w:p>
    <w:p w:rsidR="003F45E6" w:rsidRPr="003F45E6" w:rsidRDefault="003F45E6" w:rsidP="003F45E6">
      <w:pPr>
        <w:pStyle w:val="Sansinterligne"/>
        <w:numPr>
          <w:ilvl w:val="0"/>
          <w:numId w:val="43"/>
        </w:numPr>
        <w:rPr>
          <w:b/>
          <w:bCs/>
          <w:u w:val="single"/>
        </w:rPr>
      </w:pPr>
      <w:r>
        <w:rPr>
          <w:b/>
          <w:bCs/>
        </w:rPr>
        <w:t>Principe et réaction support de titrage</w:t>
      </w:r>
    </w:p>
    <w:p w:rsidR="003F45E6" w:rsidRDefault="003F45E6" w:rsidP="003F45E6">
      <w:pPr>
        <w:pStyle w:val="Sansinterligne"/>
        <w:rPr>
          <w:b/>
          <w:bCs/>
        </w:rPr>
      </w:pPr>
    </w:p>
    <w:p w:rsidR="003F45E6" w:rsidRDefault="003F45E6" w:rsidP="003F45E6">
      <w:pPr>
        <w:pStyle w:val="Sansinterligne"/>
        <w:ind w:firstLine="708"/>
      </w:pPr>
      <w:r>
        <w:t xml:space="preserve">On s’intéresse à nouveau à la détermination de la concentration en </w:t>
      </w:r>
      <w:proofErr w:type="spellStart"/>
      <w:r>
        <w:t>NaCl</w:t>
      </w:r>
      <w:proofErr w:type="spellEnd"/>
      <w:r>
        <w:t xml:space="preserve"> dans le sérum physiologique. Cependant, nous allons procéder, cette fois, par titrage.</w:t>
      </w:r>
    </w:p>
    <w:p w:rsidR="003F45E6" w:rsidRDefault="003F45E6" w:rsidP="003F45E6">
      <w:pPr>
        <w:pStyle w:val="Sansinterligne"/>
        <w:ind w:firstLine="708"/>
        <w:rPr>
          <w:color w:val="7030A0"/>
        </w:rPr>
      </w:pPr>
      <w:r>
        <w:rPr>
          <w:color w:val="7030A0"/>
        </w:rPr>
        <w:t>(Diapo) Présentation d’un montage permettant la réalisation d’un titrage</w:t>
      </w:r>
    </w:p>
    <w:p w:rsidR="003F45E6" w:rsidRDefault="003F45E6" w:rsidP="003F45E6">
      <w:pPr>
        <w:pStyle w:val="Sansinterligne"/>
        <w:ind w:firstLine="708"/>
        <w:rPr>
          <w:color w:val="7030A0"/>
        </w:rPr>
      </w:pPr>
    </w:p>
    <w:p w:rsidR="00A744F7" w:rsidRDefault="00A744F7" w:rsidP="00A744F7">
      <w:pPr>
        <w:pStyle w:val="Sansinterligne"/>
      </w:pPr>
      <w:r>
        <w:lastRenderedPageBreak/>
        <w:tab/>
        <w:t>[5]p. 470 : un dosage par titrage (direct) est une technique de dosage mettant en jeu une réaction chimique</w:t>
      </w:r>
      <w:r w:rsidR="00F904AF">
        <w:t xml:space="preserve">. Cette réaction est appelée </w:t>
      </w:r>
      <w:r w:rsidR="00F904AF">
        <w:rPr>
          <w:i/>
          <w:iCs/>
        </w:rPr>
        <w:t xml:space="preserve">réaction support de titrage </w:t>
      </w:r>
      <w:r w:rsidR="00F904AF">
        <w:t xml:space="preserve">et elle doit être </w:t>
      </w:r>
      <w:r>
        <w:t xml:space="preserve">rapide, quantitative et unique. </w:t>
      </w:r>
    </w:p>
    <w:p w:rsidR="00A744F7" w:rsidRDefault="00A744F7" w:rsidP="00A744F7">
      <w:pPr>
        <w:pStyle w:val="Sansinterligne"/>
      </w:pPr>
      <w:r>
        <w:tab/>
        <w:t xml:space="preserve">Cette réaction a lieu entre une espèce dont la concentration est connue appelée </w:t>
      </w:r>
      <w:r>
        <w:rPr>
          <w:i/>
          <w:iCs/>
        </w:rPr>
        <w:t>espèce titrante</w:t>
      </w:r>
      <w:r>
        <w:t xml:space="preserve"> et l’espèce dont la concentration est inconnue appelée </w:t>
      </w:r>
      <w:r>
        <w:rPr>
          <w:i/>
          <w:iCs/>
        </w:rPr>
        <w:t>espèce titrée</w:t>
      </w:r>
      <w:r>
        <w:t>.</w:t>
      </w:r>
    </w:p>
    <w:p w:rsidR="00A744F7" w:rsidRDefault="00A744F7" w:rsidP="00A744F7">
      <w:pPr>
        <w:pStyle w:val="Sansinterligne"/>
      </w:pPr>
    </w:p>
    <w:p w:rsidR="00A744F7" w:rsidRDefault="00A744F7" w:rsidP="00A744F7">
      <w:pPr>
        <w:pStyle w:val="Sansinterligne"/>
      </w:pPr>
      <w:r>
        <w:tab/>
      </w:r>
      <w:r w:rsidR="00BB7C22">
        <w:t>L</w:t>
      </w:r>
      <w:r>
        <w:t xml:space="preserve">’espèce titrante est placée dans une burette qui permet de délivrer un volume précis de cette solution. </w:t>
      </w:r>
    </w:p>
    <w:p w:rsidR="003B10D7" w:rsidRDefault="003B10D7" w:rsidP="00A744F7">
      <w:pPr>
        <w:pStyle w:val="Sansinterligne"/>
      </w:pPr>
    </w:p>
    <w:p w:rsidR="003B10D7" w:rsidRDefault="003B10D7" w:rsidP="00A744F7">
      <w:pPr>
        <w:pStyle w:val="Sansinterligne"/>
      </w:pPr>
      <w:r>
        <w:tab/>
        <w:t xml:space="preserve">Le suivi de la concentration peut être suivie par différente méthode : pH-métrique dans le cas où la réaction support de titrage est une réaction acido-basique (dosage de l’acide </w:t>
      </w:r>
      <w:r w:rsidR="00E84457">
        <w:t xml:space="preserve">éthanoïque </w:t>
      </w:r>
      <w:r>
        <w:t>dans le vinaigre par la soude), par colorimétrie (avec indicateur colorée) ou par conductimétrie dans le cas de solution contant des espèces des ioniques. C’est notre cas.</w:t>
      </w:r>
    </w:p>
    <w:p w:rsidR="003B10D7" w:rsidRDefault="003B10D7" w:rsidP="00A744F7">
      <w:pPr>
        <w:pStyle w:val="Sansinterligne"/>
      </w:pPr>
    </w:p>
    <w:p w:rsidR="003B10D7" w:rsidRDefault="003B10D7" w:rsidP="00A744F7">
      <w:pPr>
        <w:pStyle w:val="Sansinterligne"/>
      </w:pPr>
      <w:r>
        <w:tab/>
        <w:t xml:space="preserve">Dans notre cas la réaction support de titrage est : </w:t>
      </w:r>
      <m:oMath>
        <m:sSub>
          <m:sSubPr>
            <m:ctrlPr>
              <w:rPr>
                <w:rFonts w:ascii="Cambria Math" w:hAnsi="Cambria Math"/>
                <w:i/>
              </w:rPr>
            </m:ctrlPr>
          </m:sSubPr>
          <m:e>
            <m:sSup>
              <m:sSupPr>
                <m:ctrlPr>
                  <w:rPr>
                    <w:rFonts w:ascii="Cambria Math" w:hAnsi="Cambria Math"/>
                    <w:i/>
                  </w:rPr>
                </m:ctrlPr>
              </m:sSupPr>
              <m:e>
                <m:r>
                  <w:rPr>
                    <w:rFonts w:ascii="Cambria Math" w:hAnsi="Cambria Math"/>
                  </w:rPr>
                  <m:t>Ag</m:t>
                </m:r>
              </m:e>
              <m:sup>
                <m:r>
                  <w:rPr>
                    <w:rFonts w:ascii="Cambria Math" w:hAnsi="Cambria Math"/>
                  </w:rPr>
                  <m:t>+</m:t>
                </m:r>
              </m:sup>
            </m:sSup>
          </m:e>
          <m:sub>
            <m:r>
              <w:rPr>
                <w:rFonts w:ascii="Cambria Math" w:hAnsi="Cambria Math"/>
              </w:rPr>
              <m:t>(aq)</m:t>
            </m:r>
          </m:sub>
        </m:sSub>
        <m:r>
          <w:rPr>
            <w:rFonts w:ascii="Cambria Math" w:hAnsi="Cambria Math"/>
          </w:rPr>
          <m:t xml:space="preserve"> + </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e>
          <m:sub>
            <m:r>
              <w:rPr>
                <w:rFonts w:ascii="Cambria Math" w:hAnsi="Cambria Math"/>
              </w:rPr>
              <m:t>(aq)</m:t>
            </m:r>
          </m:sub>
        </m:sSub>
        <m:r>
          <w:rPr>
            <w:rFonts w:ascii="Cambria Math" w:hAnsi="Cambria Math"/>
          </w:rPr>
          <m:t xml:space="preserve"> → </m:t>
        </m:r>
        <m:sSub>
          <m:sSubPr>
            <m:ctrlPr>
              <w:rPr>
                <w:rFonts w:ascii="Cambria Math" w:hAnsi="Cambria Math"/>
                <w:i/>
              </w:rPr>
            </m:ctrlPr>
          </m:sSubPr>
          <m:e>
            <m:r>
              <w:rPr>
                <w:rFonts w:ascii="Cambria Math" w:hAnsi="Cambria Math"/>
              </w:rPr>
              <m:t>AgCl</m:t>
            </m:r>
          </m:e>
          <m:sub>
            <m:r>
              <w:rPr>
                <w:rFonts w:ascii="Cambria Math" w:hAnsi="Cambria Math"/>
              </w:rPr>
              <m:t>(s)</m:t>
            </m:r>
          </m:sub>
        </m:sSub>
      </m:oMath>
    </w:p>
    <w:p w:rsidR="003B10D7" w:rsidRDefault="003B10D7" w:rsidP="00A744F7">
      <w:pPr>
        <w:pStyle w:val="Sansinterligne"/>
      </w:pPr>
    </w:p>
    <w:p w:rsidR="00677B15" w:rsidRDefault="00677B15" w:rsidP="00677B15">
      <w:pPr>
        <w:pStyle w:val="Sansinterligne"/>
      </w:pPr>
      <w:r>
        <w:t>Définition : [3] p.482 : L’</w:t>
      </w:r>
      <w:r>
        <w:rPr>
          <w:i/>
          <w:iCs/>
        </w:rPr>
        <w:t>équivalence</w:t>
      </w:r>
      <w:r>
        <w:t xml:space="preserve"> correspond à l’état du système chimique pour lequel l’espèce à titrer et l’espèce titrante ont été introduites dans les proportions stœchiométriques de la réaction support de titrage.</w:t>
      </w:r>
    </w:p>
    <w:p w:rsidR="00677B15" w:rsidRDefault="00677B15" w:rsidP="00A744F7">
      <w:pPr>
        <w:pStyle w:val="Sansinterligne"/>
      </w:pPr>
    </w:p>
    <w:p w:rsidR="00F014FD" w:rsidRPr="00F014FD" w:rsidRDefault="00F014FD" w:rsidP="00A744F7">
      <w:pPr>
        <w:pStyle w:val="Sansinterligne"/>
        <w:rPr>
          <w:color w:val="7030A0"/>
        </w:rPr>
      </w:pPr>
      <w:r>
        <w:rPr>
          <w:color w:val="7030A0"/>
        </w:rPr>
        <w:t>(Diapo) Titrage étudié</w:t>
      </w:r>
    </w:p>
    <w:p w:rsidR="003B10D7" w:rsidRPr="009E7162" w:rsidRDefault="00E84457" w:rsidP="003B10D7">
      <w:pPr>
        <w:pStyle w:val="Sansinterligne"/>
        <w:pBdr>
          <w:left w:val="thinThickSmallGap" w:sz="24" w:space="4" w:color="FFC000"/>
        </w:pBdr>
      </w:pPr>
      <w:r>
        <w:rPr>
          <w:u w:val="single"/>
        </w:rPr>
        <w:t>Titrage des ions chlorures :</w:t>
      </w:r>
      <w:r w:rsidR="009E7162">
        <w:rPr>
          <w:u w:val="single"/>
        </w:rPr>
        <w:t xml:space="preserve"> </w:t>
      </w:r>
      <w:r w:rsidR="009E7162">
        <w:t>[6]p.476 et suivantes</w:t>
      </w:r>
    </w:p>
    <w:p w:rsidR="00E84457" w:rsidRDefault="00E84457" w:rsidP="003B10D7">
      <w:pPr>
        <w:pStyle w:val="Sansinterligne"/>
        <w:pBdr>
          <w:left w:val="thinThickSmallGap" w:sz="24" w:space="4" w:color="FFC000"/>
        </w:pBdr>
      </w:pPr>
      <w:r>
        <w:tab/>
        <w:t>Solutions préparées en préparation</w:t>
      </w:r>
      <w:r w:rsidR="009E7162">
        <w:t xml:space="preserve"> – Prélèvement de deux flacons</w:t>
      </w:r>
    </w:p>
    <w:p w:rsidR="009E7162" w:rsidRDefault="009E7162" w:rsidP="003B10D7">
      <w:pPr>
        <w:pStyle w:val="Sansinterligne"/>
        <w:pBdr>
          <w:left w:val="thinThickSmallGap" w:sz="24" w:space="4" w:color="FFC000"/>
        </w:pBdr>
      </w:pPr>
      <w:r>
        <w:tab/>
        <w:t>Modification de la concentration de la solution de nitrate d’argent (0,1 mol/L)</w:t>
      </w:r>
      <w:r w:rsidR="00D032E9">
        <w:t xml:space="preserve"> – volume équivalent vers 15,4 </w:t>
      </w:r>
      <w:proofErr w:type="spellStart"/>
      <w:r w:rsidR="00D032E9">
        <w:t>mL</w:t>
      </w:r>
      <w:proofErr w:type="spellEnd"/>
    </w:p>
    <w:p w:rsidR="00E84457" w:rsidRDefault="00E84457" w:rsidP="003B10D7">
      <w:pPr>
        <w:pStyle w:val="Sansinterligne"/>
        <w:pBdr>
          <w:left w:val="thinThickSmallGap" w:sz="24" w:space="4" w:color="FFC000"/>
        </w:pBdr>
      </w:pPr>
      <w:r>
        <w:tab/>
        <w:t>Courbe face au jury : prendre environ 10 points</w:t>
      </w:r>
    </w:p>
    <w:p w:rsidR="00E84457" w:rsidRDefault="00E84457" w:rsidP="003B10D7">
      <w:pPr>
        <w:pStyle w:val="Sansinterligne"/>
        <w:pBdr>
          <w:left w:val="thinThickSmallGap" w:sz="24" w:space="4" w:color="FFC000"/>
        </w:pBdr>
        <w:rPr>
          <w:i/>
          <w:iCs/>
        </w:rPr>
      </w:pPr>
      <w:r>
        <w:tab/>
      </w:r>
      <w:r>
        <w:rPr>
          <w:i/>
          <w:iCs/>
        </w:rPr>
        <w:t>Prévoir une courbe qui fonctionne à montrer au cas où</w:t>
      </w:r>
    </w:p>
    <w:p w:rsidR="00796489" w:rsidRPr="00796489" w:rsidRDefault="00796489" w:rsidP="003B10D7">
      <w:pPr>
        <w:pStyle w:val="Sansinterligne"/>
        <w:pBdr>
          <w:left w:val="thinThickSmallGap" w:sz="24" w:space="4" w:color="FFC000"/>
        </w:pBdr>
        <w:rPr>
          <w:smallCaps/>
        </w:rPr>
      </w:pPr>
      <w:r>
        <w:rPr>
          <w:smallCaps/>
        </w:rPr>
        <w:t xml:space="preserve">Ne pas oublier les incertitudes </w:t>
      </w:r>
      <w:r w:rsidR="00E81808">
        <w:rPr>
          <w:smallCaps/>
        </w:rPr>
        <w:t>(préciser qu’il faudrait mettre des incertitudes sur les points expérimentaux)</w:t>
      </w:r>
    </w:p>
    <w:p w:rsidR="00E84457" w:rsidRDefault="00E84457" w:rsidP="00E84457">
      <w:pPr>
        <w:pStyle w:val="Sansinterligne"/>
      </w:pPr>
    </w:p>
    <w:p w:rsidR="00E84457" w:rsidRDefault="00E84457" w:rsidP="00E84457">
      <w:pPr>
        <w:pStyle w:val="Sansinterligne"/>
        <w:rPr>
          <w:color w:val="7030A0"/>
        </w:rPr>
      </w:pPr>
      <w:r>
        <w:rPr>
          <w:color w:val="7030A0"/>
        </w:rPr>
        <w:t>(Diapo) interprétation de l’évolution de la conductivité en fonction du volume de solution titrante versée</w:t>
      </w:r>
    </w:p>
    <w:p w:rsidR="00F014FD" w:rsidRDefault="00F014FD" w:rsidP="00E84457">
      <w:pPr>
        <w:pStyle w:val="Sansinterligne"/>
      </w:pPr>
    </w:p>
    <w:p w:rsidR="00F014FD" w:rsidRPr="00F014FD" w:rsidRDefault="00677B15" w:rsidP="00E84457">
      <w:pPr>
        <w:pStyle w:val="Sansinterligne"/>
      </w:pPr>
      <w:r>
        <w:t>Dans le cas d’un titrage conductimétrique, on repère l’équivalence à la rupture des pentes à cause des différences de conductivité ionique molaire.</w:t>
      </w:r>
      <w:r w:rsidR="00F014FD">
        <w:t xml:space="preserve">  </w:t>
      </w:r>
    </w:p>
    <w:p w:rsidR="00E84457" w:rsidRDefault="00E84457" w:rsidP="00E84457">
      <w:pPr>
        <w:pStyle w:val="Sansinterligne"/>
        <w:rPr>
          <w:color w:val="7030A0"/>
        </w:rPr>
      </w:pPr>
    </w:p>
    <w:p w:rsidR="00E84457" w:rsidRDefault="00796489" w:rsidP="00796489">
      <w:pPr>
        <w:pStyle w:val="Sansinterligne"/>
        <w:numPr>
          <w:ilvl w:val="0"/>
          <w:numId w:val="43"/>
        </w:numPr>
        <w:rPr>
          <w:b/>
          <w:bCs/>
        </w:rPr>
      </w:pPr>
      <w:r>
        <w:rPr>
          <w:b/>
          <w:bCs/>
        </w:rPr>
        <w:t>Dosage acido-basique et indicateurs colorés</w:t>
      </w:r>
    </w:p>
    <w:p w:rsidR="00796489" w:rsidRDefault="00796489" w:rsidP="00796489">
      <w:pPr>
        <w:pStyle w:val="Sansinterligne"/>
        <w:ind w:firstLine="708"/>
      </w:pPr>
      <w:r>
        <w:t>On peut aussi suivre lors de titrages, d’autres grandeurs physiques telles que le pH lorsque la réaction support de titrage est une réaction acido-basique.</w:t>
      </w:r>
    </w:p>
    <w:p w:rsidR="00796489" w:rsidRDefault="00796489" w:rsidP="00796489">
      <w:pPr>
        <w:pStyle w:val="Sansinterligne"/>
        <w:ind w:firstLine="708"/>
      </w:pPr>
    </w:p>
    <w:p w:rsidR="00796489" w:rsidRDefault="00796489" w:rsidP="00796489">
      <w:pPr>
        <w:pStyle w:val="Sansinterligne"/>
        <w:ind w:firstLine="708"/>
      </w:pPr>
      <w:r>
        <w:t>Le Destop est un produit permettant de déboucher des canalisations. On peut voir sur l’emballage de celui-ci qu’il contient de la soude. On peut donc chercher à déterminer la concentration dans un échantillon de ce produit d’entretien.</w:t>
      </w:r>
    </w:p>
    <w:p w:rsidR="00796489" w:rsidRDefault="00796489" w:rsidP="00796489">
      <w:pPr>
        <w:pStyle w:val="Sansinterligne"/>
        <w:ind w:firstLine="708"/>
      </w:pPr>
    </w:p>
    <w:p w:rsidR="001D4532" w:rsidRDefault="001D4532" w:rsidP="00EA2509">
      <w:pPr>
        <w:pStyle w:val="Sansinterligne"/>
        <w:pBdr>
          <w:left w:val="thinThickSmallGap" w:sz="24" w:space="4" w:color="FFC000"/>
        </w:pBdr>
      </w:pPr>
      <w:r>
        <w:t xml:space="preserve">Simulation sur </w:t>
      </w:r>
      <w:proofErr w:type="spellStart"/>
      <w:r>
        <w:t>Dozzaqueux</w:t>
      </w:r>
      <w:proofErr w:type="spellEnd"/>
      <w:r>
        <w:t xml:space="preserve"> du suivi pH-métrique</w:t>
      </w:r>
      <w:r w:rsidR="00EA2509">
        <w:t xml:space="preserve"> (concentration connue en soude de 0.06 mol/L</w:t>
      </w:r>
      <w:r w:rsidR="0092403F">
        <w:t xml:space="preserve"> par de l’acide à 0,1 mol/L</w:t>
      </w:r>
      <w:r w:rsidR="00EA2509">
        <w:t xml:space="preserve"> – </w:t>
      </w:r>
      <w:proofErr w:type="spellStart"/>
      <w:r w:rsidR="00EA2509">
        <w:t>cf</w:t>
      </w:r>
      <w:proofErr w:type="spellEnd"/>
      <w:r w:rsidR="00EA2509">
        <w:t xml:space="preserve"> TP) -&gt; volume équivalent de 12 </w:t>
      </w:r>
      <w:proofErr w:type="spellStart"/>
      <w:r w:rsidR="00EA2509">
        <w:t>mL</w:t>
      </w:r>
      <w:proofErr w:type="spellEnd"/>
      <w:r w:rsidR="00EA2509">
        <w:t xml:space="preserve"> puis export sur Regressi pour trouver le pH équivalent vers 7</w:t>
      </w:r>
      <w:r w:rsidR="005C01F8">
        <w:t xml:space="preserve"> (méthode des tangentes par clic)</w:t>
      </w:r>
    </w:p>
    <w:p w:rsidR="00EA2509" w:rsidRDefault="00EA2509" w:rsidP="001D4532">
      <w:pPr>
        <w:pStyle w:val="Sansinterligne"/>
      </w:pPr>
    </w:p>
    <w:p w:rsidR="001D4532" w:rsidRDefault="001D4532" w:rsidP="001D4532">
      <w:pPr>
        <w:pStyle w:val="Sansinterligne"/>
      </w:pPr>
      <w:r>
        <w:t>Obtention du volume à l’équivalence -&gt; justification de l’utilisation du BBT comme indicateur coloré</w:t>
      </w:r>
      <w:r w:rsidR="00EA2509">
        <w:t xml:space="preserve"> – bleu de bromothymol (zone de virage pH entre 6 et 7,6). Passage du jaune (forme basique) au bleu (forme acide)</w:t>
      </w:r>
      <w:bookmarkStart w:id="2" w:name="_GoBack"/>
      <w:bookmarkEnd w:id="2"/>
    </w:p>
    <w:p w:rsidR="00EA2509" w:rsidRDefault="00EA2509" w:rsidP="001D4532">
      <w:pPr>
        <w:pStyle w:val="Sansinterligne"/>
      </w:pPr>
    </w:p>
    <w:p w:rsidR="00EA2509" w:rsidRDefault="00EA2509" w:rsidP="00EA2509">
      <w:pPr>
        <w:pStyle w:val="Sansinterligne"/>
        <w:pBdr>
          <w:left w:val="thinThickSmallGap" w:sz="24" w:space="4" w:color="FFC000"/>
        </w:pBdr>
      </w:pPr>
      <w:r w:rsidRPr="00EA2509">
        <w:rPr>
          <w:i/>
          <w:iCs/>
        </w:rPr>
        <w:t>Remplissage de la burette</w:t>
      </w:r>
      <w:r>
        <w:t xml:space="preserve"> </w:t>
      </w:r>
      <w:r w:rsidR="00986918">
        <w:t xml:space="preserve">(bulle et zéro) </w:t>
      </w:r>
      <w:r>
        <w:t>et titrage colorimétrique face au jury</w:t>
      </w:r>
    </w:p>
    <w:p w:rsidR="00EA2509" w:rsidRDefault="00EA2509" w:rsidP="00EA2509">
      <w:pPr>
        <w:pStyle w:val="Sansinterligne"/>
        <w:pBdr>
          <w:left w:val="thinThickSmallGap" w:sz="24" w:space="4" w:color="FFC000"/>
        </w:pBdr>
      </w:pPr>
      <w:r>
        <w:t>Il peut être intéressant de prévoir en double ce montage l’un avec une burette l’autre avec une burette prête.</w:t>
      </w:r>
    </w:p>
    <w:p w:rsidR="005C01F8" w:rsidRDefault="005C01F8" w:rsidP="005C01F8">
      <w:pPr>
        <w:pStyle w:val="Sansinterligne"/>
        <w:rPr>
          <w:b/>
          <w:bCs/>
          <w:smallCaps/>
          <w:color w:val="FF0000"/>
        </w:rPr>
      </w:pPr>
    </w:p>
    <w:p w:rsidR="005C01F8" w:rsidRDefault="005C01F8" w:rsidP="005C01F8">
      <w:pPr>
        <w:pStyle w:val="Sansinterligne"/>
        <w:rPr>
          <w:b/>
          <w:bCs/>
          <w:smallCaps/>
          <w:color w:val="FF0000"/>
        </w:rPr>
      </w:pPr>
      <w:r>
        <w:rPr>
          <w:b/>
          <w:bCs/>
          <w:smallCaps/>
          <w:color w:val="FF0000"/>
        </w:rPr>
        <w:t xml:space="preserve">Conclusion : </w:t>
      </w:r>
    </w:p>
    <w:p w:rsidR="005C01F8" w:rsidRDefault="005C01F8" w:rsidP="005C01F8">
      <w:pPr>
        <w:pStyle w:val="Sansinterligne"/>
        <w:rPr>
          <w:b/>
          <w:bCs/>
          <w:smallCaps/>
          <w:color w:val="FF0000"/>
        </w:rPr>
      </w:pPr>
      <w:r>
        <w:rPr>
          <w:b/>
          <w:bCs/>
          <w:smallCaps/>
          <w:color w:val="FF0000"/>
        </w:rPr>
        <w:t>Au cours de cette leçon, nous avons comment doser une espèce en solution, soit par un dosage par étalonnage ou un dosage par titrage.</w:t>
      </w:r>
    </w:p>
    <w:p w:rsidR="005C01F8" w:rsidRDefault="005C01F8" w:rsidP="005C01F8">
      <w:pPr>
        <w:pStyle w:val="Sansinterligne"/>
        <w:rPr>
          <w:b/>
          <w:bCs/>
          <w:smallCaps/>
          <w:color w:val="FF0000"/>
        </w:rPr>
      </w:pPr>
      <w:r>
        <w:rPr>
          <w:b/>
          <w:bCs/>
          <w:smallCaps/>
          <w:color w:val="FF0000"/>
        </w:rPr>
        <w:t xml:space="preserve">Il existe d’autres méthodes de dosage par titrage comme le dosage potentiométrique ou encore sur les titrages indirects (en retour ou en excès – Voir livre </w:t>
      </w:r>
      <w:proofErr w:type="spellStart"/>
      <w:r>
        <w:rPr>
          <w:b/>
          <w:bCs/>
          <w:smallCaps/>
          <w:color w:val="FF0000"/>
        </w:rPr>
        <w:t>d’anne</w:t>
      </w:r>
      <w:proofErr w:type="spellEnd"/>
      <w:r>
        <w:rPr>
          <w:b/>
          <w:bCs/>
          <w:smallCaps/>
          <w:color w:val="FF0000"/>
        </w:rPr>
        <w:t xml:space="preserve"> </w:t>
      </w:r>
      <w:proofErr w:type="spellStart"/>
      <w:r>
        <w:rPr>
          <w:b/>
          <w:bCs/>
          <w:smallCaps/>
          <w:color w:val="FF0000"/>
        </w:rPr>
        <w:t>sophie</w:t>
      </w:r>
      <w:proofErr w:type="spellEnd"/>
      <w:r>
        <w:rPr>
          <w:b/>
          <w:bCs/>
          <w:smallCaps/>
          <w:color w:val="FF0000"/>
        </w:rPr>
        <w:t>).</w:t>
      </w:r>
    </w:p>
    <w:p w:rsidR="005C01F8" w:rsidRPr="005C01F8" w:rsidRDefault="005C01F8" w:rsidP="005C01F8">
      <w:pPr>
        <w:pStyle w:val="Sansinterligne"/>
        <w:rPr>
          <w:b/>
          <w:bCs/>
          <w:smallCaps/>
          <w:color w:val="FF0000"/>
        </w:rPr>
      </w:pPr>
      <w:r>
        <w:rPr>
          <w:b/>
          <w:bCs/>
          <w:smallCaps/>
          <w:color w:val="FF0000"/>
        </w:rPr>
        <w:t xml:space="preserve">Les méthodes utilisées ici sont également des méthodes de suivi cinétique d’une réaction (par spectrophotométrie ou par conductimétrie). </w:t>
      </w:r>
    </w:p>
    <w:sectPr w:rsidR="005C01F8" w:rsidRPr="005C01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683" w:rsidRDefault="00933683" w:rsidP="00A06968">
      <w:pPr>
        <w:spacing w:after="0" w:line="240" w:lineRule="auto"/>
      </w:pPr>
      <w:r>
        <w:separator/>
      </w:r>
    </w:p>
  </w:endnote>
  <w:endnote w:type="continuationSeparator" w:id="0">
    <w:p w:rsidR="00933683" w:rsidRDefault="00933683"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683" w:rsidRDefault="00933683" w:rsidP="00A06968">
      <w:pPr>
        <w:spacing w:after="0" w:line="240" w:lineRule="auto"/>
      </w:pPr>
      <w:r>
        <w:separator/>
      </w:r>
    </w:p>
  </w:footnote>
  <w:footnote w:type="continuationSeparator" w:id="0">
    <w:p w:rsidR="00933683" w:rsidRDefault="00933683" w:rsidP="00A06968">
      <w:pPr>
        <w:spacing w:after="0" w:line="240" w:lineRule="auto"/>
      </w:pPr>
      <w:r>
        <w:continuationSeparator/>
      </w:r>
    </w:p>
  </w:footnote>
  <w:footnote w:id="1">
    <w:p w:rsidR="005D475F" w:rsidRDefault="005D475F">
      <w:pPr>
        <w:pStyle w:val="Notedebasdepage"/>
      </w:pPr>
      <w:r>
        <w:rPr>
          <w:rStyle w:val="Appelnotedebasdep"/>
        </w:rPr>
        <w:footnoteRef/>
      </w:r>
      <w:r>
        <w:t xml:space="preserve"> J.H Lambert est un mathématicien allemand né en 1728 et mort en 1777</w:t>
      </w:r>
    </w:p>
    <w:p w:rsidR="005D475F" w:rsidRDefault="005D475F">
      <w:pPr>
        <w:pStyle w:val="Notedebasdepage"/>
      </w:pPr>
      <w:proofErr w:type="spellStart"/>
      <w:r>
        <w:t>A.Beer</w:t>
      </w:r>
      <w:proofErr w:type="spellEnd"/>
      <w:r>
        <w:t xml:space="preserve"> est un mathématicien, chimiste et physicien allemand né en 1825 et mort en 1863</w:t>
      </w:r>
    </w:p>
  </w:footnote>
  <w:footnote w:id="2">
    <w:p w:rsidR="005D475F" w:rsidRDefault="005D475F">
      <w:pPr>
        <w:pStyle w:val="Notedebasdepage"/>
      </w:pPr>
      <w:r>
        <w:rPr>
          <w:rStyle w:val="Appelnotedebasdep"/>
        </w:rPr>
        <w:footnoteRef/>
      </w:r>
      <w:r>
        <w:t xml:space="preserve"> Physicien allemand né en 1840 et mort en 1910. La loi est énoncée en 1874 </w:t>
      </w:r>
    </w:p>
    <w:p w:rsidR="005D475F" w:rsidRDefault="005D475F">
      <w:pPr>
        <w:pStyle w:val="Notedebasdepage"/>
      </w:pPr>
      <w:r w:rsidRPr="005D475F">
        <w:t>Dans le cas d'un électrolyte fort, on peut appliquer la loi de Kohlrausch :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ctrlPr>
              <w:rPr>
                <w:rFonts w:ascii="Cambria Math" w:hAnsi="Cambria Math"/>
                <w:i/>
              </w:rPr>
            </m:ctrlPr>
          </m:e>
        </m:nary>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i</m:t>
            </m:r>
          </m:sub>
          <m:sup>
            <m:r>
              <w:rPr>
                <w:rFonts w:ascii="Cambria Math" w:hAnsi="Cambria Math"/>
              </w:rPr>
              <m:t>0</m:t>
            </m:r>
          </m:sup>
        </m:sSubSup>
        <m:r>
          <w:rPr>
            <w:rFonts w:ascii="Cambria Math" w:hAnsi="Cambria Math"/>
          </w:rPr>
          <m:t>-K</m:t>
        </m:r>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C</m:t>
                </m:r>
              </m:e>
              <m:sub>
                <m:r>
                  <w:rPr>
                    <w:rFonts w:ascii="Cambria Math" w:hAnsi="Cambria Math"/>
                  </w:rPr>
                  <m:t>i</m:t>
                </m:r>
              </m:sub>
            </m:sSub>
          </m:e>
        </m:rad>
      </m:oMath>
      <w:r w:rsidR="00415E7E">
        <w:rPr>
          <w:rFonts w:eastAsiaTheme="minorEastAsia"/>
        </w:rPr>
        <w:t xml:space="preserve"> (issue de Debye-Huckel)</w:t>
      </w:r>
    </w:p>
  </w:footnote>
  <w:footnote w:id="3">
    <w:p w:rsidR="0042492A" w:rsidRDefault="0042492A">
      <w:pPr>
        <w:pStyle w:val="Notedebasdepage"/>
      </w:pPr>
      <w:r>
        <w:rPr>
          <w:rStyle w:val="Appelnotedebasdep"/>
        </w:rPr>
        <w:footnoteRef/>
      </w:r>
      <w:r>
        <w:t xml:space="preserve"> La tension appliquée</w:t>
      </w:r>
      <w:r w:rsidR="0006009F">
        <w:t xml:space="preserve"> (ou le courant)</w:t>
      </w:r>
      <w:r>
        <w:t xml:space="preserve"> est alternativ</w:t>
      </w:r>
      <w:r w:rsidR="0006009F">
        <w:t>e</w:t>
      </w:r>
      <w:r>
        <w:t xml:space="preserve"> </w:t>
      </w:r>
      <w:r w:rsidR="0006009F">
        <w:t xml:space="preserve">(alternatif) </w:t>
      </w:r>
      <w:r>
        <w:t>de l’ordre de la centaine de Hz</w:t>
      </w:r>
      <w:r w:rsidR="0006009F">
        <w:t xml:space="preserve"> à quelques milliers de Hz</w:t>
      </w:r>
      <w:r>
        <w:t xml:space="preserve"> pour éviter la polarisation des plaques et de faible amplitude afin de ne pas électrolyser les espèces contenues dans la solution.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519"/>
    <w:multiLevelType w:val="hybridMultilevel"/>
    <w:tmpl w:val="767A94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82350D"/>
    <w:multiLevelType w:val="hybridMultilevel"/>
    <w:tmpl w:val="FD16F374"/>
    <w:lvl w:ilvl="0" w:tplc="275A00F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92DF1"/>
    <w:multiLevelType w:val="hybridMultilevel"/>
    <w:tmpl w:val="D4AA3E5A"/>
    <w:lvl w:ilvl="0" w:tplc="E7DA3F74">
      <w:start w:val="2"/>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135B3B94"/>
    <w:multiLevelType w:val="hybridMultilevel"/>
    <w:tmpl w:val="75D2844E"/>
    <w:lvl w:ilvl="0" w:tplc="6DDE38E8">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123841"/>
    <w:multiLevelType w:val="hybridMultilevel"/>
    <w:tmpl w:val="60064510"/>
    <w:lvl w:ilvl="0" w:tplc="5B321E8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79A1396"/>
    <w:multiLevelType w:val="hybridMultilevel"/>
    <w:tmpl w:val="C200EC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1D233A"/>
    <w:multiLevelType w:val="hybridMultilevel"/>
    <w:tmpl w:val="37A4D692"/>
    <w:lvl w:ilvl="0" w:tplc="A96037E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0F75D62"/>
    <w:multiLevelType w:val="hybridMultilevel"/>
    <w:tmpl w:val="07D85F76"/>
    <w:lvl w:ilvl="0" w:tplc="8E86138A">
      <w:numFmt w:val="bullet"/>
      <w:lvlText w:val="-"/>
      <w:lvlJc w:val="left"/>
      <w:pPr>
        <w:ind w:left="720" w:hanging="360"/>
      </w:pPr>
      <w:rPr>
        <w:rFonts w:ascii="Calibri" w:eastAsiaTheme="minorHAnsi" w:hAnsi="Calibri" w:cstheme="minorBidi"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EB7C79"/>
    <w:multiLevelType w:val="hybridMultilevel"/>
    <w:tmpl w:val="701EB53A"/>
    <w:lvl w:ilvl="0" w:tplc="7838635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58879A1"/>
    <w:multiLevelType w:val="hybridMultilevel"/>
    <w:tmpl w:val="9AAA0C42"/>
    <w:lvl w:ilvl="0" w:tplc="0E18F1E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8DC3C16"/>
    <w:multiLevelType w:val="hybridMultilevel"/>
    <w:tmpl w:val="07909D92"/>
    <w:lvl w:ilvl="0" w:tplc="10EC8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5802E2"/>
    <w:multiLevelType w:val="hybridMultilevel"/>
    <w:tmpl w:val="0910ED3C"/>
    <w:lvl w:ilvl="0" w:tplc="1708DB9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3023E9"/>
    <w:multiLevelType w:val="hybridMultilevel"/>
    <w:tmpl w:val="7C5EA7BE"/>
    <w:lvl w:ilvl="0" w:tplc="69D471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F104191"/>
    <w:multiLevelType w:val="hybridMultilevel"/>
    <w:tmpl w:val="57A24028"/>
    <w:lvl w:ilvl="0" w:tplc="040C0019">
      <w:start w:val="1"/>
      <w:numFmt w:val="lowerLetter"/>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2F737B10"/>
    <w:multiLevelType w:val="hybridMultilevel"/>
    <w:tmpl w:val="A2AAEE9C"/>
    <w:lvl w:ilvl="0" w:tplc="E94ED5EE">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753ED9"/>
    <w:multiLevelType w:val="hybridMultilevel"/>
    <w:tmpl w:val="172C5A12"/>
    <w:lvl w:ilvl="0" w:tplc="B5AAD51C">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9" w15:restartNumberingAfterBreak="0">
    <w:nsid w:val="38541C28"/>
    <w:multiLevelType w:val="hybridMultilevel"/>
    <w:tmpl w:val="B1823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1A8140A"/>
    <w:multiLevelType w:val="hybridMultilevel"/>
    <w:tmpl w:val="151411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701421"/>
    <w:multiLevelType w:val="hybridMultilevel"/>
    <w:tmpl w:val="A2785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37A5B04"/>
    <w:multiLevelType w:val="hybridMultilevel"/>
    <w:tmpl w:val="D59655F8"/>
    <w:lvl w:ilvl="0" w:tplc="DD5A637A">
      <w:numFmt w:val="bullet"/>
      <w:lvlText w:val="-"/>
      <w:lvlJc w:val="left"/>
      <w:pPr>
        <w:ind w:left="720" w:hanging="360"/>
      </w:pPr>
      <w:rPr>
        <w:rFonts w:ascii="Calibri" w:eastAsiaTheme="minorHAnsi" w:hAnsi="Calibri" w:cstheme="minorBidi"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BC5026"/>
    <w:multiLevelType w:val="hybridMultilevel"/>
    <w:tmpl w:val="8DC433E0"/>
    <w:lvl w:ilvl="0" w:tplc="99C4978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6B095B"/>
    <w:multiLevelType w:val="hybridMultilevel"/>
    <w:tmpl w:val="6F1CF5F6"/>
    <w:lvl w:ilvl="0" w:tplc="26F4E742">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2525782"/>
    <w:multiLevelType w:val="hybridMultilevel"/>
    <w:tmpl w:val="012AFB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0F68AB"/>
    <w:multiLevelType w:val="hybridMultilevel"/>
    <w:tmpl w:val="2748809A"/>
    <w:lvl w:ilvl="0" w:tplc="3620E9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5A7D3F88"/>
    <w:multiLevelType w:val="hybridMultilevel"/>
    <w:tmpl w:val="83E6B1E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680F472E"/>
    <w:multiLevelType w:val="hybridMultilevel"/>
    <w:tmpl w:val="51188220"/>
    <w:lvl w:ilvl="0" w:tplc="25D4AF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BE614E0"/>
    <w:multiLevelType w:val="hybridMultilevel"/>
    <w:tmpl w:val="3662CFD8"/>
    <w:lvl w:ilvl="0" w:tplc="B6CC63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0C45D42"/>
    <w:multiLevelType w:val="hybridMultilevel"/>
    <w:tmpl w:val="2F286CD6"/>
    <w:lvl w:ilvl="0" w:tplc="B97C59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71DB208E"/>
    <w:multiLevelType w:val="hybridMultilevel"/>
    <w:tmpl w:val="A3D240CA"/>
    <w:lvl w:ilvl="0" w:tplc="D58C14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0A0E50"/>
    <w:multiLevelType w:val="hybridMultilevel"/>
    <w:tmpl w:val="902A27B6"/>
    <w:lvl w:ilvl="0" w:tplc="4FF61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7D092808"/>
    <w:multiLevelType w:val="hybridMultilevel"/>
    <w:tmpl w:val="DD2EEC50"/>
    <w:lvl w:ilvl="0" w:tplc="37E830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B3493B"/>
    <w:multiLevelType w:val="hybridMultilevel"/>
    <w:tmpl w:val="34CA9DD8"/>
    <w:lvl w:ilvl="0" w:tplc="96D87A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3"/>
  </w:num>
  <w:num w:numId="4">
    <w:abstractNumId w:val="35"/>
  </w:num>
  <w:num w:numId="5">
    <w:abstractNumId w:val="33"/>
  </w:num>
  <w:num w:numId="6">
    <w:abstractNumId w:val="20"/>
  </w:num>
  <w:num w:numId="7">
    <w:abstractNumId w:val="40"/>
  </w:num>
  <w:num w:numId="8">
    <w:abstractNumId w:val="42"/>
  </w:num>
  <w:num w:numId="9">
    <w:abstractNumId w:val="38"/>
  </w:num>
  <w:num w:numId="10">
    <w:abstractNumId w:val="12"/>
  </w:num>
  <w:num w:numId="11">
    <w:abstractNumId w:val="39"/>
  </w:num>
  <w:num w:numId="12">
    <w:abstractNumId w:val="41"/>
  </w:num>
  <w:num w:numId="13">
    <w:abstractNumId w:val="19"/>
  </w:num>
  <w:num w:numId="14">
    <w:abstractNumId w:val="7"/>
  </w:num>
  <w:num w:numId="15">
    <w:abstractNumId w:val="37"/>
  </w:num>
  <w:num w:numId="16">
    <w:abstractNumId w:val="29"/>
  </w:num>
  <w:num w:numId="17">
    <w:abstractNumId w:val="34"/>
  </w:num>
  <w:num w:numId="18">
    <w:abstractNumId w:val="0"/>
  </w:num>
  <w:num w:numId="19">
    <w:abstractNumId w:val="8"/>
  </w:num>
  <w:num w:numId="20">
    <w:abstractNumId w:val="27"/>
  </w:num>
  <w:num w:numId="21">
    <w:abstractNumId w:val="36"/>
  </w:num>
  <w:num w:numId="22">
    <w:abstractNumId w:val="17"/>
  </w:num>
  <w:num w:numId="23">
    <w:abstractNumId w:val="22"/>
  </w:num>
  <w:num w:numId="24">
    <w:abstractNumId w:val="11"/>
  </w:num>
  <w:num w:numId="25">
    <w:abstractNumId w:val="16"/>
  </w:num>
  <w:num w:numId="26">
    <w:abstractNumId w:val="4"/>
  </w:num>
  <w:num w:numId="27">
    <w:abstractNumId w:val="6"/>
  </w:num>
  <w:num w:numId="28">
    <w:abstractNumId w:val="9"/>
  </w:num>
  <w:num w:numId="29">
    <w:abstractNumId w:val="24"/>
  </w:num>
  <w:num w:numId="30">
    <w:abstractNumId w:val="21"/>
  </w:num>
  <w:num w:numId="31">
    <w:abstractNumId w:val="30"/>
  </w:num>
  <w:num w:numId="32">
    <w:abstractNumId w:val="15"/>
  </w:num>
  <w:num w:numId="33">
    <w:abstractNumId w:val="28"/>
  </w:num>
  <w:num w:numId="34">
    <w:abstractNumId w:val="1"/>
  </w:num>
  <w:num w:numId="35">
    <w:abstractNumId w:val="31"/>
  </w:num>
  <w:num w:numId="36">
    <w:abstractNumId w:val="18"/>
  </w:num>
  <w:num w:numId="37">
    <w:abstractNumId w:val="10"/>
  </w:num>
  <w:num w:numId="38">
    <w:abstractNumId w:val="14"/>
  </w:num>
  <w:num w:numId="39">
    <w:abstractNumId w:val="26"/>
  </w:num>
  <w:num w:numId="40">
    <w:abstractNumId w:val="13"/>
  </w:num>
  <w:num w:numId="41">
    <w:abstractNumId w:val="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34414"/>
    <w:rsid w:val="00041BF6"/>
    <w:rsid w:val="0006009F"/>
    <w:rsid w:val="00061875"/>
    <w:rsid w:val="00065C19"/>
    <w:rsid w:val="0007304E"/>
    <w:rsid w:val="00081460"/>
    <w:rsid w:val="00093D37"/>
    <w:rsid w:val="000A3F8B"/>
    <w:rsid w:val="000B6C12"/>
    <w:rsid w:val="000C0D39"/>
    <w:rsid w:val="000C5821"/>
    <w:rsid w:val="000D165D"/>
    <w:rsid w:val="000D1FB2"/>
    <w:rsid w:val="000D4731"/>
    <w:rsid w:val="000F58C8"/>
    <w:rsid w:val="001013BA"/>
    <w:rsid w:val="001037A3"/>
    <w:rsid w:val="00103E1F"/>
    <w:rsid w:val="00104588"/>
    <w:rsid w:val="001126C7"/>
    <w:rsid w:val="00122226"/>
    <w:rsid w:val="00131AA1"/>
    <w:rsid w:val="00151F76"/>
    <w:rsid w:val="001A47CE"/>
    <w:rsid w:val="001A73EF"/>
    <w:rsid w:val="001C41D7"/>
    <w:rsid w:val="001C7E3E"/>
    <w:rsid w:val="001D4532"/>
    <w:rsid w:val="001F7C8C"/>
    <w:rsid w:val="00201AFD"/>
    <w:rsid w:val="00201BBC"/>
    <w:rsid w:val="00243CE4"/>
    <w:rsid w:val="00276575"/>
    <w:rsid w:val="00281EE7"/>
    <w:rsid w:val="00290459"/>
    <w:rsid w:val="002B0CDC"/>
    <w:rsid w:val="002B3633"/>
    <w:rsid w:val="002C3750"/>
    <w:rsid w:val="002C7747"/>
    <w:rsid w:val="002D7D3A"/>
    <w:rsid w:val="002E3D67"/>
    <w:rsid w:val="002F11EE"/>
    <w:rsid w:val="00303CAD"/>
    <w:rsid w:val="00325F0B"/>
    <w:rsid w:val="00336811"/>
    <w:rsid w:val="00347B53"/>
    <w:rsid w:val="00353B0E"/>
    <w:rsid w:val="00365F03"/>
    <w:rsid w:val="00372E4B"/>
    <w:rsid w:val="003749EE"/>
    <w:rsid w:val="00382EC4"/>
    <w:rsid w:val="00391852"/>
    <w:rsid w:val="00397DD1"/>
    <w:rsid w:val="003A11A8"/>
    <w:rsid w:val="003B10D7"/>
    <w:rsid w:val="003C684E"/>
    <w:rsid w:val="003D2915"/>
    <w:rsid w:val="003F45E6"/>
    <w:rsid w:val="00410CBA"/>
    <w:rsid w:val="00415E7E"/>
    <w:rsid w:val="004214CF"/>
    <w:rsid w:val="00423622"/>
    <w:rsid w:val="00424073"/>
    <w:rsid w:val="0042492A"/>
    <w:rsid w:val="00424DAA"/>
    <w:rsid w:val="0043131D"/>
    <w:rsid w:val="004566A8"/>
    <w:rsid w:val="0046144E"/>
    <w:rsid w:val="00462B7C"/>
    <w:rsid w:val="004923C1"/>
    <w:rsid w:val="004923CE"/>
    <w:rsid w:val="004A0174"/>
    <w:rsid w:val="004A7863"/>
    <w:rsid w:val="004C0448"/>
    <w:rsid w:val="004D0305"/>
    <w:rsid w:val="004D3FBD"/>
    <w:rsid w:val="004F7224"/>
    <w:rsid w:val="005113F8"/>
    <w:rsid w:val="0052245C"/>
    <w:rsid w:val="00522873"/>
    <w:rsid w:val="00523F00"/>
    <w:rsid w:val="005269AD"/>
    <w:rsid w:val="0054320B"/>
    <w:rsid w:val="005435AB"/>
    <w:rsid w:val="005520AF"/>
    <w:rsid w:val="00565EC7"/>
    <w:rsid w:val="00567F55"/>
    <w:rsid w:val="00572DC9"/>
    <w:rsid w:val="00583083"/>
    <w:rsid w:val="00596FED"/>
    <w:rsid w:val="005B6C6D"/>
    <w:rsid w:val="005C01F8"/>
    <w:rsid w:val="005C2121"/>
    <w:rsid w:val="005C5C7D"/>
    <w:rsid w:val="005D1215"/>
    <w:rsid w:val="005D475F"/>
    <w:rsid w:val="005E75F4"/>
    <w:rsid w:val="005F60DF"/>
    <w:rsid w:val="00611ACD"/>
    <w:rsid w:val="00615239"/>
    <w:rsid w:val="006365A1"/>
    <w:rsid w:val="00661F5B"/>
    <w:rsid w:val="00677B15"/>
    <w:rsid w:val="006873A5"/>
    <w:rsid w:val="0069500C"/>
    <w:rsid w:val="006A3F21"/>
    <w:rsid w:val="006B4A1A"/>
    <w:rsid w:val="006B61B8"/>
    <w:rsid w:val="006D384C"/>
    <w:rsid w:val="006D67AB"/>
    <w:rsid w:val="006E77CE"/>
    <w:rsid w:val="006F0B13"/>
    <w:rsid w:val="006F3382"/>
    <w:rsid w:val="00702DB7"/>
    <w:rsid w:val="00706389"/>
    <w:rsid w:val="00711E27"/>
    <w:rsid w:val="007226DF"/>
    <w:rsid w:val="00735F1E"/>
    <w:rsid w:val="00750363"/>
    <w:rsid w:val="0075642B"/>
    <w:rsid w:val="00761A31"/>
    <w:rsid w:val="00767647"/>
    <w:rsid w:val="00777AD5"/>
    <w:rsid w:val="00777E66"/>
    <w:rsid w:val="00784621"/>
    <w:rsid w:val="00795797"/>
    <w:rsid w:val="00796489"/>
    <w:rsid w:val="007A1289"/>
    <w:rsid w:val="007B21F3"/>
    <w:rsid w:val="007C077C"/>
    <w:rsid w:val="007D101A"/>
    <w:rsid w:val="007E3221"/>
    <w:rsid w:val="007F30DC"/>
    <w:rsid w:val="008217A3"/>
    <w:rsid w:val="00825271"/>
    <w:rsid w:val="008563F1"/>
    <w:rsid w:val="008616EF"/>
    <w:rsid w:val="00865677"/>
    <w:rsid w:val="00867CE1"/>
    <w:rsid w:val="008A42ED"/>
    <w:rsid w:val="008E64D2"/>
    <w:rsid w:val="008F75C7"/>
    <w:rsid w:val="00904622"/>
    <w:rsid w:val="00913DE0"/>
    <w:rsid w:val="0092403F"/>
    <w:rsid w:val="00933683"/>
    <w:rsid w:val="00934FED"/>
    <w:rsid w:val="00937013"/>
    <w:rsid w:val="009411DF"/>
    <w:rsid w:val="0094221C"/>
    <w:rsid w:val="00947486"/>
    <w:rsid w:val="00955600"/>
    <w:rsid w:val="00955DA4"/>
    <w:rsid w:val="00957974"/>
    <w:rsid w:val="0096666F"/>
    <w:rsid w:val="0096671B"/>
    <w:rsid w:val="00967F13"/>
    <w:rsid w:val="00973284"/>
    <w:rsid w:val="00977E46"/>
    <w:rsid w:val="00986918"/>
    <w:rsid w:val="009A21F6"/>
    <w:rsid w:val="009A7D39"/>
    <w:rsid w:val="009B3A3E"/>
    <w:rsid w:val="009B6084"/>
    <w:rsid w:val="009C397F"/>
    <w:rsid w:val="009D381E"/>
    <w:rsid w:val="009D5F3A"/>
    <w:rsid w:val="009D61B1"/>
    <w:rsid w:val="009E6E05"/>
    <w:rsid w:val="009E7162"/>
    <w:rsid w:val="009F3FB8"/>
    <w:rsid w:val="00A0202C"/>
    <w:rsid w:val="00A028B3"/>
    <w:rsid w:val="00A06968"/>
    <w:rsid w:val="00A37009"/>
    <w:rsid w:val="00A744F7"/>
    <w:rsid w:val="00A83C2D"/>
    <w:rsid w:val="00AA4B52"/>
    <w:rsid w:val="00AB0E25"/>
    <w:rsid w:val="00AB324D"/>
    <w:rsid w:val="00AD1B0F"/>
    <w:rsid w:val="00AE6DE8"/>
    <w:rsid w:val="00B170E9"/>
    <w:rsid w:val="00B53226"/>
    <w:rsid w:val="00B54FC9"/>
    <w:rsid w:val="00B563E0"/>
    <w:rsid w:val="00B60143"/>
    <w:rsid w:val="00B65F39"/>
    <w:rsid w:val="00B67BC0"/>
    <w:rsid w:val="00B72BC5"/>
    <w:rsid w:val="00B73CCD"/>
    <w:rsid w:val="00B760BB"/>
    <w:rsid w:val="00BB121A"/>
    <w:rsid w:val="00BB7C22"/>
    <w:rsid w:val="00BC1AAE"/>
    <w:rsid w:val="00BC4E24"/>
    <w:rsid w:val="00BD0A9A"/>
    <w:rsid w:val="00BD418D"/>
    <w:rsid w:val="00BD52A9"/>
    <w:rsid w:val="00BE5F7F"/>
    <w:rsid w:val="00BF79E2"/>
    <w:rsid w:val="00C219DF"/>
    <w:rsid w:val="00C5522B"/>
    <w:rsid w:val="00C711C8"/>
    <w:rsid w:val="00C94886"/>
    <w:rsid w:val="00CA31DC"/>
    <w:rsid w:val="00CA60C3"/>
    <w:rsid w:val="00CD1BB3"/>
    <w:rsid w:val="00CD5194"/>
    <w:rsid w:val="00CD7D15"/>
    <w:rsid w:val="00CF7603"/>
    <w:rsid w:val="00D032E9"/>
    <w:rsid w:val="00D24F3E"/>
    <w:rsid w:val="00D34A2D"/>
    <w:rsid w:val="00D34DAF"/>
    <w:rsid w:val="00D45EE5"/>
    <w:rsid w:val="00D51752"/>
    <w:rsid w:val="00D53EA2"/>
    <w:rsid w:val="00D56C6A"/>
    <w:rsid w:val="00D642E3"/>
    <w:rsid w:val="00D71276"/>
    <w:rsid w:val="00D75FCC"/>
    <w:rsid w:val="00D8117E"/>
    <w:rsid w:val="00DB3DBB"/>
    <w:rsid w:val="00DC141B"/>
    <w:rsid w:val="00DC3B55"/>
    <w:rsid w:val="00DC3CEB"/>
    <w:rsid w:val="00DC59F6"/>
    <w:rsid w:val="00DE0CE6"/>
    <w:rsid w:val="00DE6DEE"/>
    <w:rsid w:val="00DE7CAB"/>
    <w:rsid w:val="00DF39F8"/>
    <w:rsid w:val="00DF4D4E"/>
    <w:rsid w:val="00E041CB"/>
    <w:rsid w:val="00E11454"/>
    <w:rsid w:val="00E81808"/>
    <w:rsid w:val="00E84457"/>
    <w:rsid w:val="00E91A36"/>
    <w:rsid w:val="00EA2509"/>
    <w:rsid w:val="00EA3B03"/>
    <w:rsid w:val="00EB3182"/>
    <w:rsid w:val="00EB3E8F"/>
    <w:rsid w:val="00ED7DF2"/>
    <w:rsid w:val="00EF2337"/>
    <w:rsid w:val="00EF4DC5"/>
    <w:rsid w:val="00F014FD"/>
    <w:rsid w:val="00F22DE9"/>
    <w:rsid w:val="00F31FF5"/>
    <w:rsid w:val="00F47A2A"/>
    <w:rsid w:val="00F5318B"/>
    <w:rsid w:val="00F75763"/>
    <w:rsid w:val="00F904AF"/>
    <w:rsid w:val="00FA28F7"/>
    <w:rsid w:val="00FC481E"/>
    <w:rsid w:val="00FC7E11"/>
    <w:rsid w:val="00FD2A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C252"/>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ffaire_du_talc_Morha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D2531-55E8-4DEC-81A2-AA30E4BE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5</Pages>
  <Words>1747</Words>
  <Characters>9613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113</cp:revision>
  <dcterms:created xsi:type="dcterms:W3CDTF">2020-03-15T12:13:00Z</dcterms:created>
  <dcterms:modified xsi:type="dcterms:W3CDTF">2020-06-12T15:48:00Z</dcterms:modified>
</cp:coreProperties>
</file>