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1D6424">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1D6424">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7</w:t>
                      </w:r>
                    </w:p>
                  </w:txbxContent>
                </v:textbox>
              </v:shape>
            </w:pict>
          </mc:Fallback>
        </mc:AlternateContent>
      </w:r>
      <w:r w:rsidR="00B73CCD">
        <w:tab/>
        <w:t>Sép</w:t>
      </w:r>
      <w:r w:rsidR="00B73CCD">
        <w:tab/>
      </w:r>
      <w:r w:rsidR="00B73CCD">
        <w:tab/>
      </w:r>
      <w:r w:rsidR="001D6424">
        <w:rPr>
          <w:b/>
          <w:bCs/>
          <w:sz w:val="32"/>
          <w:szCs w:val="32"/>
        </w:rPr>
        <w:t>Cinétique et catalyse</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6A3F21" w:rsidRDefault="006B4A1A" w:rsidP="006D384C">
      <w:pPr>
        <w:autoSpaceDE w:val="0"/>
        <w:autoSpaceDN w:val="0"/>
        <w:adjustRightInd w:val="0"/>
        <w:spacing w:after="0" w:line="240" w:lineRule="auto"/>
      </w:pPr>
      <w:r w:rsidRPr="00325F0B">
        <w:t xml:space="preserve">[1] </w:t>
      </w:r>
      <w:r w:rsidR="001269FA" w:rsidRPr="00A744F7">
        <w:t>André DURUPTHY, Thierry DULAURANS et al. Physique Chimie, Terminale S enseignement spéciﬁque.HachetteEducation,2012. ISBN :2011355745.</w:t>
      </w:r>
    </w:p>
    <w:p w:rsidR="00D642E3" w:rsidRDefault="00D642E3" w:rsidP="006D384C">
      <w:pPr>
        <w:autoSpaceDE w:val="0"/>
        <w:autoSpaceDN w:val="0"/>
        <w:adjustRightInd w:val="0"/>
        <w:spacing w:after="0" w:line="240" w:lineRule="auto"/>
      </w:pPr>
      <w:r>
        <w:t xml:space="preserve">[2] </w:t>
      </w:r>
      <w:bookmarkStart w:id="0" w:name="OLE_LINK3"/>
      <w:bookmarkStart w:id="1" w:name="OLE_LINK4"/>
      <w:r w:rsidR="00787B1B" w:rsidRPr="00D642E3">
        <w:t>Valéry PRÉVOST, Bernard RICHOUX et al. Physique Chimie, Terminale S enseignement spéciﬁque.Nathan,201</w:t>
      </w:r>
      <w:r w:rsidR="00787B1B">
        <w:t>7</w:t>
      </w:r>
      <w:r w:rsidR="00787B1B" w:rsidRPr="00D642E3">
        <w:t>.</w:t>
      </w:r>
      <w:bookmarkEnd w:id="0"/>
      <w:bookmarkEnd w:id="1"/>
    </w:p>
    <w:p w:rsidR="00D642E3" w:rsidRDefault="00D642E3" w:rsidP="006D384C">
      <w:pPr>
        <w:autoSpaceDE w:val="0"/>
        <w:autoSpaceDN w:val="0"/>
        <w:adjustRightInd w:val="0"/>
        <w:spacing w:after="0" w:line="240" w:lineRule="auto"/>
      </w:pPr>
      <w:r>
        <w:t xml:space="preserve">[3] </w:t>
      </w:r>
      <w:r w:rsidR="001773BF" w:rsidRPr="00D642E3">
        <w:t>Mathieu RUFFENACH, Theirry CARIAT, Valérie MORA et al. Physique Chimie, Terminale S enseignementspéciﬁque.Bordas,2012</w:t>
      </w:r>
    </w:p>
    <w:p w:rsidR="00D642E3" w:rsidRDefault="00D642E3" w:rsidP="006D384C">
      <w:pPr>
        <w:autoSpaceDE w:val="0"/>
        <w:autoSpaceDN w:val="0"/>
        <w:adjustRightInd w:val="0"/>
        <w:spacing w:after="0" w:line="240" w:lineRule="auto"/>
      </w:pPr>
      <w:r>
        <w:t xml:space="preserve">[4] </w:t>
      </w:r>
      <w:r w:rsidR="001773BF" w:rsidRPr="001773BF">
        <w:t>Jacques MESPLÈDE etJérôme RANDON.100manipulationsdechimiegénéraleetanalytique. Bréal,2004.</w:t>
      </w:r>
    </w:p>
    <w:p w:rsidR="00A744F7" w:rsidRDefault="00A744F7" w:rsidP="006D384C">
      <w:pPr>
        <w:autoSpaceDE w:val="0"/>
        <w:autoSpaceDN w:val="0"/>
        <w:adjustRightInd w:val="0"/>
        <w:spacing w:after="0" w:line="240" w:lineRule="auto"/>
      </w:pPr>
      <w:r>
        <w:t xml:space="preserve">[5] </w:t>
      </w:r>
      <w:hyperlink r:id="rId8" w:history="1">
        <w:r w:rsidR="00A570E4">
          <w:rPr>
            <w:rStyle w:val="Lienhypertexte"/>
          </w:rPr>
          <w:t>https://www.edumedia-sciences.com/fr/media/564-facteur-cinetique</w:t>
        </w:r>
      </w:hyperlink>
    </w:p>
    <w:p w:rsidR="009E7162" w:rsidRPr="006A3F21" w:rsidRDefault="009E7162" w:rsidP="006D384C">
      <w:pPr>
        <w:autoSpaceDE w:val="0"/>
        <w:autoSpaceDN w:val="0"/>
        <w:adjustRightInd w:val="0"/>
        <w:spacing w:after="0" w:line="240" w:lineRule="auto"/>
      </w:pPr>
      <w:r>
        <w:t>[6]</w:t>
      </w:r>
      <w:r w:rsidR="003568A7">
        <w:t xml:space="preserve"> </w:t>
      </w:r>
      <w:r w:rsidR="003568A7" w:rsidRPr="003568A7">
        <w:t xml:space="preserve">Gilles MABILON. «Dépollution catalytique des gaz d’échappement automobiles». In : L’ActualitéChimique 229(1999),p.117-120. </w:t>
      </w:r>
    </w:p>
    <w:p w:rsidR="000D165D" w:rsidRPr="00325F0B" w:rsidRDefault="000D165D" w:rsidP="000D165D">
      <w:pPr>
        <w:pBdr>
          <w:bottom w:val="single" w:sz="4" w:space="1" w:color="auto"/>
        </w:pBdr>
        <w:autoSpaceDE w:val="0"/>
        <w:autoSpaceDN w:val="0"/>
        <w:adjustRightInd w:val="0"/>
        <w:spacing w:after="0" w:line="240" w:lineRule="auto"/>
        <w:rPr>
          <w:rFonts w:ascii="Utopia-Regular" w:hAnsi="Utopia-Regular" w:cs="Utopia-Regular"/>
          <w:color w:val="000000"/>
          <w:sz w:val="16"/>
          <w:szCs w:val="16"/>
        </w:rPr>
      </w:pPr>
    </w:p>
    <w:p w:rsidR="00B73CCD" w:rsidRDefault="00B73CCD" w:rsidP="00750363">
      <w:pPr>
        <w:autoSpaceDE w:val="0"/>
        <w:autoSpaceDN w:val="0"/>
        <w:adjustRightInd w:val="0"/>
        <w:spacing w:after="0" w:line="240" w:lineRule="auto"/>
        <w:rPr>
          <w:b/>
          <w:bCs/>
          <w:u w:val="single"/>
        </w:rPr>
      </w:pPr>
      <w:r w:rsidRPr="005D1215">
        <w:rPr>
          <w:b/>
          <w:bCs/>
          <w:u w:val="single"/>
        </w:rPr>
        <w:t>Expériences</w:t>
      </w:r>
      <w:r w:rsidR="00480C50">
        <w:rPr>
          <w:b/>
          <w:bCs/>
          <w:u w:val="single"/>
        </w:rPr>
        <w:t> </w:t>
      </w:r>
      <w:r w:rsidRPr="005D1215">
        <w:rPr>
          <w:b/>
          <w:bCs/>
          <w:u w:val="single"/>
        </w:rPr>
        <w:t>:</w:t>
      </w:r>
    </w:p>
    <w:p w:rsidR="008E64D2" w:rsidRDefault="000A08D2" w:rsidP="00ED07E1">
      <w:pPr>
        <w:pStyle w:val="Sansinterligne"/>
        <w:numPr>
          <w:ilvl w:val="0"/>
          <w:numId w:val="6"/>
        </w:numPr>
      </w:pPr>
      <w:r>
        <w:t>Suivi spectrophotométrique entre les ions iodures et le peroxodisulfate [4]p.199</w:t>
      </w:r>
    </w:p>
    <w:p w:rsidR="000A08D2" w:rsidRDefault="000A08D2" w:rsidP="00ED07E1">
      <w:pPr>
        <w:pStyle w:val="Sansinterligne"/>
        <w:numPr>
          <w:ilvl w:val="0"/>
          <w:numId w:val="6"/>
        </w:numPr>
      </w:pPr>
      <w:r>
        <w:t>Permanganate avec ions ferreux et acide oxalique [1]p.230</w:t>
      </w:r>
    </w:p>
    <w:p w:rsidR="000A08D2" w:rsidRDefault="000A08D2" w:rsidP="00ED07E1">
      <w:pPr>
        <w:pStyle w:val="Sansinterligne"/>
        <w:numPr>
          <w:ilvl w:val="0"/>
          <w:numId w:val="6"/>
        </w:numPr>
      </w:pPr>
      <w:r>
        <w:t>Réaction des ions tartrate avec le peroxyde d’hydrogène [4]p.355 – [2]p.274</w:t>
      </w:r>
    </w:p>
    <w:p w:rsidR="000A08D2" w:rsidRPr="000A08D2" w:rsidRDefault="000A08D2" w:rsidP="00ED07E1">
      <w:pPr>
        <w:pStyle w:val="Sansinterligne"/>
        <w:numPr>
          <w:ilvl w:val="0"/>
          <w:numId w:val="6"/>
        </w:numPr>
      </w:pPr>
      <w:r>
        <w:t>Dismutation de l’eau oxygénée.</w:t>
      </w:r>
    </w:p>
    <w:p w:rsidR="00B73CCD" w:rsidRDefault="00B73CCD" w:rsidP="00B65F39">
      <w:pPr>
        <w:pStyle w:val="Sansinterligne"/>
        <w:pBdr>
          <w:top w:val="single" w:sz="4" w:space="1" w:color="auto"/>
        </w:pBdr>
        <w:rPr>
          <w:b/>
          <w:bCs/>
          <w:u w:val="single"/>
        </w:rPr>
      </w:pPr>
      <w:r>
        <w:rPr>
          <w:b/>
          <w:bCs/>
          <w:u w:val="single"/>
        </w:rPr>
        <w:t>Prérequis</w:t>
      </w:r>
      <w:r w:rsidR="00480C50">
        <w:rPr>
          <w:b/>
          <w:bCs/>
          <w:u w:val="single"/>
        </w:rPr>
        <w:t> </w:t>
      </w:r>
      <w:r>
        <w:rPr>
          <w:b/>
          <w:bCs/>
          <w:u w:val="single"/>
        </w:rPr>
        <w:t>:</w:t>
      </w:r>
    </w:p>
    <w:p w:rsidR="00B65F39" w:rsidRDefault="00787B1B" w:rsidP="00ED07E1">
      <w:pPr>
        <w:pStyle w:val="Sansinterligne"/>
        <w:numPr>
          <w:ilvl w:val="0"/>
          <w:numId w:val="1"/>
        </w:numPr>
      </w:pPr>
      <w:r>
        <w:t>Tableau d’avancement</w:t>
      </w:r>
    </w:p>
    <w:p w:rsidR="00B65F39" w:rsidRDefault="00997D51" w:rsidP="00ED07E1">
      <w:pPr>
        <w:pStyle w:val="Sansinterligne"/>
        <w:numPr>
          <w:ilvl w:val="0"/>
          <w:numId w:val="1"/>
        </w:numPr>
      </w:pPr>
      <w:r>
        <w:t>Spectrophotométrie, conductimétrie</w:t>
      </w:r>
    </w:p>
    <w:p w:rsidR="00997D51" w:rsidRDefault="00997D51" w:rsidP="00ED07E1">
      <w:pPr>
        <w:pStyle w:val="Sansinterligne"/>
        <w:numPr>
          <w:ilvl w:val="0"/>
          <w:numId w:val="1"/>
        </w:numPr>
      </w:pPr>
      <w:r>
        <w:t>Chromatographie sur couche mince et titrage</w:t>
      </w:r>
    </w:p>
    <w:p w:rsidR="003B10D7" w:rsidRPr="00B65F39" w:rsidRDefault="00997D51" w:rsidP="00ED07E1">
      <w:pPr>
        <w:pStyle w:val="Sansinterligne"/>
        <w:numPr>
          <w:ilvl w:val="0"/>
          <w:numId w:val="1"/>
        </w:numPr>
        <w:pBdr>
          <w:bottom w:val="single" w:sz="4" w:space="1" w:color="auto"/>
        </w:pBdr>
      </w:pPr>
      <w:r>
        <w:t>Oxydoréduction et équations de réactions chimiques</w:t>
      </w:r>
    </w:p>
    <w:p w:rsidR="004F4BD2" w:rsidRDefault="004F4BD2" w:rsidP="00997D51">
      <w:pPr>
        <w:pStyle w:val="Sansinterligne"/>
      </w:pPr>
    </w:p>
    <w:p w:rsidR="004F4BD2" w:rsidRDefault="004F4BD2" w:rsidP="004F4BD2">
      <w:pPr>
        <w:pStyle w:val="Sansinterligne"/>
        <w:pBdr>
          <w:left w:val="thinThickSmallGap" w:sz="24" w:space="1" w:color="FFC000"/>
        </w:pBdr>
      </w:pPr>
      <w:r>
        <w:rPr>
          <w:u w:val="single"/>
        </w:rPr>
        <w:t xml:space="preserve">Réaction des ions iodure avec les ions peroxodisulfate </w:t>
      </w:r>
      <w:r>
        <w:t>[4]p.199</w:t>
      </w:r>
    </w:p>
    <w:p w:rsidR="001B248F" w:rsidRDefault="001B248F" w:rsidP="004F4BD2">
      <w:pPr>
        <w:pStyle w:val="Sansinterligne"/>
        <w:pBdr>
          <w:left w:val="thinThickSmallGap" w:sz="24" w:space="1" w:color="FFC000"/>
        </w:pBdr>
      </w:pPr>
      <w:r>
        <w:t>On travaille à une longueur d’onde de 415 nm car on ne peut pas travailler efficacement en UV.</w:t>
      </w:r>
    </w:p>
    <w:p w:rsidR="004F4BD2" w:rsidRDefault="004F4BD2" w:rsidP="004F4BD2">
      <w:pPr>
        <w:pStyle w:val="Sansinterligne"/>
        <w:pBdr>
          <w:left w:val="thinThickSmallGap" w:sz="24" w:space="1" w:color="FFC000"/>
        </w:pBdr>
      </w:pPr>
      <w:r>
        <w:t>Les trois courbes auront déjà été tracées au moins une fois en préparation au cas où.</w:t>
      </w:r>
    </w:p>
    <w:p w:rsidR="004F4BD2" w:rsidRDefault="004F4BD2" w:rsidP="004F4BD2">
      <w:pPr>
        <w:pStyle w:val="Sansinterligne"/>
        <w:pBdr>
          <w:left w:val="thinThickSmallGap" w:sz="24" w:space="1" w:color="FFC000"/>
        </w:pBdr>
      </w:pPr>
      <w:r>
        <w:t>Lancement du suivi spectrophotométrique au début de la leçon sur un temps d’acquisition de 10 min pour une concentration.</w:t>
      </w:r>
    </w:p>
    <w:p w:rsidR="004F4BD2" w:rsidRDefault="004F4BD2" w:rsidP="008E64D2">
      <w:pPr>
        <w:pStyle w:val="Sansinterligne"/>
        <w:rPr>
          <w:b/>
          <w:bCs/>
        </w:rPr>
      </w:pPr>
    </w:p>
    <w:p w:rsidR="008E64D2" w:rsidRPr="00424DAA" w:rsidRDefault="007C077C" w:rsidP="008E64D2">
      <w:pPr>
        <w:pStyle w:val="Sansinterligne"/>
        <w:rPr>
          <w:b/>
          <w:bCs/>
          <w:color w:val="7030A0"/>
        </w:rPr>
      </w:pPr>
      <w:r>
        <w:rPr>
          <w:b/>
          <w:bCs/>
        </w:rPr>
        <w:t>Introduction</w:t>
      </w:r>
      <w:r w:rsidR="00480C50">
        <w:rPr>
          <w:b/>
          <w:bCs/>
        </w:rPr>
        <w:t> </w:t>
      </w:r>
      <w:r>
        <w:rPr>
          <w:b/>
          <w:bCs/>
        </w:rPr>
        <w:t>:</w:t>
      </w:r>
      <w:r w:rsidR="00424DAA">
        <w:rPr>
          <w:b/>
          <w:bCs/>
        </w:rPr>
        <w:t xml:space="preserve"> </w:t>
      </w:r>
      <w:r w:rsidR="00424DAA">
        <w:rPr>
          <w:b/>
          <w:bCs/>
          <w:color w:val="7030A0"/>
        </w:rPr>
        <w:t>(Diapo introductive)</w:t>
      </w:r>
    </w:p>
    <w:p w:rsidR="007F30DC" w:rsidRDefault="007C077C" w:rsidP="001D6424">
      <w:pPr>
        <w:pStyle w:val="Sansinterligne"/>
      </w:pPr>
      <w:r>
        <w:tab/>
      </w:r>
      <w:r w:rsidR="001D6424">
        <w:t>La vitesse des réactions chimiques est un enjeu important de la chimie. E</w:t>
      </w:r>
      <w:r w:rsidR="003A0755">
        <w:t>n effet, les réactions chimiques ont lieu sur des durées excessivement variables</w:t>
      </w:r>
      <w:r w:rsidR="00480C50">
        <w:t> </w:t>
      </w:r>
      <w:r w:rsidR="003A0755">
        <w:t>: quelques milliards d’années pour permettre la transformation du carbone graphite en carbone diamant dans des conditions de hautes température et pression. Quelques jours suffisent pour voir apparaitre les premiers signes de dégradation d’aliments laissés à l’air libre. D’autres réactions sont au contraire très rapides, c’est le cas par exemple des réactions explosives</w:t>
      </w:r>
      <w:r w:rsidR="003B1033">
        <w:t xml:space="preserve"> qui durent généralement quelques secondes.</w:t>
      </w:r>
    </w:p>
    <w:p w:rsidR="00BD5B03" w:rsidRDefault="00BD5B03" w:rsidP="001D6424">
      <w:pPr>
        <w:pStyle w:val="Sansinterligne"/>
      </w:pPr>
      <w:r>
        <w:tab/>
        <w:t>La plupart des réactions qu’on a étudiées jusqu’à maintenant ont des durées variables de l’ordre de la minute à la dizaine de minute.</w:t>
      </w:r>
    </w:p>
    <w:p w:rsidR="00BD5B03" w:rsidRDefault="00BD5B03" w:rsidP="001D6424">
      <w:pPr>
        <w:pStyle w:val="Sansinterligne"/>
      </w:pPr>
      <w:r>
        <w:tab/>
        <w:t>L’objectif de cette leçon est de quantifier la rapidité d’une réaction chimique et d’identifier quelques facteurs qui influencent la vitesse d’une réaction.</w:t>
      </w:r>
    </w:p>
    <w:p w:rsidR="003F7BEB" w:rsidRPr="007F30DC" w:rsidRDefault="003F7BEB" w:rsidP="001D6424">
      <w:pPr>
        <w:pStyle w:val="Sansinterligne"/>
      </w:pPr>
      <w:r>
        <w:tab/>
        <w:t>La cinétique chimique est l’étude des vitesses des réactions chimiques.</w:t>
      </w:r>
    </w:p>
    <w:p w:rsidR="007F30DC" w:rsidRDefault="007F30DC" w:rsidP="00EF4DC5">
      <w:pPr>
        <w:pStyle w:val="Sansinterligne"/>
        <w:rPr>
          <w:i/>
          <w:iCs/>
        </w:rPr>
      </w:pPr>
    </w:p>
    <w:p w:rsidR="000A08D2" w:rsidRDefault="000A08D2" w:rsidP="00EF4DC5">
      <w:pPr>
        <w:pStyle w:val="Sansinterligne"/>
        <w:rPr>
          <w:i/>
          <w:iCs/>
        </w:rPr>
      </w:pPr>
    </w:p>
    <w:p w:rsidR="000A08D2" w:rsidRDefault="000A08D2" w:rsidP="00EF4DC5">
      <w:pPr>
        <w:pStyle w:val="Sansinterligne"/>
        <w:rPr>
          <w:i/>
          <w:iCs/>
        </w:rPr>
      </w:pPr>
    </w:p>
    <w:p w:rsidR="000A08D2" w:rsidRDefault="000A08D2" w:rsidP="00EF4DC5">
      <w:pPr>
        <w:pStyle w:val="Sansinterligne"/>
        <w:rPr>
          <w:i/>
          <w:iCs/>
        </w:rPr>
      </w:pPr>
    </w:p>
    <w:p w:rsidR="000A08D2" w:rsidRDefault="000A08D2" w:rsidP="00EF4DC5">
      <w:pPr>
        <w:pStyle w:val="Sansinterligne"/>
        <w:rPr>
          <w:i/>
          <w:iCs/>
        </w:rPr>
      </w:pPr>
    </w:p>
    <w:p w:rsidR="005C01F8" w:rsidRPr="00BD5B03" w:rsidRDefault="00BD5B03" w:rsidP="00ED07E1">
      <w:pPr>
        <w:pStyle w:val="Sansinterligne"/>
        <w:numPr>
          <w:ilvl w:val="0"/>
          <w:numId w:val="2"/>
        </w:numPr>
        <w:rPr>
          <w:b/>
          <w:bCs/>
          <w:smallCaps/>
          <w:color w:val="FF0000"/>
        </w:rPr>
      </w:pPr>
      <w:r>
        <w:rPr>
          <w:b/>
          <w:bCs/>
          <w:u w:val="single"/>
        </w:rPr>
        <w:t>Vitesse d’une réaction chimique</w:t>
      </w:r>
    </w:p>
    <w:p w:rsidR="00BD5B03" w:rsidRPr="00BD5B03" w:rsidRDefault="00BD5B03" w:rsidP="00ED07E1">
      <w:pPr>
        <w:pStyle w:val="Sansinterligne"/>
        <w:numPr>
          <w:ilvl w:val="0"/>
          <w:numId w:val="3"/>
        </w:numPr>
        <w:rPr>
          <w:b/>
          <w:bCs/>
          <w:smallCaps/>
          <w:color w:val="FF0000"/>
        </w:rPr>
      </w:pPr>
      <w:r>
        <w:rPr>
          <w:b/>
          <w:bCs/>
        </w:rPr>
        <w:t>Réactions rapides, réactions lentes</w:t>
      </w:r>
    </w:p>
    <w:p w:rsidR="00BD5B03" w:rsidRDefault="00BD5B03" w:rsidP="00BD5B03">
      <w:pPr>
        <w:pStyle w:val="Sansinterligne"/>
        <w:rPr>
          <w:b/>
          <w:bCs/>
        </w:rPr>
      </w:pPr>
    </w:p>
    <w:p w:rsidR="00BD5B03" w:rsidRDefault="001269FA" w:rsidP="001269FA">
      <w:pPr>
        <w:pStyle w:val="Sansinterligne"/>
        <w:pBdr>
          <w:left w:val="thinThickSmallGap" w:sz="24" w:space="4" w:color="FFC000"/>
        </w:pBdr>
      </w:pPr>
      <w:r>
        <w:t>Réactions lentes et rapides</w:t>
      </w:r>
      <w:r w:rsidR="00480C50">
        <w:t> </w:t>
      </w:r>
      <w:r>
        <w:t>: [1]p.230 (avec modification de protocole)</w:t>
      </w:r>
    </w:p>
    <w:p w:rsidR="001269FA" w:rsidRDefault="001269FA" w:rsidP="001269FA">
      <w:pPr>
        <w:pStyle w:val="Sansinterligne"/>
        <w:pBdr>
          <w:left w:val="thinThickSmallGap" w:sz="24" w:space="4" w:color="FFC000"/>
        </w:pBdr>
      </w:pPr>
      <w:r>
        <w:tab/>
        <w:t>En préparation</w:t>
      </w:r>
      <w:r w:rsidR="00480C50">
        <w:t> </w:t>
      </w:r>
      <w:r>
        <w:t>: préparer les deux béchers ainsi que les deux éprouvettes graduées contenant le permanganate de potassium</w:t>
      </w:r>
    </w:p>
    <w:p w:rsidR="001269FA" w:rsidRPr="00826E0A" w:rsidRDefault="001269FA" w:rsidP="001269FA">
      <w:pPr>
        <w:pStyle w:val="Sansinterligne"/>
        <w:pBdr>
          <w:left w:val="thinThickSmallGap" w:sz="24" w:space="4" w:color="FFC000"/>
        </w:pBdr>
        <w:rPr>
          <w:color w:val="7030A0"/>
        </w:rPr>
      </w:pPr>
      <w:r>
        <w:tab/>
        <w:t>Face au jury, montrer que la réaction entre la solution de fer et le permanganate est rapide alors que celle avec l’acide oxalique est lente (quelques minutes)</w:t>
      </w:r>
      <w:r w:rsidR="00826E0A">
        <w:t xml:space="preserve"> </w:t>
      </w:r>
      <w:r w:rsidR="00826E0A">
        <w:rPr>
          <w:color w:val="7030A0"/>
        </w:rPr>
        <w:t>(Diapo)</w:t>
      </w:r>
    </w:p>
    <w:p w:rsidR="001269FA" w:rsidRPr="001269FA" w:rsidRDefault="001269FA" w:rsidP="001269FA">
      <w:pPr>
        <w:pStyle w:val="Sansinterligne"/>
        <w:jc w:val="center"/>
        <w:rPr>
          <w:i/>
          <w:iCs/>
          <w:color w:val="00B0F0"/>
        </w:rPr>
      </w:pPr>
      <w:r w:rsidRPr="001269FA">
        <w:rPr>
          <w:i/>
          <w:iCs/>
          <w:color w:val="00B0F0"/>
        </w:rPr>
        <w:t>MnO</w:t>
      </w:r>
      <w:r w:rsidRPr="001269FA">
        <w:rPr>
          <w:i/>
          <w:iCs/>
          <w:color w:val="00B0F0"/>
          <w:vertAlign w:val="subscript"/>
        </w:rPr>
        <w:t>4</w:t>
      </w:r>
      <w:r w:rsidRPr="001269FA">
        <w:rPr>
          <w:i/>
          <w:iCs/>
          <w:color w:val="00B0F0"/>
          <w:vertAlign w:val="superscript"/>
        </w:rPr>
        <w:t>-</w:t>
      </w:r>
      <w:r w:rsidRPr="001269FA">
        <w:rPr>
          <w:i/>
          <w:iCs/>
          <w:color w:val="00B0F0"/>
        </w:rPr>
        <w:t xml:space="preserve"> (aq) + 8 H</w:t>
      </w:r>
      <w:r w:rsidRPr="001269FA">
        <w:rPr>
          <w:i/>
          <w:iCs/>
          <w:color w:val="00B0F0"/>
          <w:vertAlign w:val="superscript"/>
        </w:rPr>
        <w:t xml:space="preserve">+ </w:t>
      </w:r>
      <w:r w:rsidRPr="001269FA">
        <w:rPr>
          <w:i/>
          <w:iCs/>
          <w:color w:val="00B0F0"/>
        </w:rPr>
        <w:t>(aq) + 5 Fe</w:t>
      </w:r>
      <w:r w:rsidRPr="001269FA">
        <w:rPr>
          <w:i/>
          <w:iCs/>
          <w:color w:val="00B0F0"/>
          <w:vertAlign w:val="superscript"/>
        </w:rPr>
        <w:t>2+</w:t>
      </w:r>
      <w:r w:rsidRPr="001269FA">
        <w:rPr>
          <w:i/>
          <w:iCs/>
          <w:color w:val="00B0F0"/>
        </w:rPr>
        <w:t>(aq) -&gt;  5 Fe</w:t>
      </w:r>
      <w:r w:rsidRPr="001269FA">
        <w:rPr>
          <w:i/>
          <w:iCs/>
          <w:color w:val="00B0F0"/>
          <w:vertAlign w:val="superscript"/>
        </w:rPr>
        <w:t>3+</w:t>
      </w:r>
      <w:r w:rsidRPr="001269FA">
        <w:rPr>
          <w:i/>
          <w:iCs/>
          <w:color w:val="00B0F0"/>
        </w:rPr>
        <w:t>(aq) + Mn</w:t>
      </w:r>
      <w:r w:rsidRPr="001269FA">
        <w:rPr>
          <w:i/>
          <w:iCs/>
          <w:color w:val="00B0F0"/>
          <w:vertAlign w:val="superscript"/>
        </w:rPr>
        <w:t>2+</w:t>
      </w:r>
      <w:r w:rsidRPr="001269FA">
        <w:rPr>
          <w:i/>
          <w:iCs/>
          <w:color w:val="00B0F0"/>
        </w:rPr>
        <w:t>(aq) + 4 H</w:t>
      </w:r>
      <w:r w:rsidRPr="001269FA">
        <w:rPr>
          <w:i/>
          <w:iCs/>
          <w:color w:val="00B0F0"/>
          <w:vertAlign w:val="subscript"/>
        </w:rPr>
        <w:t>2</w:t>
      </w:r>
      <w:r w:rsidRPr="001269FA">
        <w:rPr>
          <w:i/>
          <w:iCs/>
          <w:color w:val="00B0F0"/>
        </w:rPr>
        <w:t>O(l)</w:t>
      </w:r>
    </w:p>
    <w:p w:rsidR="001269FA" w:rsidRPr="001269FA" w:rsidRDefault="001269FA" w:rsidP="001269FA">
      <w:pPr>
        <w:pStyle w:val="Sansinterligne"/>
        <w:jc w:val="center"/>
        <w:rPr>
          <w:i/>
          <w:iCs/>
          <w:color w:val="00B0F0"/>
        </w:rPr>
      </w:pPr>
      <w:r w:rsidRPr="001269FA">
        <w:rPr>
          <w:i/>
          <w:iCs/>
          <w:color w:val="00B0F0"/>
        </w:rPr>
        <w:t>2 MnO</w:t>
      </w:r>
      <w:r w:rsidRPr="001269FA">
        <w:rPr>
          <w:i/>
          <w:iCs/>
          <w:color w:val="00B0F0"/>
          <w:vertAlign w:val="subscript"/>
        </w:rPr>
        <w:t>4</w:t>
      </w:r>
      <w:r w:rsidRPr="001269FA">
        <w:rPr>
          <w:i/>
          <w:iCs/>
          <w:color w:val="00B0F0"/>
          <w:vertAlign w:val="superscript"/>
        </w:rPr>
        <w:t>-</w:t>
      </w:r>
      <w:r w:rsidRPr="001269FA">
        <w:rPr>
          <w:i/>
          <w:iCs/>
          <w:color w:val="00B0F0"/>
        </w:rPr>
        <w:t xml:space="preserve"> (aq) + 6 H</w:t>
      </w:r>
      <w:r w:rsidRPr="001269FA">
        <w:rPr>
          <w:i/>
          <w:iCs/>
          <w:color w:val="00B0F0"/>
          <w:vertAlign w:val="superscript"/>
        </w:rPr>
        <w:t xml:space="preserve">+ </w:t>
      </w:r>
      <w:r w:rsidRPr="001269FA">
        <w:rPr>
          <w:i/>
          <w:iCs/>
          <w:color w:val="00B0F0"/>
        </w:rPr>
        <w:t>(aq) + 5 C</w:t>
      </w:r>
      <w:r w:rsidRPr="001269FA">
        <w:rPr>
          <w:i/>
          <w:iCs/>
          <w:color w:val="00B0F0"/>
          <w:vertAlign w:val="subscript"/>
        </w:rPr>
        <w:t>2</w:t>
      </w:r>
      <w:r w:rsidRPr="001269FA">
        <w:rPr>
          <w:i/>
          <w:iCs/>
          <w:color w:val="00B0F0"/>
        </w:rPr>
        <w:t>O</w:t>
      </w:r>
      <w:r w:rsidRPr="001269FA">
        <w:rPr>
          <w:i/>
          <w:iCs/>
          <w:color w:val="00B0F0"/>
          <w:vertAlign w:val="subscript"/>
        </w:rPr>
        <w:t>4</w:t>
      </w:r>
      <w:r w:rsidRPr="001269FA">
        <w:rPr>
          <w:i/>
          <w:iCs/>
          <w:color w:val="00B0F0"/>
        </w:rPr>
        <w:t>H</w:t>
      </w:r>
      <w:r w:rsidRPr="001269FA">
        <w:rPr>
          <w:i/>
          <w:iCs/>
          <w:color w:val="00B0F0"/>
          <w:vertAlign w:val="subscript"/>
        </w:rPr>
        <w:t>2</w:t>
      </w:r>
      <w:r w:rsidRPr="001269FA">
        <w:rPr>
          <w:i/>
          <w:iCs/>
          <w:color w:val="00B0F0"/>
        </w:rPr>
        <w:t>(aq) -&gt;  10 CO</w:t>
      </w:r>
      <w:r w:rsidRPr="001269FA">
        <w:rPr>
          <w:i/>
          <w:iCs/>
          <w:color w:val="00B0F0"/>
          <w:vertAlign w:val="subscript"/>
        </w:rPr>
        <w:t>2</w:t>
      </w:r>
      <w:r w:rsidRPr="001269FA">
        <w:rPr>
          <w:i/>
          <w:iCs/>
          <w:color w:val="00B0F0"/>
        </w:rPr>
        <w:t>(g) + 2 Mn</w:t>
      </w:r>
      <w:r w:rsidRPr="001269FA">
        <w:rPr>
          <w:i/>
          <w:iCs/>
          <w:color w:val="00B0F0"/>
          <w:vertAlign w:val="superscript"/>
        </w:rPr>
        <w:t>2+</w:t>
      </w:r>
      <w:r w:rsidRPr="001269FA">
        <w:rPr>
          <w:i/>
          <w:iCs/>
          <w:color w:val="00B0F0"/>
        </w:rPr>
        <w:t>(aq) + 8 H</w:t>
      </w:r>
      <w:r w:rsidRPr="001269FA">
        <w:rPr>
          <w:i/>
          <w:iCs/>
          <w:color w:val="00B0F0"/>
          <w:vertAlign w:val="subscript"/>
        </w:rPr>
        <w:t>2</w:t>
      </w:r>
      <w:r w:rsidRPr="001269FA">
        <w:rPr>
          <w:i/>
          <w:iCs/>
          <w:color w:val="00B0F0"/>
        </w:rPr>
        <w:t>O(l)</w:t>
      </w:r>
    </w:p>
    <w:p w:rsidR="00BB7122" w:rsidRDefault="00BB7122" w:rsidP="001269FA">
      <w:pPr>
        <w:pStyle w:val="Sansinterligne"/>
        <w:rPr>
          <w:u w:val="single"/>
        </w:rPr>
      </w:pPr>
    </w:p>
    <w:p w:rsidR="001773BF" w:rsidRDefault="00BB7122" w:rsidP="001269FA">
      <w:pPr>
        <w:pStyle w:val="Sansinterligne"/>
        <w:rPr>
          <w:u w:val="single"/>
        </w:rPr>
      </w:pPr>
      <w:r>
        <w:rPr>
          <w:u w:val="single"/>
        </w:rPr>
        <w:t>Permanganate de potassium et acide oxalique</w:t>
      </w:r>
      <w:r w:rsidR="00A818CF">
        <w:rPr>
          <w:u w:val="single"/>
        </w:rPr>
        <w:t xml:space="preserve"> (réaction lente)</w:t>
      </w:r>
    </w:p>
    <w:p w:rsidR="00BB7122" w:rsidRDefault="00BB7122" w:rsidP="001269FA">
      <w:pPr>
        <w:pStyle w:val="Sansinterligne"/>
      </w:pPr>
      <w:r>
        <w:tab/>
      </w:r>
      <w:hyperlink r:id="rId9" w:history="1">
        <w:r>
          <w:rPr>
            <w:rStyle w:val="Lienhypertexte"/>
          </w:rPr>
          <w:t>https://www.youtube.com/watch?v=ZIvq0fvFHyY</w:t>
        </w:r>
      </w:hyperlink>
    </w:p>
    <w:p w:rsidR="00BB7122" w:rsidRDefault="00BB7122" w:rsidP="001269FA">
      <w:pPr>
        <w:pStyle w:val="Sansinterligne"/>
      </w:pPr>
      <w:r>
        <w:tab/>
        <w:t>Temps utile : 0 :47 à 1 :30 (à passer en vitesse double)</w:t>
      </w:r>
    </w:p>
    <w:p w:rsidR="00BB7122" w:rsidRDefault="00BB7122" w:rsidP="001269FA">
      <w:pPr>
        <w:pStyle w:val="Sansinterligne"/>
      </w:pPr>
      <w:r>
        <w:tab/>
      </w:r>
      <w:r w:rsidR="00B96940">
        <w:t>KMnO</w:t>
      </w:r>
      <w:r w:rsidR="00B96940">
        <w:rPr>
          <w:vertAlign w:val="subscript"/>
        </w:rPr>
        <w:t>4</w:t>
      </w:r>
      <w:r w:rsidR="00B96940">
        <w:t> : 5 mL à 0,001 mol/L</w:t>
      </w:r>
    </w:p>
    <w:p w:rsidR="00B96940" w:rsidRDefault="00B96940" w:rsidP="001269FA">
      <w:pPr>
        <w:pStyle w:val="Sansinterligne"/>
      </w:pPr>
      <w:r>
        <w:tab/>
        <w:t>Acide oxalique : 10 mL à 0,5 mol/L</w:t>
      </w:r>
    </w:p>
    <w:p w:rsidR="00B96940" w:rsidRDefault="00B96940" w:rsidP="001269FA">
      <w:pPr>
        <w:pStyle w:val="Sansinterligne"/>
      </w:pPr>
      <w:r>
        <w:tab/>
        <w:t>La vidéo est de base accélérée 16 fois</w:t>
      </w:r>
    </w:p>
    <w:p w:rsidR="00B96940" w:rsidRDefault="00B96940" w:rsidP="001269FA">
      <w:pPr>
        <w:pStyle w:val="Sansinterligne"/>
      </w:pPr>
    </w:p>
    <w:p w:rsidR="00B96940" w:rsidRDefault="00B96940" w:rsidP="001269FA">
      <w:pPr>
        <w:pStyle w:val="Sansinterligne"/>
        <w:rPr>
          <w:u w:val="single"/>
        </w:rPr>
      </w:pPr>
      <w:r>
        <w:rPr>
          <w:u w:val="single"/>
        </w:rPr>
        <w:t>Permanganate de potassium et ions fer II</w:t>
      </w:r>
      <w:r w:rsidR="00A818CF">
        <w:rPr>
          <w:u w:val="single"/>
        </w:rPr>
        <w:t xml:space="preserve"> (réaction rapide)</w:t>
      </w:r>
    </w:p>
    <w:p w:rsidR="00B96940" w:rsidRDefault="00B96940" w:rsidP="001269FA">
      <w:pPr>
        <w:pStyle w:val="Sansinterligne"/>
      </w:pPr>
      <w:r>
        <w:tab/>
      </w:r>
      <w:hyperlink r:id="rId10" w:history="1">
        <w:r w:rsidRPr="008F1B0F">
          <w:rPr>
            <w:rStyle w:val="Lienhypertexte"/>
          </w:rPr>
          <w:t>https://youtu.be/-UD2IBHut5Q?t=30</w:t>
        </w:r>
      </w:hyperlink>
    </w:p>
    <w:p w:rsidR="00B96940" w:rsidRDefault="00B96940" w:rsidP="001269FA">
      <w:pPr>
        <w:pStyle w:val="Sansinterligne"/>
      </w:pPr>
      <w:r>
        <w:tab/>
        <w:t>Temps utile : 0 :29 – fin</w:t>
      </w:r>
    </w:p>
    <w:p w:rsidR="00B96940" w:rsidRDefault="00B96940" w:rsidP="001269FA">
      <w:pPr>
        <w:pStyle w:val="Sansinterligne"/>
      </w:pPr>
      <w:r>
        <w:tab/>
        <w:t>KMnO</w:t>
      </w:r>
      <w:r>
        <w:rPr>
          <w:vertAlign w:val="subscript"/>
        </w:rPr>
        <w:t>4</w:t>
      </w:r>
      <w:r>
        <w:t> : 20 mL à 0,1 mol/L</w:t>
      </w:r>
    </w:p>
    <w:p w:rsidR="00B96940" w:rsidRDefault="00B96940" w:rsidP="001269FA">
      <w:pPr>
        <w:pStyle w:val="Sansinterligne"/>
      </w:pPr>
      <w:r>
        <w:tab/>
        <w:t>Sel de Mohr : 20 mL à 0,02 mol/L</w:t>
      </w:r>
    </w:p>
    <w:p w:rsidR="00B96940" w:rsidRDefault="00B96940" w:rsidP="001269FA">
      <w:pPr>
        <w:pStyle w:val="Sansinterligne"/>
        <w:rPr>
          <w:rFonts w:ascii="Arial" w:hAnsi="Arial" w:cs="Arial"/>
          <w:color w:val="202122"/>
          <w:sz w:val="21"/>
          <w:szCs w:val="21"/>
          <w:shd w:val="clear" w:color="auto" w:fill="FFFFFF"/>
        </w:rPr>
      </w:pPr>
      <w:r>
        <w:tab/>
      </w:r>
      <w:r>
        <w:tab/>
      </w:r>
      <w:r w:rsidRPr="00B96940">
        <w:t xml:space="preserve">-&gt; </w:t>
      </w:r>
      <w:r w:rsidRPr="00B96940">
        <w:rPr>
          <w:rFonts w:ascii="Arial" w:hAnsi="Arial" w:cs="Arial"/>
          <w:color w:val="202122"/>
          <w:sz w:val="21"/>
          <w:szCs w:val="21"/>
          <w:shd w:val="clear" w:color="auto" w:fill="FFFFFF"/>
        </w:rPr>
        <w:t>(NH</w:t>
      </w:r>
      <w:r w:rsidRPr="00B96940">
        <w:rPr>
          <w:rFonts w:ascii="Arial" w:hAnsi="Arial" w:cs="Arial"/>
          <w:color w:val="202122"/>
          <w:shd w:val="clear" w:color="auto" w:fill="FFFFFF"/>
          <w:vertAlign w:val="subscript"/>
        </w:rPr>
        <w:t>4</w:t>
      </w:r>
      <w:r w:rsidRPr="00B96940">
        <w:rPr>
          <w:rFonts w:ascii="Arial" w:hAnsi="Arial" w:cs="Arial"/>
          <w:color w:val="202122"/>
          <w:sz w:val="21"/>
          <w:szCs w:val="21"/>
          <w:shd w:val="clear" w:color="auto" w:fill="FFFFFF"/>
        </w:rPr>
        <w:t>)</w:t>
      </w:r>
      <w:r w:rsidRPr="00B96940">
        <w:rPr>
          <w:rFonts w:ascii="Arial" w:hAnsi="Arial" w:cs="Arial"/>
          <w:color w:val="202122"/>
          <w:shd w:val="clear" w:color="auto" w:fill="FFFFFF"/>
          <w:vertAlign w:val="subscript"/>
        </w:rPr>
        <w:t>2</w:t>
      </w:r>
      <w:r w:rsidRPr="00B96940">
        <w:rPr>
          <w:rFonts w:ascii="Arial" w:hAnsi="Arial" w:cs="Arial"/>
          <w:color w:val="202122"/>
          <w:sz w:val="21"/>
          <w:szCs w:val="21"/>
          <w:shd w:val="clear" w:color="auto" w:fill="FFFFFF"/>
        </w:rPr>
        <w:t>Fe(SO</w:t>
      </w:r>
      <w:r w:rsidRPr="00B96940">
        <w:rPr>
          <w:rFonts w:ascii="Arial" w:hAnsi="Arial" w:cs="Arial"/>
          <w:color w:val="202122"/>
          <w:shd w:val="clear" w:color="auto" w:fill="FFFFFF"/>
          <w:vertAlign w:val="subscript"/>
        </w:rPr>
        <w:t>4</w:t>
      </w:r>
      <w:r w:rsidRPr="00B96940">
        <w:rPr>
          <w:rFonts w:ascii="Arial" w:hAnsi="Arial" w:cs="Arial"/>
          <w:color w:val="202122"/>
          <w:sz w:val="21"/>
          <w:szCs w:val="21"/>
          <w:shd w:val="clear" w:color="auto" w:fill="FFFFFF"/>
        </w:rPr>
        <w:t>)</w:t>
      </w:r>
      <w:r w:rsidRPr="00B96940">
        <w:rPr>
          <w:rFonts w:ascii="Arial" w:hAnsi="Arial" w:cs="Arial"/>
          <w:color w:val="202122"/>
          <w:shd w:val="clear" w:color="auto" w:fill="FFFFFF"/>
          <w:vertAlign w:val="subscript"/>
        </w:rPr>
        <w:t>2</w:t>
      </w:r>
      <w:r w:rsidRPr="00B96940">
        <w:rPr>
          <w:rFonts w:ascii="Arial" w:hAnsi="Arial" w:cs="Arial"/>
          <w:color w:val="202122"/>
          <w:sz w:val="21"/>
          <w:szCs w:val="21"/>
          <w:shd w:val="clear" w:color="auto" w:fill="FFFFFF"/>
        </w:rPr>
        <w:t> · 6 H</w:t>
      </w:r>
      <w:r w:rsidRPr="00B96940">
        <w:rPr>
          <w:rFonts w:ascii="Arial" w:hAnsi="Arial" w:cs="Arial"/>
          <w:color w:val="202122"/>
          <w:shd w:val="clear" w:color="auto" w:fill="FFFFFF"/>
          <w:vertAlign w:val="subscript"/>
        </w:rPr>
        <w:t>2</w:t>
      </w:r>
      <w:r w:rsidRPr="00B96940">
        <w:rPr>
          <w:rFonts w:ascii="Arial" w:hAnsi="Arial" w:cs="Arial"/>
          <w:color w:val="202122"/>
          <w:sz w:val="21"/>
          <w:szCs w:val="21"/>
          <w:shd w:val="clear" w:color="auto" w:fill="FFFFFF"/>
        </w:rPr>
        <w:t>O (solution qui po</w:t>
      </w:r>
      <w:r>
        <w:rPr>
          <w:rFonts w:ascii="Arial" w:hAnsi="Arial" w:cs="Arial"/>
          <w:color w:val="202122"/>
          <w:sz w:val="21"/>
          <w:szCs w:val="21"/>
          <w:shd w:val="clear" w:color="auto" w:fill="FFFFFF"/>
        </w:rPr>
        <w:t>rte le nom d’un chimiste allemand)</w:t>
      </w:r>
    </w:p>
    <w:p w:rsidR="00B96940" w:rsidRDefault="00B96940" w:rsidP="001269FA">
      <w:pPr>
        <w:pStyle w:val="Sansinterligne"/>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r>
      <w:hyperlink r:id="rId11" w:history="1">
        <w:r>
          <w:rPr>
            <w:rStyle w:val="Lienhypertexte"/>
          </w:rPr>
          <w:t>https://fr.wikipedia.org/wiki/Sel_de_Mohr</w:t>
        </w:r>
      </w:hyperlink>
    </w:p>
    <w:p w:rsidR="00B96940" w:rsidRDefault="00A71C0D" w:rsidP="001269FA">
      <w:pPr>
        <w:pStyle w:val="Sansinterligne"/>
        <w:rPr>
          <w:i/>
          <w:iCs/>
        </w:rPr>
      </w:pPr>
      <w:r>
        <w:rPr>
          <w:i/>
          <w:iCs/>
        </w:rPr>
        <w:t>Préciser sur les slides qu’on aurait dû pour pouvoir comparer les deux réactions il aurait fallu utiliser les mêmes solutions mais on observe le même résultat (malgré que sur les vidéos ça ne soit pas le cas)</w:t>
      </w:r>
    </w:p>
    <w:p w:rsidR="00A71C0D" w:rsidRPr="00A71C0D" w:rsidRDefault="00A71C0D" w:rsidP="001269FA">
      <w:pPr>
        <w:pStyle w:val="Sansinterligne"/>
        <w:rPr>
          <w:i/>
          <w:iCs/>
        </w:rPr>
      </w:pPr>
    </w:p>
    <w:p w:rsidR="001269FA" w:rsidRDefault="001269FA" w:rsidP="001269FA">
      <w:pPr>
        <w:pStyle w:val="Sansinterligne"/>
      </w:pPr>
      <w:r>
        <w:t>[1]p. 234</w:t>
      </w:r>
    </w:p>
    <w:p w:rsidR="001269FA" w:rsidRDefault="00787B1B" w:rsidP="001269FA">
      <w:pPr>
        <w:pStyle w:val="Sansinterligne"/>
      </w:pPr>
      <w:r>
        <w:t xml:space="preserve">Une réaction est </w:t>
      </w:r>
      <w:r>
        <w:rPr>
          <w:i/>
          <w:iCs/>
        </w:rPr>
        <w:t>rapide</w:t>
      </w:r>
      <w:r>
        <w:t xml:space="preserve"> lorsqu’elle semble achevée dès que les réactifs sont mis en contact</w:t>
      </w:r>
      <w:r w:rsidR="00480C50">
        <w:t> </w:t>
      </w:r>
      <w:r>
        <w:t>; réaction finie en moins d’un 1/25 de seconde (persistance rétinienne). C’est le cas de la réaction entre le permanganate et les ions ferreux.</w:t>
      </w:r>
    </w:p>
    <w:p w:rsidR="00787B1B" w:rsidRDefault="00787B1B" w:rsidP="001269FA">
      <w:pPr>
        <w:pStyle w:val="Sansinterligne"/>
      </w:pPr>
      <w:r>
        <w:t xml:space="preserve">Une réaction est </w:t>
      </w:r>
      <w:r>
        <w:rPr>
          <w:i/>
          <w:iCs/>
        </w:rPr>
        <w:t>lente</w:t>
      </w:r>
      <w:r>
        <w:t xml:space="preserve"> lorsqu’elle dure plus de quelques secondes. C’est le cas de la réaction entre l’acide oxalique et le permanganate de potassium.</w:t>
      </w:r>
    </w:p>
    <w:p w:rsidR="00787B1B" w:rsidRDefault="00787B1B" w:rsidP="001269FA">
      <w:pPr>
        <w:pStyle w:val="Sansinterligne"/>
      </w:pPr>
    </w:p>
    <w:p w:rsidR="00787B1B" w:rsidRDefault="00787B1B" w:rsidP="001269FA">
      <w:pPr>
        <w:pStyle w:val="Sansinterligne"/>
      </w:pPr>
      <w:r>
        <w:t>[2]p.271</w:t>
      </w:r>
      <w:r w:rsidR="00480C50">
        <w:t> </w:t>
      </w:r>
      <w:r>
        <w:t xml:space="preserve">: On appelle </w:t>
      </w:r>
      <w:r>
        <w:rPr>
          <w:i/>
          <w:iCs/>
        </w:rPr>
        <w:t xml:space="preserve">durée d’une transformation chimique </w:t>
      </w:r>
      <w:r>
        <w:t xml:space="preserve">la durée nécessaire pour que l’avancement x atteigne une valeur fixée par l’expérimentateur. </w:t>
      </w:r>
    </w:p>
    <w:p w:rsidR="00787B1B" w:rsidRDefault="00787B1B" w:rsidP="001269FA">
      <w:pPr>
        <w:pStyle w:val="Sansinterligne"/>
      </w:pPr>
      <w:r>
        <w:t xml:space="preserve">Il est à remarquer que c’est une définition arbitraire dépendant de chaque expérimentateur. Dans l’industrie, cette valeur est fixée par des contraintes de rentabilité. </w:t>
      </w:r>
    </w:p>
    <w:p w:rsidR="001773BF" w:rsidRDefault="001773BF" w:rsidP="001269FA">
      <w:pPr>
        <w:pStyle w:val="Sansinterligne"/>
      </w:pPr>
    </w:p>
    <w:p w:rsidR="001773BF" w:rsidRPr="001773BF" w:rsidRDefault="001773BF" w:rsidP="001773BF">
      <w:pPr>
        <w:pStyle w:val="Sansinterligne"/>
        <w:pBdr>
          <w:left w:val="thinThickSmallGap" w:sz="24" w:space="4" w:color="00B050"/>
        </w:pBdr>
        <w:rPr>
          <w:b/>
          <w:bCs/>
          <w:smallCaps/>
        </w:rPr>
      </w:pPr>
      <w:r>
        <w:rPr>
          <w:b/>
          <w:bCs/>
          <w:smallCaps/>
        </w:rPr>
        <w:t>Transition</w:t>
      </w:r>
      <w:r w:rsidR="00480C50">
        <w:rPr>
          <w:b/>
          <w:bCs/>
          <w:smallCaps/>
        </w:rPr>
        <w:t> </w:t>
      </w:r>
      <w:r>
        <w:rPr>
          <w:b/>
          <w:bCs/>
          <w:smallCaps/>
        </w:rPr>
        <w:t>: comment pouvons-nous quantifier la durée d’une transformation</w:t>
      </w:r>
      <w:r w:rsidR="00480C50">
        <w:rPr>
          <w:b/>
          <w:bCs/>
          <w:smallCaps/>
        </w:rPr>
        <w:t> </w:t>
      </w:r>
      <w:r>
        <w:rPr>
          <w:b/>
          <w:bCs/>
          <w:smallCaps/>
        </w:rPr>
        <w:t>?</w:t>
      </w:r>
    </w:p>
    <w:p w:rsidR="00787B1B" w:rsidRDefault="00787B1B" w:rsidP="001269FA">
      <w:pPr>
        <w:pStyle w:val="Sansinterligne"/>
      </w:pPr>
    </w:p>
    <w:p w:rsidR="001773BF" w:rsidRDefault="001773BF" w:rsidP="00ED07E1">
      <w:pPr>
        <w:pStyle w:val="Sansinterligne"/>
        <w:numPr>
          <w:ilvl w:val="0"/>
          <w:numId w:val="3"/>
        </w:numPr>
        <w:rPr>
          <w:b/>
          <w:bCs/>
        </w:rPr>
      </w:pPr>
      <w:r>
        <w:rPr>
          <w:b/>
          <w:bCs/>
        </w:rPr>
        <w:t>Suivi temporel d’une réaction chimique</w:t>
      </w:r>
    </w:p>
    <w:p w:rsidR="001773BF" w:rsidRDefault="001773BF" w:rsidP="001773BF">
      <w:pPr>
        <w:pStyle w:val="Sansinterligne"/>
        <w:ind w:firstLine="708"/>
      </w:pPr>
      <w:r>
        <w:t>[3]p. 238</w:t>
      </w:r>
      <w:r w:rsidR="00480C50">
        <w:t> </w:t>
      </w:r>
      <w:r>
        <w:t xml:space="preserve">: Effectuer un </w:t>
      </w:r>
      <w:r>
        <w:rPr>
          <w:i/>
          <w:iCs/>
        </w:rPr>
        <w:t xml:space="preserve">suivi temporel </w:t>
      </w:r>
      <w:r>
        <w:t>d’une réaction chimique consiste à connaitre à chaque instant l’état du système chimique. Cela pourra nous permettre de remonter à la durée de la réaction.</w:t>
      </w:r>
    </w:p>
    <w:p w:rsidR="001773BF" w:rsidRDefault="001773BF" w:rsidP="001773BF">
      <w:pPr>
        <w:pStyle w:val="Sansinterligne"/>
        <w:ind w:firstLine="708"/>
      </w:pPr>
      <w:r>
        <w:t xml:space="preserve">On doit donc trouver des méthodes pour trouver l’évolution de la concentration en fonction du temps. </w:t>
      </w:r>
    </w:p>
    <w:p w:rsidR="00A71C0D" w:rsidRDefault="00A71C0D" w:rsidP="001773BF">
      <w:pPr>
        <w:pStyle w:val="Sansinterligne"/>
        <w:ind w:firstLine="708"/>
      </w:pPr>
    </w:p>
    <w:p w:rsidR="00A71C0D" w:rsidRDefault="00A71C0D" w:rsidP="001773BF">
      <w:pPr>
        <w:pStyle w:val="Sansinterligne"/>
        <w:ind w:firstLine="708"/>
      </w:pPr>
    </w:p>
    <w:p w:rsidR="001773BF" w:rsidRDefault="001773BF" w:rsidP="001773BF">
      <w:pPr>
        <w:pStyle w:val="Sansinterligne"/>
        <w:ind w:firstLine="708"/>
      </w:pPr>
      <w:bookmarkStart w:id="2" w:name="OLE_LINK1"/>
      <w:bookmarkStart w:id="3" w:name="OLE_LINK2"/>
    </w:p>
    <w:p w:rsidR="004F4BD2" w:rsidRDefault="004F4BD2" w:rsidP="004F4BD2">
      <w:pPr>
        <w:pStyle w:val="Sansinterligne"/>
        <w:pBdr>
          <w:left w:val="thinThickSmallGap" w:sz="24" w:space="1" w:color="FFC000"/>
        </w:pBdr>
      </w:pPr>
      <w:r>
        <w:rPr>
          <w:u w:val="single"/>
        </w:rPr>
        <w:lastRenderedPageBreak/>
        <w:t xml:space="preserve">Réaction des ions iodure avec les ions peroxodisulfate </w:t>
      </w:r>
      <w:r>
        <w:t>[4]p.199</w:t>
      </w:r>
    </w:p>
    <w:p w:rsidR="004F4BD2" w:rsidRDefault="004F4BD2" w:rsidP="004F4BD2">
      <w:pPr>
        <w:pStyle w:val="Sansinterligne"/>
        <w:pBdr>
          <w:left w:val="thinThickSmallGap" w:sz="24" w:space="1" w:color="FFC000"/>
        </w:pBdr>
      </w:pPr>
      <w:r>
        <w:t>Les trois courbes auront déjà été tracées au moins une fois en préparation au cas où.</w:t>
      </w:r>
    </w:p>
    <w:p w:rsidR="004F4BD2" w:rsidRDefault="004F4BD2" w:rsidP="004F4BD2">
      <w:pPr>
        <w:pStyle w:val="Sansinterligne"/>
        <w:pBdr>
          <w:left w:val="thinThickSmallGap" w:sz="24" w:space="1" w:color="FFC000"/>
        </w:pBdr>
      </w:pPr>
      <w:r>
        <w:t>Lancement du suivi spectrophotométrique au début de la leçon sur un temps d’acquisition de 10 min pour une concentration.</w:t>
      </w:r>
    </w:p>
    <w:p w:rsidR="006E4A4C" w:rsidRPr="006E4A4C" w:rsidRDefault="006E4A4C" w:rsidP="004F4BD2">
      <w:pPr>
        <w:pStyle w:val="Sansinterligne"/>
        <w:pBdr>
          <w:left w:val="thinThickSmallGap" w:sz="24" w:space="1" w:color="FFC000"/>
        </w:pBdr>
        <w:rPr>
          <w:i/>
          <w:iCs/>
        </w:rPr>
      </w:pPr>
      <w:r>
        <w:rPr>
          <w:i/>
          <w:iCs/>
        </w:rPr>
        <w:t>Utiliser la simulation geogebra pour la simulation du tracé de l’absorbance en fonction du temps.</w:t>
      </w:r>
      <w:bookmarkStart w:id="4" w:name="_GoBack"/>
      <w:bookmarkEnd w:id="4"/>
    </w:p>
    <w:bookmarkEnd w:id="2"/>
    <w:bookmarkEnd w:id="3"/>
    <w:p w:rsidR="004F4BD2" w:rsidRDefault="004F4BD2" w:rsidP="00BA11A1">
      <w:pPr>
        <w:pStyle w:val="Sansinterligne"/>
      </w:pPr>
    </w:p>
    <w:p w:rsidR="00BA11A1" w:rsidRDefault="00BA11A1" w:rsidP="00BA11A1">
      <w:pPr>
        <w:pStyle w:val="Sansinterligne"/>
      </w:pPr>
      <w:r>
        <w:tab/>
      </w:r>
      <w:r w:rsidR="004F4BD2">
        <w:t>Pour quantifier la durée d’une réaction</w:t>
      </w:r>
      <w:r>
        <w:t xml:space="preserve"> on</w:t>
      </w:r>
      <w:r w:rsidR="004F4BD2">
        <w:t xml:space="preserve"> peut</w:t>
      </w:r>
      <w:r>
        <w:t xml:space="preserve"> utilise</w:t>
      </w:r>
      <w:r w:rsidR="004F4BD2">
        <w:t>r</w:t>
      </w:r>
      <w:r>
        <w:t xml:space="preserve"> une notion appelée </w:t>
      </w:r>
      <w:r>
        <w:rPr>
          <w:i/>
          <w:iCs/>
        </w:rPr>
        <w:t>temps de demi-réaction</w:t>
      </w:r>
      <w:r>
        <w:t xml:space="preserve">. </w:t>
      </w:r>
    </w:p>
    <w:p w:rsidR="00BA11A1" w:rsidRDefault="00BA11A1" w:rsidP="00BA11A1">
      <w:pPr>
        <w:pStyle w:val="Sansinterligne"/>
      </w:pPr>
    </w:p>
    <w:p w:rsidR="00BA11A1" w:rsidRDefault="00BA11A1" w:rsidP="00BA11A1">
      <w:pPr>
        <w:pStyle w:val="Sansinterligne"/>
        <w:ind w:firstLine="708"/>
        <w:rPr>
          <w:rFonts w:eastAsiaTheme="minorEastAsia"/>
        </w:rPr>
      </w:pPr>
      <w:r>
        <w:t xml:space="preserve">[2]p.272 On appelle </w:t>
      </w:r>
      <w:r>
        <w:rPr>
          <w:i/>
          <w:iCs/>
        </w:rPr>
        <w:t>temps de demi-réaction</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Pr>
          <w:rFonts w:eastAsiaTheme="minorEastAsia"/>
        </w:rPr>
        <w:t xml:space="preserve"> la durée de transformation pour laquelle l’avancement </w:t>
      </w:r>
      <m:oMath>
        <m:r>
          <m:rPr>
            <m:sty m:val="p"/>
          </m:rPr>
          <w:rPr>
            <w:rFonts w:ascii="Cambria Math" w:eastAsiaTheme="minorEastAsia" w:hAnsi="Cambria Math"/>
          </w:rPr>
          <m:t>ξ</m:t>
        </m:r>
      </m:oMath>
      <w:r>
        <w:rPr>
          <w:rFonts w:eastAsiaTheme="minorEastAsia"/>
        </w:rPr>
        <w:t xml:space="preserve"> est égal à la moitié de l’avancement final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m:rPr>
                <m:sty m:val="p"/>
              </m:rPr>
              <w:rPr>
                <w:rFonts w:ascii="Cambria Math" w:eastAsiaTheme="minorEastAsia" w:hAnsi="Cambria Math"/>
              </w:rPr>
              <m:t>f</m:t>
            </m:r>
          </m:sub>
        </m:sSub>
      </m:oMath>
      <w:r>
        <w:rPr>
          <w:rFonts w:eastAsiaTheme="minorEastAsia"/>
        </w:rPr>
        <w:t>.</w:t>
      </w:r>
      <w:r w:rsidR="004F4BD2">
        <w:rPr>
          <w:rFonts w:eastAsiaTheme="minorEastAsia"/>
        </w:rPr>
        <w:t xml:space="preserve"> Autrement dit</w:t>
      </w:r>
      <w:r w:rsidR="00480C50">
        <w:rPr>
          <w:rFonts w:eastAsiaTheme="minorEastAsia"/>
        </w:rPr>
        <w:t> </w:t>
      </w:r>
      <w:r w:rsidR="004F4BD2">
        <w:rPr>
          <w:rFonts w:eastAsiaTheme="minorEastAsia"/>
        </w:rPr>
        <w:t xml:space="preserve">: </w:t>
      </w:r>
      <m:oMath>
        <m:r>
          <m:rPr>
            <m:sty m:val="p"/>
          </m:rPr>
          <w:rPr>
            <w:rFonts w:ascii="Cambria Math" w:eastAsiaTheme="minorEastAsia" w:hAnsi="Cambria Math"/>
          </w:rPr>
          <m:t>ξ</m:t>
        </m:r>
        <m:d>
          <m:dPr>
            <m:ctrlPr>
              <w:rPr>
                <w:rFonts w:ascii="Cambria Math" w:eastAsiaTheme="minorEastAsia" w:hAnsi="Cambria Math"/>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f</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w:r w:rsidR="004F4BD2">
        <w:rPr>
          <w:rFonts w:eastAsiaTheme="minorEastAsia"/>
        </w:rPr>
        <w:t xml:space="preserve">. </w:t>
      </w:r>
    </w:p>
    <w:p w:rsidR="004F4BD2" w:rsidRPr="004F4BD2" w:rsidRDefault="004F4BD2" w:rsidP="00BA11A1">
      <w:pPr>
        <w:pStyle w:val="Sansinterligne"/>
        <w:ind w:firstLine="708"/>
        <w:rPr>
          <w:rFonts w:eastAsiaTheme="minorEastAsia"/>
          <w:i/>
          <w:iCs/>
        </w:rPr>
      </w:pPr>
      <w:r>
        <w:rPr>
          <w:rFonts w:eastAsiaTheme="minorEastAsia"/>
          <w:i/>
          <w:iCs/>
        </w:rPr>
        <w:t xml:space="preserve">Attention,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 xml:space="preserve"> ≠ </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num>
          <m:den>
            <m:r>
              <w:rPr>
                <w:rFonts w:ascii="Cambria Math" w:eastAsiaTheme="minorEastAsia" w:hAnsi="Cambria Math"/>
              </w:rPr>
              <m:t>2</m:t>
            </m:r>
          </m:den>
        </m:f>
      </m:oMath>
      <w:r>
        <w:rPr>
          <w:rFonts w:eastAsiaTheme="minorEastAsia"/>
          <w:i/>
          <w:iCs/>
        </w:rPr>
        <w:t xml:space="preserve"> (comme cela est visible sur les courbes de l’absorbance</w:t>
      </w:r>
      <w:r w:rsidR="005649C5">
        <w:rPr>
          <w:rFonts w:eastAsiaTheme="minorEastAsia"/>
          <w:i/>
          <w:iCs/>
        </w:rPr>
        <w:t>)</w:t>
      </w:r>
      <w:r>
        <w:rPr>
          <w:rFonts w:eastAsiaTheme="minorEastAsia"/>
          <w:i/>
          <w:iCs/>
        </w:rPr>
        <w:t>.</w:t>
      </w:r>
    </w:p>
    <w:p w:rsidR="00BA11A1" w:rsidRDefault="00BA11A1" w:rsidP="00FC7637">
      <w:pPr>
        <w:pStyle w:val="Sansinterligne"/>
        <w:rPr>
          <w:rFonts w:eastAsiaTheme="minorEastAsia"/>
        </w:rPr>
      </w:pPr>
    </w:p>
    <w:p w:rsidR="00826E0A" w:rsidRDefault="00826E0A" w:rsidP="00826E0A">
      <w:pPr>
        <w:pStyle w:val="Sansinterligne"/>
        <w:rPr>
          <w:rFonts w:eastAsiaTheme="minorEastAsia"/>
        </w:rPr>
      </w:pPr>
      <w:r>
        <w:t xml:space="preserve">Ainsi, </w:t>
      </w:r>
      <w:r w:rsidR="004F4BD2">
        <w:t xml:space="preserve">au cours de la réaction il y a formation de diiode (seule espèce colorée en solution) et donc l’absorbance augmente au cours du temps. </w:t>
      </w:r>
      <w:r w:rsidR="00FD5869">
        <w:t xml:space="preserve">La solution absorbe de plus en plus. Ainsi, pour déterminer l’avancement final, on peut se fier à la valeur maximale atteinte par </w:t>
      </w:r>
      <w:r w:rsidR="00927509">
        <w:t xml:space="preserve">l’absorbance car d’après la loi de Beer-Lambert, </w:t>
      </w:r>
      <m:oMath>
        <m:r>
          <w:rPr>
            <w:rFonts w:ascii="Cambria Math" w:hAnsi="Cambria Math"/>
          </w:rPr>
          <m:t>A=</m:t>
        </m:r>
        <m:r>
          <m:rPr>
            <m:sty m:val="p"/>
          </m:rPr>
          <w:rPr>
            <w:rFonts w:ascii="Cambria Math" w:hAnsi="Cambria Math"/>
          </w:rPr>
          <m:t>ε</m:t>
        </m:r>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927509">
        <w:rPr>
          <w:rFonts w:eastAsiaTheme="minorEastAsia"/>
        </w:rPr>
        <w:t>.</w:t>
      </w:r>
    </w:p>
    <w:p w:rsidR="000A08D2" w:rsidRDefault="000A08D2" w:rsidP="00826E0A">
      <w:pPr>
        <w:pStyle w:val="Sansinterligne"/>
        <w:rPr>
          <w:rFonts w:eastAsiaTheme="minorEastAsia"/>
        </w:rPr>
      </w:pPr>
    </w:p>
    <w:p w:rsidR="00927509" w:rsidRDefault="00927509" w:rsidP="00927509">
      <w:pPr>
        <w:pStyle w:val="Sansinterligne"/>
        <w:jc w:val="center"/>
        <w:rPr>
          <w:rFonts w:eastAsiaTheme="minorEastAsia"/>
        </w:rPr>
      </w:pPr>
    </w:p>
    <w:tbl>
      <w:tblPr>
        <w:tblStyle w:val="Grilledutableau"/>
        <w:tblW w:w="0" w:type="auto"/>
        <w:jc w:val="center"/>
        <w:tblLook w:val="04A0" w:firstRow="1" w:lastRow="0" w:firstColumn="1" w:lastColumn="0" w:noHBand="0" w:noVBand="1"/>
      </w:tblPr>
      <w:tblGrid>
        <w:gridCol w:w="1812"/>
        <w:gridCol w:w="1812"/>
        <w:gridCol w:w="1813"/>
        <w:gridCol w:w="1813"/>
      </w:tblGrid>
      <w:tr w:rsidR="00927509" w:rsidTr="00927509">
        <w:trPr>
          <w:jc w:val="center"/>
        </w:trPr>
        <w:tc>
          <w:tcPr>
            <w:tcW w:w="1812" w:type="dxa"/>
          </w:tcPr>
          <w:p w:rsidR="00927509" w:rsidRPr="00927509" w:rsidRDefault="00927509" w:rsidP="00826E0A">
            <w:pPr>
              <w:pStyle w:val="Sansinterligne"/>
            </w:pPr>
            <m:oMathPara>
              <m:oMathParaPr>
                <m:jc m:val="center"/>
              </m:oMathParaPr>
              <m:oMath>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1812" w:type="dxa"/>
          </w:tcPr>
          <w:p w:rsidR="00927509" w:rsidRDefault="00EB4F7F" w:rsidP="00826E0A">
            <w:pPr>
              <w:pStyle w:val="Sansinterligne"/>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8</m:t>
                    </m:r>
                  </m:sub>
                  <m:sup>
                    <m:r>
                      <w:rPr>
                        <w:rFonts w:ascii="Cambria Math" w:hAnsi="Cambria Math"/>
                      </w:rPr>
                      <m:t>2-</m:t>
                    </m:r>
                  </m:sup>
                </m:sSubSup>
              </m:oMath>
            </m:oMathPara>
          </w:p>
        </w:tc>
        <w:tc>
          <w:tcPr>
            <w:tcW w:w="1813" w:type="dxa"/>
          </w:tcPr>
          <w:p w:rsidR="00927509" w:rsidRDefault="00EB4F7F" w:rsidP="00826E0A">
            <w:pPr>
              <w:pStyle w:val="Sansinterligne"/>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c>
        <w:tc>
          <w:tcPr>
            <w:tcW w:w="1813" w:type="dxa"/>
          </w:tcPr>
          <w:p w:rsidR="00927509" w:rsidRDefault="00927509" w:rsidP="00826E0A">
            <w:pPr>
              <w:pStyle w:val="Sansinterligne"/>
            </w:pPr>
            <m:oMathPara>
              <m:oMath>
                <m:r>
                  <w:rPr>
                    <w:rFonts w:ascii="Cambria Math" w:hAnsi="Cambria Math"/>
                  </w:rPr>
                  <m:t>2S</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oMath>
            </m:oMathPara>
          </w:p>
        </w:tc>
      </w:tr>
      <w:tr w:rsidR="00927509" w:rsidTr="00927509">
        <w:trPr>
          <w:jc w:val="center"/>
        </w:trPr>
        <w:tc>
          <w:tcPr>
            <w:tcW w:w="1812" w:type="dxa"/>
          </w:tcPr>
          <w:p w:rsidR="00927509" w:rsidRDefault="00927509" w:rsidP="00826E0A">
            <w:pPr>
              <w:pStyle w:val="Sansinterligne"/>
            </w:pPr>
            <w:r>
              <w:t>Excès</w:t>
            </w:r>
          </w:p>
        </w:tc>
        <w:tc>
          <w:tcPr>
            <w:tcW w:w="1812" w:type="dxa"/>
          </w:tcPr>
          <w:p w:rsidR="00927509" w:rsidRDefault="00EB4F7F" w:rsidP="00826E0A">
            <w:pPr>
              <w:pStyle w:val="Sansinterlign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oMath>
            </m:oMathPara>
          </w:p>
        </w:tc>
        <w:tc>
          <w:tcPr>
            <w:tcW w:w="1813" w:type="dxa"/>
          </w:tcPr>
          <w:p w:rsidR="00927509" w:rsidRDefault="00927509" w:rsidP="00927509">
            <w:pPr>
              <w:pStyle w:val="Sansinterligne"/>
              <w:jc w:val="center"/>
            </w:pPr>
            <w:r>
              <w:t>0</w:t>
            </w:r>
          </w:p>
        </w:tc>
        <w:tc>
          <w:tcPr>
            <w:tcW w:w="1813" w:type="dxa"/>
          </w:tcPr>
          <w:p w:rsidR="00927509" w:rsidRDefault="00927509" w:rsidP="00927509">
            <w:pPr>
              <w:pStyle w:val="Sansinterligne"/>
              <w:jc w:val="center"/>
            </w:pPr>
            <w:r>
              <w:t>0</w:t>
            </w:r>
          </w:p>
        </w:tc>
      </w:tr>
      <w:tr w:rsidR="00927509" w:rsidTr="00927509">
        <w:trPr>
          <w:jc w:val="center"/>
        </w:trPr>
        <w:tc>
          <w:tcPr>
            <w:tcW w:w="1812" w:type="dxa"/>
          </w:tcPr>
          <w:p w:rsidR="00927509" w:rsidRDefault="00927509" w:rsidP="00826E0A">
            <w:pPr>
              <w:pStyle w:val="Sansinterligne"/>
            </w:pPr>
            <w:r>
              <w:t>Excès</w:t>
            </w:r>
          </w:p>
        </w:tc>
        <w:tc>
          <w:tcPr>
            <w:tcW w:w="1812" w:type="dxa"/>
          </w:tcPr>
          <w:p w:rsidR="00927509" w:rsidRDefault="00EB4F7F" w:rsidP="00927509">
            <w:pPr>
              <w:pStyle w:val="Sansinterligne"/>
              <w:jc w:val="center"/>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r>
                  <m:rPr>
                    <m:sty m:val="p"/>
                  </m:rPr>
                  <w:rPr>
                    <w:rFonts w:ascii="Cambria Math" w:hAnsi="Cambria Math"/>
                  </w:rPr>
                  <m:t>ξ</m:t>
                </m:r>
              </m:oMath>
            </m:oMathPara>
          </w:p>
        </w:tc>
        <w:tc>
          <w:tcPr>
            <w:tcW w:w="1813" w:type="dxa"/>
          </w:tcPr>
          <w:p w:rsidR="00927509" w:rsidRDefault="00927509" w:rsidP="00826E0A">
            <w:pPr>
              <w:pStyle w:val="Sansinterligne"/>
            </w:pPr>
            <m:oMathPara>
              <m:oMath>
                <m:r>
                  <m:rPr>
                    <m:sty m:val="p"/>
                  </m:rPr>
                  <w:rPr>
                    <w:rFonts w:ascii="Cambria Math" w:hAnsi="Cambria Math"/>
                  </w:rPr>
                  <m:t>ξ</m:t>
                </m:r>
              </m:oMath>
            </m:oMathPara>
          </w:p>
        </w:tc>
        <w:tc>
          <w:tcPr>
            <w:tcW w:w="1813" w:type="dxa"/>
            <w:vAlign w:val="center"/>
          </w:tcPr>
          <w:p w:rsidR="00927509" w:rsidRDefault="00927509" w:rsidP="00927509">
            <w:pPr>
              <w:pStyle w:val="Sansinterligne"/>
              <w:jc w:val="center"/>
            </w:pPr>
            <m:oMathPara>
              <m:oMath>
                <m:r>
                  <w:rPr>
                    <w:rFonts w:ascii="Cambria Math" w:hAnsi="Cambria Math"/>
                  </w:rPr>
                  <m:t>2</m:t>
                </m:r>
                <m:r>
                  <m:rPr>
                    <m:sty m:val="p"/>
                  </m:rPr>
                  <w:rPr>
                    <w:rFonts w:ascii="Cambria Math" w:hAnsi="Cambria Math"/>
                  </w:rPr>
                  <m:t>ξ</m:t>
                </m:r>
              </m:oMath>
            </m:oMathPara>
          </w:p>
        </w:tc>
      </w:tr>
    </w:tbl>
    <w:p w:rsidR="00927509" w:rsidRDefault="00927509" w:rsidP="00826E0A">
      <w:pPr>
        <w:pStyle w:val="Sansinterligne"/>
      </w:pPr>
    </w:p>
    <w:p w:rsidR="00927509" w:rsidRDefault="00927509" w:rsidP="00826E0A">
      <w:pPr>
        <w:pStyle w:val="Sansinterligne"/>
        <w:rPr>
          <w:rFonts w:eastAsiaTheme="minorEastAsia"/>
        </w:rPr>
      </w:pPr>
      <w:r>
        <w:t xml:space="preserve">Donc </w:t>
      </w:r>
      <m:oMath>
        <m:r>
          <w:rPr>
            <w:rFonts w:ascii="Cambria Math" w:hAnsi="Cambria Math"/>
          </w:rPr>
          <m:t xml:space="preserve">A = </m:t>
        </m:r>
        <m:r>
          <m:rPr>
            <m:sty m:val="p"/>
          </m:rPr>
          <w:rPr>
            <w:rFonts w:ascii="Cambria Math" w:hAnsi="Cambria Math"/>
          </w:rPr>
          <m:t>ε</m:t>
        </m:r>
        <m:r>
          <w:rPr>
            <w:rFonts w:ascii="Cambria Math" w:hAnsi="Cambria Math"/>
          </w:rPr>
          <m:t xml:space="preserve">l </m:t>
        </m:r>
        <m:r>
          <m:rPr>
            <m:sty m:val="p"/>
          </m:rPr>
          <w:rPr>
            <w:rFonts w:ascii="Cambria Math" w:hAnsi="Cambria Math"/>
          </w:rPr>
          <m:t>ξ</m:t>
        </m:r>
      </m:oMath>
      <w:r>
        <w:rPr>
          <w:rFonts w:eastAsiaTheme="minorEastAsia"/>
        </w:rPr>
        <w:t xml:space="preserve"> et on a donc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m:rPr>
                <m:sty m:val="p"/>
              </m:rP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A</m:t>
                </m:r>
              </m:e>
              <m:sub>
                <m:r>
                  <m:rPr>
                    <m:sty m:val="p"/>
                  </m:rPr>
                  <w:rPr>
                    <w:rFonts w:ascii="Cambria Math" w:eastAsiaTheme="minorEastAsia" w:hAnsi="Cambria Math"/>
                  </w:rPr>
                  <m:t>f</m:t>
                </m:r>
              </m:sub>
            </m:sSub>
            <m:ctrlPr>
              <w:rPr>
                <w:rFonts w:ascii="Cambria Math" w:eastAsiaTheme="minorEastAsia" w:hAnsi="Cambria Math"/>
                <w:i/>
              </w:rPr>
            </m:ctrlPr>
          </m:num>
          <m:den>
            <m:r>
              <m:rPr>
                <m:sty m:val="p"/>
              </m:rPr>
              <w:rPr>
                <w:rFonts w:ascii="Cambria Math" w:eastAsiaTheme="minorEastAsia" w:hAnsi="Cambria Math"/>
              </w:rPr>
              <m:t>ε</m:t>
            </m:r>
            <m:r>
              <w:rPr>
                <w:rFonts w:ascii="Cambria Math" w:eastAsiaTheme="minorEastAsia" w:hAnsi="Cambria Math"/>
              </w:rPr>
              <m:t> </m:t>
            </m:r>
            <m:r>
              <m:rPr>
                <m:sty m:val="p"/>
              </m:rPr>
              <w:rPr>
                <w:rFonts w:ascii="Cambria Math" w:eastAsiaTheme="minorEastAsia" w:hAnsi="Cambria Math"/>
              </w:rPr>
              <m:t>l</m:t>
            </m:r>
            <m:ctrlPr>
              <w:rPr>
                <w:rFonts w:ascii="Cambria Math" w:eastAsiaTheme="minorEastAsia" w:hAnsi="Cambria Math"/>
                <w:i/>
              </w:rPr>
            </m:ctrlPr>
          </m:den>
        </m:f>
      </m:oMath>
    </w:p>
    <w:p w:rsidR="005649C5" w:rsidRDefault="00927509" w:rsidP="00927509">
      <w:pPr>
        <w:pStyle w:val="Sansinterligne"/>
        <w:pBdr>
          <w:left w:val="thinThickSmallGap" w:sz="24" w:space="4" w:color="FFC000"/>
        </w:pBdr>
      </w:pPr>
      <w:r>
        <w:t>Export des données sur Regressi pour déterminer l’avancement maximal et calculer le temps de demi-réaction. Pour le moment, on montre qu’une seule courbe.</w:t>
      </w:r>
    </w:p>
    <w:p w:rsidR="005649C5" w:rsidRDefault="005649C5" w:rsidP="00997D51">
      <w:pPr>
        <w:pStyle w:val="Sansinterligne"/>
      </w:pPr>
    </w:p>
    <w:p w:rsidR="00997D51" w:rsidRPr="00997D51" w:rsidRDefault="00997D51" w:rsidP="00997D51">
      <w:pPr>
        <w:pStyle w:val="Sansinterligne"/>
      </w:pPr>
      <w:r>
        <w:t>Il est à noter que si la réaction ne met pas en jeu de molécules colorées, on peut suivre une concentration à l’aide d’autres méthodes telles que la conductimétrie ou par CCM en chimie organique en effectuant des prélèvements réguliers. Au pire, on peut toujours effectuer des titrages en prélevant un peu du milieu réactionnel</w:t>
      </w:r>
      <w:r w:rsidR="005649C5">
        <w:t xml:space="preserve"> et en effectuant une trempe chimique pour tracer l’évolution d’une concentration donnée en fonction du temps.</w:t>
      </w:r>
    </w:p>
    <w:p w:rsidR="00997D51" w:rsidRDefault="00997D51" w:rsidP="00997D51">
      <w:pPr>
        <w:pStyle w:val="Sansinterligne"/>
        <w:rPr>
          <w:b/>
          <w:bCs/>
          <w:smallCaps/>
        </w:rPr>
      </w:pPr>
    </w:p>
    <w:p w:rsidR="00927509" w:rsidRPr="002D6EF0" w:rsidRDefault="002D6EF0" w:rsidP="00997D51">
      <w:pPr>
        <w:pStyle w:val="Sansinterligne"/>
        <w:pBdr>
          <w:left w:val="thinThickSmallGap" w:sz="24" w:space="4" w:color="00B050"/>
        </w:pBdr>
        <w:rPr>
          <w:b/>
          <w:bCs/>
          <w:smallCaps/>
        </w:rPr>
      </w:pPr>
      <w:r>
        <w:rPr>
          <w:b/>
          <w:bCs/>
          <w:smallCaps/>
        </w:rPr>
        <w:t>Transition</w:t>
      </w:r>
      <w:r w:rsidR="00480C50">
        <w:rPr>
          <w:b/>
          <w:bCs/>
          <w:smallCaps/>
        </w:rPr>
        <w:t> </w:t>
      </w:r>
      <w:r>
        <w:rPr>
          <w:b/>
          <w:bCs/>
          <w:smallCaps/>
        </w:rPr>
        <w:t xml:space="preserve">: En introduction, nous avons dit que certains aliments se décomposent en quelques jours à l’air libre. Cependant, nous savons que les placer au réfrigérateur permet de ralentir la dégradation de ces derniers. Nous allons voir quels facteurs peuvent influencer la vitesse d’une réaction chimique. </w:t>
      </w:r>
    </w:p>
    <w:p w:rsidR="00927509" w:rsidRDefault="00927509" w:rsidP="00826E0A">
      <w:pPr>
        <w:pStyle w:val="Sansinterligne"/>
      </w:pPr>
    </w:p>
    <w:p w:rsidR="00927509" w:rsidRDefault="00A570E4" w:rsidP="00ED07E1">
      <w:pPr>
        <w:pStyle w:val="Sansinterligne"/>
        <w:numPr>
          <w:ilvl w:val="0"/>
          <w:numId w:val="2"/>
        </w:numPr>
        <w:rPr>
          <w:b/>
          <w:bCs/>
          <w:u w:val="single"/>
        </w:rPr>
      </w:pPr>
      <w:r>
        <w:rPr>
          <w:b/>
          <w:bCs/>
          <w:u w:val="single"/>
        </w:rPr>
        <w:t>Facteurs cinétiques</w:t>
      </w:r>
    </w:p>
    <w:p w:rsidR="00A570E4" w:rsidRDefault="00A570E4" w:rsidP="00ED07E1">
      <w:pPr>
        <w:pStyle w:val="Sansinterligne"/>
        <w:numPr>
          <w:ilvl w:val="0"/>
          <w:numId w:val="4"/>
        </w:numPr>
        <w:rPr>
          <w:b/>
          <w:bCs/>
        </w:rPr>
      </w:pPr>
      <w:r>
        <w:rPr>
          <w:b/>
          <w:bCs/>
        </w:rPr>
        <w:t>Influence de la température</w:t>
      </w:r>
    </w:p>
    <w:p w:rsidR="00A570E4" w:rsidRDefault="00A570E4" w:rsidP="00A570E4">
      <w:pPr>
        <w:pStyle w:val="Sansinterligne"/>
      </w:pPr>
    </w:p>
    <w:p w:rsidR="00A570E4" w:rsidRDefault="00A570E4" w:rsidP="00A570E4">
      <w:pPr>
        <w:pStyle w:val="Sansinterligne"/>
        <w:pBdr>
          <w:left w:val="thinThickSmallGap" w:sz="24" w:space="4" w:color="FFC000"/>
        </w:pBdr>
      </w:pPr>
      <w:r>
        <w:t>Ions iodure et peroxodisulfate dans un bécher à 70°C et dans un bécher à température ambiante (voire refroidi)</w:t>
      </w:r>
      <w:r w:rsidR="00480C50">
        <w:t> </w:t>
      </w:r>
      <w:r>
        <w:t>:</w:t>
      </w:r>
      <w:r w:rsidR="000A08D2">
        <w:t xml:space="preserve"> [4]p.199</w:t>
      </w:r>
    </w:p>
    <w:p w:rsidR="00A570E4" w:rsidRDefault="00A570E4" w:rsidP="00A570E4">
      <w:pPr>
        <w:pStyle w:val="Sansinterligne"/>
        <w:pBdr>
          <w:left w:val="thinThickSmallGap" w:sz="24" w:space="4" w:color="FFC000"/>
        </w:pBdr>
        <w:ind w:firstLine="708"/>
      </w:pPr>
      <w:r>
        <w:t>À priori doublement de la vitesse environ tous les 10°C</w:t>
      </w:r>
    </w:p>
    <w:p w:rsidR="00A570E4" w:rsidRDefault="00A570E4" w:rsidP="0054429C">
      <w:pPr>
        <w:pStyle w:val="Sansinterligne"/>
      </w:pPr>
    </w:p>
    <w:p w:rsidR="0054429C" w:rsidRDefault="0054429C" w:rsidP="0054429C">
      <w:pPr>
        <w:pStyle w:val="Sansinterligne"/>
        <w:rPr>
          <w:u w:val="single"/>
        </w:rPr>
      </w:pPr>
      <w:r w:rsidRPr="0054429C">
        <w:rPr>
          <w:u w:val="single"/>
        </w:rPr>
        <w:t>Facteur température :</w:t>
      </w:r>
    </w:p>
    <w:p w:rsidR="0054429C" w:rsidRDefault="0054429C" w:rsidP="0054429C">
      <w:pPr>
        <w:pStyle w:val="Sansinterligne"/>
      </w:pPr>
      <w:r>
        <w:tab/>
      </w:r>
      <w:hyperlink r:id="rId12" w:history="1">
        <w:r>
          <w:rPr>
            <w:rStyle w:val="Lienhypertexte"/>
          </w:rPr>
          <w:t>https://www.youtube.com/watch?v=9GEmhPIL76U</w:t>
        </w:r>
      </w:hyperlink>
    </w:p>
    <w:p w:rsidR="0054429C" w:rsidRDefault="0054429C" w:rsidP="0054429C">
      <w:pPr>
        <w:pStyle w:val="Sansinterligne"/>
      </w:pPr>
      <w:r>
        <w:tab/>
        <w:t>On s’intéresse qu’au tube 2 et 3 (solutions chauffées) on observe que la coloration apparait plus vite : réaction entre de l’iodure de potassium et des ions peroxodisulfate</w:t>
      </w:r>
    </w:p>
    <w:p w:rsidR="0054429C" w:rsidRPr="0054429C" w:rsidRDefault="0054429C" w:rsidP="0054429C">
      <w:pPr>
        <w:pStyle w:val="Sansinterligne"/>
      </w:pPr>
      <w:r>
        <w:tab/>
        <w:t>Temps utile : 1 :13 – 1 :50 (passer la vidéo en vitesse fois 2)</w:t>
      </w:r>
    </w:p>
    <w:p w:rsidR="00A570E4" w:rsidRDefault="00A570E4" w:rsidP="00A570E4">
      <w:pPr>
        <w:pStyle w:val="Sansinterligne"/>
      </w:pPr>
      <w:r>
        <w:lastRenderedPageBreak/>
        <w:t>[2]p.273 De façon générale, plus la température du milieu est élevée, plus la durée de la transformation diminue. La température est donc un facteur cinétique.</w:t>
      </w:r>
    </w:p>
    <w:p w:rsidR="005F1941" w:rsidRPr="005F1941" w:rsidRDefault="005F1941" w:rsidP="00A570E4">
      <w:pPr>
        <w:pStyle w:val="Sansinterligne"/>
        <w:rPr>
          <w:i/>
          <w:iCs/>
          <w:color w:val="00B0F0"/>
        </w:rPr>
      </w:pPr>
      <w:r>
        <w:rPr>
          <w:i/>
          <w:iCs/>
          <w:color w:val="00B0F0"/>
        </w:rPr>
        <w:t>La dissolution du calcaire est plus rapide en solution froide qu’en solution chaude (contre-exemple).  De façon générale, il faut regarder la relation de van’t Hoff ainsi que le signe de l’enthalpie de réaction standard.</w:t>
      </w:r>
    </w:p>
    <w:p w:rsidR="00A570E4" w:rsidRDefault="00A570E4" w:rsidP="00A570E4">
      <w:pPr>
        <w:pStyle w:val="Sansinterligne"/>
      </w:pPr>
      <w:r>
        <w:t>Animation [5]</w:t>
      </w:r>
      <w:r w:rsidR="00480C50">
        <w:t> </w:t>
      </w:r>
      <w:r w:rsidR="007320CA">
        <w:t>: plus la température augmente, plus les chocs entre les réactifs sont nombreux et efficaces -&gt; le temps de demi-réaction diminue avec la température</w:t>
      </w:r>
    </w:p>
    <w:p w:rsidR="007320CA" w:rsidRDefault="007320CA" w:rsidP="00A570E4">
      <w:pPr>
        <w:pStyle w:val="Sansinterligne"/>
      </w:pPr>
      <w:r>
        <w:t>La limite</w:t>
      </w:r>
      <w:r w:rsidR="008E78A6">
        <w:t xml:space="preserve"> </w:t>
      </w:r>
      <w:r>
        <w:t>est le compromis à faire entre rapidité et coût énergétique.</w:t>
      </w:r>
    </w:p>
    <w:p w:rsidR="007320CA" w:rsidRDefault="007320CA" w:rsidP="00A570E4">
      <w:pPr>
        <w:pStyle w:val="Sansinterligne"/>
      </w:pPr>
      <w:r>
        <w:t>Applications</w:t>
      </w:r>
      <w:r w:rsidR="00480C50">
        <w:t> </w:t>
      </w:r>
      <w:r>
        <w:t>: réfrigérateur permet de ralentir la dégradation des aliments</w:t>
      </w:r>
    </w:p>
    <w:p w:rsidR="007320CA" w:rsidRDefault="007320CA" w:rsidP="00A570E4">
      <w:pPr>
        <w:pStyle w:val="Sansinterligne"/>
      </w:pPr>
    </w:p>
    <w:p w:rsidR="00A570E4" w:rsidRDefault="007320CA" w:rsidP="00ED07E1">
      <w:pPr>
        <w:pStyle w:val="Sansinterligne"/>
        <w:numPr>
          <w:ilvl w:val="0"/>
          <w:numId w:val="4"/>
        </w:numPr>
        <w:rPr>
          <w:b/>
          <w:bCs/>
        </w:rPr>
      </w:pPr>
      <w:r>
        <w:rPr>
          <w:b/>
          <w:bCs/>
        </w:rPr>
        <w:t>Influence de la concentration</w:t>
      </w:r>
    </w:p>
    <w:p w:rsidR="007320CA" w:rsidRDefault="007320CA" w:rsidP="00410D01">
      <w:pPr>
        <w:pStyle w:val="Sansinterligne"/>
        <w:pBdr>
          <w:left w:val="thinThickSmallGap" w:sz="24" w:space="4" w:color="FFC000"/>
        </w:pBdr>
      </w:pPr>
      <w:r>
        <w:t>En préparation, refaire la manipulation des ions iodures et ions peroxodisulfates pour différentes concentrations en ions peroxodisulfate.</w:t>
      </w:r>
    </w:p>
    <w:p w:rsidR="006F7420" w:rsidRDefault="007320CA" w:rsidP="00410D01">
      <w:pPr>
        <w:pStyle w:val="Sansinterligne"/>
        <w:pBdr>
          <w:left w:val="thinThickSmallGap" w:sz="24" w:space="4" w:color="FFC000"/>
        </w:pBdr>
        <w:rPr>
          <w:i/>
          <w:iCs/>
        </w:rPr>
      </w:pPr>
      <w:r>
        <w:rPr>
          <w:i/>
          <w:iCs/>
        </w:rPr>
        <w:t>Il est possible de lancer un suivi spectrophotométrique avant la partie sur la température.</w:t>
      </w:r>
    </w:p>
    <w:p w:rsidR="007320CA" w:rsidRDefault="007320CA" w:rsidP="007320CA">
      <w:pPr>
        <w:pStyle w:val="Sansinterligne"/>
      </w:pPr>
    </w:p>
    <w:p w:rsidR="006F7420" w:rsidRPr="006F7420" w:rsidRDefault="006F7420" w:rsidP="007320CA">
      <w:pPr>
        <w:pStyle w:val="Sansinterligne"/>
        <w:rPr>
          <w:u w:val="single"/>
        </w:rPr>
      </w:pPr>
      <w:r>
        <w:rPr>
          <w:u w:val="single"/>
        </w:rPr>
        <w:t>Facteur concentration :</w:t>
      </w:r>
    </w:p>
    <w:p w:rsidR="006F7420" w:rsidRDefault="00EB4F7F" w:rsidP="006F7420">
      <w:pPr>
        <w:pStyle w:val="Sansinterligne"/>
        <w:ind w:firstLine="708"/>
      </w:pPr>
      <w:hyperlink r:id="rId13" w:history="1">
        <w:r w:rsidR="006F7420" w:rsidRPr="008F1B0F">
          <w:rPr>
            <w:rStyle w:val="Lienhypertexte"/>
          </w:rPr>
          <w:t>https://www.youtube.com/watch?v=9GEmhPIL76U</w:t>
        </w:r>
      </w:hyperlink>
    </w:p>
    <w:p w:rsidR="006F7420" w:rsidRDefault="006F7420" w:rsidP="006F7420">
      <w:pPr>
        <w:pStyle w:val="Sansinterligne"/>
        <w:ind w:firstLine="708"/>
      </w:pPr>
      <w:r>
        <w:t>Cette fois, il faut comparer tube 1 et 2</w:t>
      </w:r>
    </w:p>
    <w:p w:rsidR="006F7420" w:rsidRDefault="006F7420" w:rsidP="006F7420">
      <w:pPr>
        <w:pStyle w:val="Sansinterligne"/>
        <w:ind w:firstLine="708"/>
      </w:pPr>
      <w:r>
        <w:t>Dans le tube 1, on a 5 mL de KI, 1 mL de peroxodisulfate 9 mL d’eau</w:t>
      </w:r>
    </w:p>
    <w:p w:rsidR="006F7420" w:rsidRDefault="006F7420" w:rsidP="006F7420">
      <w:pPr>
        <w:pStyle w:val="Sansinterligne"/>
        <w:ind w:firstLine="708"/>
      </w:pPr>
      <w:r>
        <w:t>Dans le tube 2, on a 5 mL de KI et 10 mL de peroxodisulfate.</w:t>
      </w:r>
    </w:p>
    <w:p w:rsidR="006F7420" w:rsidRDefault="006F7420" w:rsidP="006F7420">
      <w:pPr>
        <w:pStyle w:val="Sansinterligne"/>
        <w:ind w:firstLine="708"/>
      </w:pPr>
    </w:p>
    <w:p w:rsidR="00410D01" w:rsidRDefault="00410D01" w:rsidP="007320CA">
      <w:pPr>
        <w:pStyle w:val="Sansinterligne"/>
      </w:pPr>
      <w:r>
        <w:t xml:space="preserve">On constate que l’évolution de la concentration est plus rapide pour les concentrations les plus élevées. </w:t>
      </w:r>
    </w:p>
    <w:p w:rsidR="007320CA" w:rsidRDefault="00410D01" w:rsidP="007320CA">
      <w:pPr>
        <w:pStyle w:val="Sansinterligne"/>
      </w:pPr>
      <w:r>
        <w:t>Plus la concentration est élevée, plus le nombre de chocs augmente et sont efficaces.</w:t>
      </w:r>
    </w:p>
    <w:p w:rsidR="00410D01" w:rsidRDefault="00410D01" w:rsidP="007320CA">
      <w:pPr>
        <w:pStyle w:val="Sansinterligne"/>
      </w:pPr>
      <w:r>
        <w:t>Applications</w:t>
      </w:r>
      <w:r w:rsidR="00480C50">
        <w:t> </w:t>
      </w:r>
      <w:r>
        <w:t>: trempe chimique</w:t>
      </w:r>
      <w:r w:rsidR="00480C50">
        <w:t> </w:t>
      </w:r>
      <w:r>
        <w:t xml:space="preserve">: en effet, pour ralentir une réaction chimique </w:t>
      </w:r>
      <w:r w:rsidR="00A6361F">
        <w:t>on ajoute de l’eau glacée, ce qui permet à la fois de jouer sur le facteur température et la concentration.</w:t>
      </w:r>
    </w:p>
    <w:p w:rsidR="00A6361F" w:rsidRDefault="00A6361F" w:rsidP="007320CA">
      <w:pPr>
        <w:pStyle w:val="Sansinterligne"/>
      </w:pPr>
    </w:p>
    <w:p w:rsidR="000A08D2" w:rsidRDefault="002E7388" w:rsidP="002E7388">
      <w:pPr>
        <w:pStyle w:val="Sansinterligne"/>
        <w:pBdr>
          <w:left w:val="thinThickSmallGap" w:sz="24" w:space="4" w:color="00B050"/>
        </w:pBdr>
        <w:rPr>
          <w:b/>
          <w:bCs/>
          <w:smallCaps/>
        </w:rPr>
      </w:pPr>
      <w:r>
        <w:rPr>
          <w:b/>
          <w:bCs/>
          <w:smallCaps/>
        </w:rPr>
        <w:t>Transition</w:t>
      </w:r>
      <w:r w:rsidR="00480C50">
        <w:rPr>
          <w:b/>
          <w:bCs/>
          <w:smallCaps/>
        </w:rPr>
        <w:t> </w:t>
      </w:r>
      <w:r>
        <w:rPr>
          <w:b/>
          <w:bCs/>
          <w:smallCaps/>
        </w:rPr>
        <w:t>: il existe d’autres facteurs influençant la vitesse d’une réaction chimique comme le solvant</w:t>
      </w:r>
      <w:r w:rsidR="006F7420">
        <w:rPr>
          <w:b/>
          <w:bCs/>
          <w:smallCaps/>
        </w:rPr>
        <w:t xml:space="preserve"> </w:t>
      </w:r>
      <w:r w:rsidR="006F7420">
        <w:rPr>
          <w:b/>
          <w:bCs/>
          <w:smallCaps/>
          <w:color w:val="00B0F0"/>
        </w:rPr>
        <w:t xml:space="preserve">(Dissolution de l’iode dans le cyclohexane) </w:t>
      </w:r>
      <w:r>
        <w:rPr>
          <w:b/>
          <w:bCs/>
          <w:smallCaps/>
        </w:rPr>
        <w:t>, la surface de contact</w:t>
      </w:r>
      <w:r w:rsidR="006F7420">
        <w:rPr>
          <w:b/>
          <w:bCs/>
          <w:smallCaps/>
        </w:rPr>
        <w:t xml:space="preserve"> </w:t>
      </w:r>
      <w:r w:rsidR="006F7420">
        <w:rPr>
          <w:b/>
          <w:bCs/>
          <w:smallCaps/>
          <w:color w:val="00B0F0"/>
        </w:rPr>
        <w:t xml:space="preserve">(Réaction d’oxydoréduction pour une plaque ou poudre finement divisée) </w:t>
      </w:r>
      <w:r>
        <w:rPr>
          <w:b/>
          <w:bCs/>
          <w:smallCaps/>
        </w:rPr>
        <w:t>… Comment améliorer la cinétique d’une réaction sans modifier les conditions expérimentales</w:t>
      </w:r>
      <w:r w:rsidR="00480C50">
        <w:rPr>
          <w:b/>
          <w:bCs/>
          <w:smallCaps/>
        </w:rPr>
        <w:t> </w:t>
      </w:r>
      <w:r>
        <w:rPr>
          <w:b/>
          <w:bCs/>
          <w:smallCaps/>
        </w:rPr>
        <w:t>?</w:t>
      </w:r>
    </w:p>
    <w:p w:rsidR="000A08D2" w:rsidRDefault="000A08D2" w:rsidP="007320CA">
      <w:pPr>
        <w:pStyle w:val="Sansinterligne"/>
        <w:rPr>
          <w:b/>
          <w:bCs/>
          <w:smallCaps/>
        </w:rPr>
      </w:pPr>
    </w:p>
    <w:p w:rsidR="002E7388" w:rsidRPr="002E7388" w:rsidRDefault="002E7388" w:rsidP="00ED07E1">
      <w:pPr>
        <w:pStyle w:val="Sansinterligne"/>
        <w:numPr>
          <w:ilvl w:val="0"/>
          <w:numId w:val="2"/>
        </w:numPr>
        <w:rPr>
          <w:b/>
          <w:bCs/>
          <w:smallCaps/>
          <w:u w:val="single"/>
        </w:rPr>
      </w:pPr>
      <w:r>
        <w:rPr>
          <w:b/>
          <w:bCs/>
          <w:u w:val="single"/>
        </w:rPr>
        <w:t>Utilisation d’un catalyseur</w:t>
      </w:r>
    </w:p>
    <w:p w:rsidR="002E7388" w:rsidRPr="000A08D2" w:rsidRDefault="002E7388" w:rsidP="00ED07E1">
      <w:pPr>
        <w:pStyle w:val="Sansinterligne"/>
        <w:numPr>
          <w:ilvl w:val="0"/>
          <w:numId w:val="5"/>
        </w:numPr>
        <w:rPr>
          <w:b/>
          <w:bCs/>
          <w:smallCaps/>
        </w:rPr>
      </w:pPr>
      <w:r>
        <w:rPr>
          <w:b/>
          <w:bCs/>
        </w:rPr>
        <w:t>Catalyse homogène</w:t>
      </w:r>
      <w:r w:rsidR="001045C2">
        <w:rPr>
          <w:b/>
          <w:bCs/>
        </w:rPr>
        <w:t xml:space="preserve"> </w:t>
      </w:r>
      <w:r w:rsidR="001045C2">
        <w:rPr>
          <w:b/>
          <w:bCs/>
          <w:color w:val="7030A0"/>
        </w:rPr>
        <w:t>(Diapo)</w:t>
      </w:r>
    </w:p>
    <w:p w:rsidR="002E7388" w:rsidRDefault="002E7388" w:rsidP="002E7388">
      <w:pPr>
        <w:pStyle w:val="Sansinterligne"/>
        <w:rPr>
          <w:u w:val="single"/>
        </w:rPr>
      </w:pPr>
    </w:p>
    <w:p w:rsidR="002E7388" w:rsidRDefault="002E7388" w:rsidP="002E7388">
      <w:pPr>
        <w:pStyle w:val="Sansinterligne"/>
        <w:pBdr>
          <w:left w:val="thinThickSmallGap" w:sz="24" w:space="4" w:color="FFC000"/>
        </w:pBdr>
      </w:pPr>
      <w:r w:rsidRPr="002E7388">
        <w:rPr>
          <w:u w:val="single"/>
        </w:rPr>
        <w:t xml:space="preserve">Dismutation de l’eau oxygénée par les ions tartare </w:t>
      </w:r>
      <w:r>
        <w:t>[</w:t>
      </w:r>
      <w:r w:rsidR="005D10E8">
        <w:t>4</w:t>
      </w:r>
      <w:r>
        <w:t>]p.355</w:t>
      </w:r>
      <w:r w:rsidR="005D10E8">
        <w:t>-[2]p.274</w:t>
      </w:r>
    </w:p>
    <w:p w:rsidR="002E7388" w:rsidRPr="002E7388" w:rsidRDefault="002E7388" w:rsidP="002E7388">
      <w:pPr>
        <w:pStyle w:val="Sansinterligne"/>
        <w:pBdr>
          <w:left w:val="thinThickSmallGap" w:sz="24" w:space="4" w:color="FFC000"/>
        </w:pBdr>
      </w:pPr>
      <w:r>
        <w:tab/>
        <w:t>Cette manipulation est super belle et permet de voir la génération du catalyseur</w:t>
      </w:r>
      <w:r w:rsidR="006F7420">
        <w:t xml:space="preserve"> (montrer la vidéo)</w:t>
      </w:r>
    </w:p>
    <w:p w:rsidR="00A570E4" w:rsidRDefault="002E7388" w:rsidP="00A570E4">
      <w:pPr>
        <w:pStyle w:val="Sansinterligne"/>
        <w:rPr>
          <w:i/>
          <w:iCs/>
        </w:rPr>
      </w:pPr>
      <w:r>
        <w:rPr>
          <w:i/>
          <w:iCs/>
        </w:rPr>
        <w:t>Si on juge que l’on n’a pas le temps, on peut utiliser la dismutation de l’eau oxygénée par une solution d’ions ferreux (mettre un cristallisoir en dessous au cas où)</w:t>
      </w:r>
    </w:p>
    <w:p w:rsidR="006F7420" w:rsidRDefault="006F7420" w:rsidP="00A570E4">
      <w:pPr>
        <w:pStyle w:val="Sansinterligne"/>
        <w:rPr>
          <w:i/>
          <w:iCs/>
        </w:rPr>
      </w:pPr>
      <w:r>
        <w:rPr>
          <w:i/>
          <w:iCs/>
        </w:rPr>
        <w:tab/>
      </w:r>
      <w:hyperlink r:id="rId14" w:history="1">
        <w:r>
          <w:rPr>
            <w:rStyle w:val="Lienhypertexte"/>
          </w:rPr>
          <w:t>https://www.youtube.com/watch?v=nbNzvVwW7w8</w:t>
        </w:r>
      </w:hyperlink>
    </w:p>
    <w:p w:rsidR="002E7388" w:rsidRDefault="002E7388" w:rsidP="00A570E4">
      <w:pPr>
        <w:pStyle w:val="Sansinterligne"/>
        <w:rPr>
          <w:i/>
          <w:iCs/>
        </w:rPr>
      </w:pPr>
    </w:p>
    <w:p w:rsidR="00D56655" w:rsidRDefault="00D56655" w:rsidP="00A570E4">
      <w:pPr>
        <w:pStyle w:val="Sansinterligne"/>
      </w:pPr>
      <w:r>
        <w:t>[2]p. 274</w:t>
      </w:r>
      <w:r w:rsidR="00480C50">
        <w:t> </w:t>
      </w:r>
      <w:r>
        <w:t xml:space="preserve">: un </w:t>
      </w:r>
      <w:r>
        <w:rPr>
          <w:i/>
          <w:iCs/>
        </w:rPr>
        <w:t>catalyseur</w:t>
      </w:r>
      <w:r>
        <w:t xml:space="preserve"> est une espèce chimique qui diminue la durée d’une transformation. On dit que la réaction est </w:t>
      </w:r>
      <w:r>
        <w:rPr>
          <w:i/>
          <w:iCs/>
        </w:rPr>
        <w:t>catalysée.</w:t>
      </w:r>
      <w:r>
        <w:t xml:space="preserve"> Un catalyseur n’apparait pas dans l’équation de la réaction et est regénéré au cours de la réaction. </w:t>
      </w:r>
    </w:p>
    <w:p w:rsidR="005D10E8" w:rsidRPr="005D10E8" w:rsidRDefault="005D10E8" w:rsidP="00A570E4">
      <w:pPr>
        <w:pStyle w:val="Sansinterligne"/>
      </w:pPr>
      <w:r>
        <w:t xml:space="preserve">La catalyse est dite </w:t>
      </w:r>
      <w:r>
        <w:rPr>
          <w:i/>
          <w:iCs/>
        </w:rPr>
        <w:t xml:space="preserve">homogène </w:t>
      </w:r>
      <w:r>
        <w:t>lorsque le catalyseur et les réactifs sont dans la même phase.</w:t>
      </w:r>
    </w:p>
    <w:p w:rsidR="005D10E8" w:rsidRDefault="005D10E8" w:rsidP="00A570E4">
      <w:pPr>
        <w:pStyle w:val="Sansinterligne"/>
      </w:pPr>
    </w:p>
    <w:p w:rsidR="005D10E8" w:rsidRDefault="005D10E8" w:rsidP="00A570E4">
      <w:pPr>
        <w:pStyle w:val="Sansinterligne"/>
      </w:pPr>
    </w:p>
    <w:p w:rsidR="005D10E8" w:rsidRDefault="005D10E8" w:rsidP="00A570E4">
      <w:pPr>
        <w:pStyle w:val="Sansinterligne"/>
      </w:pPr>
    </w:p>
    <w:p w:rsidR="005D10E8" w:rsidRDefault="005D10E8" w:rsidP="00A570E4">
      <w:pPr>
        <w:pStyle w:val="Sansinterligne"/>
      </w:pPr>
    </w:p>
    <w:p w:rsidR="005D10E8" w:rsidRDefault="005D10E8" w:rsidP="00A570E4">
      <w:pPr>
        <w:pStyle w:val="Sansinterligne"/>
      </w:pPr>
    </w:p>
    <w:p w:rsidR="006F7420" w:rsidRDefault="006F7420" w:rsidP="00A570E4">
      <w:pPr>
        <w:pStyle w:val="Sansinterligne"/>
      </w:pPr>
    </w:p>
    <w:p w:rsidR="005D10E8" w:rsidRDefault="005D10E8" w:rsidP="00ED07E1">
      <w:pPr>
        <w:pStyle w:val="Sansinterligne"/>
        <w:numPr>
          <w:ilvl w:val="0"/>
          <w:numId w:val="5"/>
        </w:numPr>
        <w:rPr>
          <w:b/>
          <w:bCs/>
        </w:rPr>
      </w:pPr>
      <w:r>
        <w:rPr>
          <w:b/>
          <w:bCs/>
        </w:rPr>
        <w:lastRenderedPageBreak/>
        <w:t>Catalyse hétérogène</w:t>
      </w:r>
      <w:r w:rsidR="001045C2">
        <w:rPr>
          <w:b/>
          <w:bCs/>
        </w:rPr>
        <w:t xml:space="preserve"> </w:t>
      </w:r>
      <w:r w:rsidR="001045C2">
        <w:rPr>
          <w:b/>
          <w:bCs/>
          <w:color w:val="7030A0"/>
        </w:rPr>
        <w:t>(Diapo)</w:t>
      </w:r>
    </w:p>
    <w:p w:rsidR="005D10E8" w:rsidRDefault="005D10E8" w:rsidP="005D10E8">
      <w:pPr>
        <w:pStyle w:val="Sansinterligne"/>
        <w:pBdr>
          <w:left w:val="thinThickSmallGap" w:sz="24" w:space="4" w:color="FFC000"/>
        </w:pBdr>
      </w:pPr>
      <w:r>
        <w:t>Dismutation de l’eau oxygénée par un fil d’argent ou de platine ou poudre de zinc [4]p.212</w:t>
      </w:r>
    </w:p>
    <w:p w:rsidR="00CD0C76" w:rsidRDefault="00CD0C76" w:rsidP="005D10E8">
      <w:pPr>
        <w:pStyle w:val="Sansinterligne"/>
        <w:pBdr>
          <w:left w:val="thinThickSmallGap" w:sz="24" w:space="4" w:color="FFC000"/>
        </w:pBdr>
      </w:pPr>
      <w:r>
        <w:t>Insister sur le fait que la réaction a uniquement lieu à la surface du catalyser</w:t>
      </w:r>
    </w:p>
    <w:p w:rsidR="003568A7" w:rsidRDefault="00EB4F7F" w:rsidP="003568A7">
      <w:pPr>
        <w:pStyle w:val="Sansinterligne"/>
      </w:pPr>
      <w:hyperlink r:id="rId15" w:history="1">
        <w:r w:rsidR="006F7420">
          <w:rPr>
            <w:rStyle w:val="Lienhypertexte"/>
          </w:rPr>
          <w:t>https://www.youtube.com/watch?v=nbNzvVwW7w8</w:t>
        </w:r>
      </w:hyperlink>
    </w:p>
    <w:p w:rsidR="006F7420" w:rsidRDefault="006F7420" w:rsidP="003568A7">
      <w:pPr>
        <w:pStyle w:val="Sansinterligne"/>
      </w:pPr>
    </w:p>
    <w:p w:rsidR="003568A7" w:rsidRDefault="003568A7" w:rsidP="003568A7">
      <w:pPr>
        <w:pStyle w:val="Sansinterligne"/>
      </w:pPr>
      <w:r>
        <w:t xml:space="preserve">On parle de </w:t>
      </w:r>
      <w:r>
        <w:rPr>
          <w:i/>
          <w:iCs/>
        </w:rPr>
        <w:t xml:space="preserve">catalyse hétérogène </w:t>
      </w:r>
      <w:r>
        <w:t>lorsque le catalyseur et les réactifs ne sont pas dans la même phase. Ici, le catalyseur est solide alors que l’unique réactif est liquide.</w:t>
      </w:r>
    </w:p>
    <w:p w:rsidR="003568A7" w:rsidRDefault="003568A7" w:rsidP="003568A7">
      <w:pPr>
        <w:pStyle w:val="Sansinterligne"/>
      </w:pPr>
    </w:p>
    <w:p w:rsidR="003568A7" w:rsidRDefault="003568A7" w:rsidP="003568A7">
      <w:pPr>
        <w:pStyle w:val="Sansinterligne"/>
      </w:pPr>
      <w:r>
        <w:t>Applications</w:t>
      </w:r>
      <w:r w:rsidR="00480C50">
        <w:t> </w:t>
      </w:r>
      <w:r>
        <w:t>: pots catalytiques</w:t>
      </w:r>
      <w:r w:rsidR="00480C50">
        <w:t xml:space="preserve"> [6]</w:t>
      </w:r>
    </w:p>
    <w:p w:rsidR="003568A7" w:rsidRDefault="003568A7" w:rsidP="003568A7">
      <w:pPr>
        <w:pStyle w:val="Sansinterligne"/>
      </w:pPr>
      <w:r>
        <w:tab/>
        <w:t>Dans les pots d’échappement, on catalyse les réactions suivantes</w:t>
      </w:r>
      <w:r w:rsidR="00480C50">
        <w:t> </w:t>
      </w:r>
      <w:r>
        <w:t>:</w:t>
      </w:r>
    </w:p>
    <w:p w:rsidR="003568A7" w:rsidRDefault="003568A7" w:rsidP="003568A7">
      <w:pPr>
        <w:pStyle w:val="Sansinterligne"/>
      </w:pPr>
    </w:p>
    <w:p w:rsidR="003568A7" w:rsidRDefault="003568A7" w:rsidP="003568A7">
      <w:pPr>
        <w:pStyle w:val="Sansinterligne"/>
        <w:jc w:val="center"/>
        <w:rPr>
          <w:rFonts w:eastAsiaTheme="minorEastAsia"/>
        </w:rPr>
      </w:pPr>
      <m:oMath>
        <m:r>
          <w:rPr>
            <w:rFonts w:ascii="Cambria Math" w:hAnsi="Cambria Math"/>
          </w:rPr>
          <m:t xml:space="preserve">2 </m:t>
        </m:r>
        <m:sSub>
          <m:sSubPr>
            <m:ctrlPr>
              <w:rPr>
                <w:rFonts w:ascii="Cambria Math" w:hAnsi="Cambria Math"/>
                <w:i/>
              </w:rPr>
            </m:ctrlPr>
          </m:sSubPr>
          <m:e>
            <m:r>
              <w:rPr>
                <w:rFonts w:ascii="Cambria Math" w:hAnsi="Cambria Math"/>
              </w:rPr>
              <m:t>NO</m:t>
            </m:r>
          </m:e>
          <m:sub>
            <m:r>
              <w:rPr>
                <w:rFonts w:ascii="Cambria Math" w:hAnsi="Cambria Math"/>
              </w:rPr>
              <m:t>(g)</m:t>
            </m:r>
          </m:sub>
        </m:sSub>
        <m:r>
          <w:rPr>
            <w:rFonts w:ascii="Cambria Math" w:hAnsi="Cambria Math"/>
          </w:rPr>
          <m:t xml:space="preserve"> + 2 </m:t>
        </m:r>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2</m:t>
                </m:r>
              </m:sub>
            </m:sSub>
          </m:e>
          <m:sub>
            <m:r>
              <w:rPr>
                <w:rFonts w:ascii="Cambria Math" w:hAnsi="Cambria Math"/>
              </w:rPr>
              <m:t>(g)</m:t>
            </m:r>
          </m:sub>
        </m:sSub>
        <m:r>
          <w:rPr>
            <w:rFonts w:ascii="Cambria Math" w:hAnsi="Cambria Math"/>
          </w:rPr>
          <m:t xml:space="preserve"> + 2 </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(g)</m:t>
            </m:r>
          </m:sub>
        </m:sSub>
      </m:oMath>
      <w:r>
        <w:rPr>
          <w:rFonts w:eastAsiaTheme="minorEastAsia"/>
        </w:rPr>
        <w:t xml:space="preserve"> (réaction catalysée par rhodium ou palladium)</w:t>
      </w:r>
    </w:p>
    <w:p w:rsidR="003568A7" w:rsidRDefault="003568A7" w:rsidP="003568A7">
      <w:pPr>
        <w:pStyle w:val="Sansinterligne"/>
        <w:jc w:val="center"/>
        <w:rPr>
          <w:rFonts w:eastAsiaTheme="minorEastAsia"/>
        </w:rPr>
      </w:pPr>
    </w:p>
    <w:p w:rsidR="003568A7" w:rsidRDefault="003568A7" w:rsidP="003568A7">
      <w:pPr>
        <w:pStyle w:val="Sansinterligne"/>
        <w:jc w:val="center"/>
        <w:rPr>
          <w:rFonts w:eastAsiaTheme="minorEastAsia"/>
        </w:rPr>
      </w:pPr>
      <m:oMath>
        <m:r>
          <w:rPr>
            <w:rFonts w:ascii="Cambria Math" w:hAnsi="Cambria Math"/>
          </w:rPr>
          <m:t xml:space="preserve">2 </m:t>
        </m:r>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(g)</m:t>
            </m:r>
          </m:sub>
        </m:sSub>
        <m:r>
          <w:rPr>
            <w:rFonts w:ascii="Cambria Math" w:hAnsi="Cambria Math"/>
          </w:rPr>
          <m:t xml:space="preserve"> → 2</m:t>
        </m:r>
        <m:sSub>
          <m:sSubPr>
            <m:ctrlPr>
              <w:rPr>
                <w:rFonts w:ascii="Cambria Math" w:hAnsi="Cambria Math"/>
                <w:i/>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e>
          <m:sub>
            <m:r>
              <w:rPr>
                <w:rFonts w:ascii="Cambria Math" w:hAnsi="Cambria Math"/>
              </w:rPr>
              <m:t xml:space="preserve">(g)  </m:t>
            </m:r>
          </m:sub>
        </m:sSub>
      </m:oMath>
      <w:r>
        <w:rPr>
          <w:rFonts w:eastAsiaTheme="minorEastAsia"/>
        </w:rPr>
        <w:t>(réaction catalysée par rhodium, palladium ou platine)</w:t>
      </w:r>
    </w:p>
    <w:p w:rsidR="003568A7" w:rsidRDefault="003568A7" w:rsidP="003568A7">
      <w:pPr>
        <w:pStyle w:val="Sansinterligne"/>
        <w:jc w:val="center"/>
        <w:rPr>
          <w:rFonts w:eastAsiaTheme="minorEastAsia"/>
        </w:rPr>
      </w:pPr>
    </w:p>
    <w:p w:rsidR="003568A7" w:rsidRPr="003568A7" w:rsidRDefault="00480C50" w:rsidP="00480C50">
      <w:pPr>
        <w:pStyle w:val="Sansinterligne"/>
        <w:ind w:firstLine="708"/>
      </w:pPr>
      <w:r>
        <w:t>Ces réactions évitent le dégagement dans l’atmosphère de gaz nocifs au profit du dioxyde de carbone, gaz à effet de serre mais néanmoins moins toxique.</w:t>
      </w:r>
    </w:p>
    <w:p w:rsidR="005D10E8" w:rsidRDefault="005D10E8" w:rsidP="005D10E8"/>
    <w:p w:rsidR="00480C50" w:rsidRDefault="00480C50" w:rsidP="00ED07E1">
      <w:pPr>
        <w:pStyle w:val="Paragraphedeliste"/>
        <w:numPr>
          <w:ilvl w:val="0"/>
          <w:numId w:val="5"/>
        </w:numPr>
        <w:rPr>
          <w:b/>
          <w:bCs/>
        </w:rPr>
      </w:pPr>
      <w:r>
        <w:rPr>
          <w:b/>
          <w:bCs/>
        </w:rPr>
        <w:t>Catalyse enzymatique</w:t>
      </w:r>
      <w:r w:rsidR="001045C2">
        <w:rPr>
          <w:b/>
          <w:bCs/>
        </w:rPr>
        <w:t xml:space="preserve"> </w:t>
      </w:r>
      <w:r w:rsidR="001045C2">
        <w:rPr>
          <w:b/>
          <w:bCs/>
          <w:color w:val="7030A0"/>
        </w:rPr>
        <w:t>(Diapo)</w:t>
      </w:r>
    </w:p>
    <w:p w:rsidR="00480C50" w:rsidRDefault="00480C50" w:rsidP="00480C50">
      <w:pPr>
        <w:pStyle w:val="Sansinterligne"/>
        <w:pBdr>
          <w:left w:val="thinThickSmallGap" w:sz="24" w:space="4" w:color="FFC000"/>
        </w:pBdr>
      </w:pPr>
      <w:r>
        <w:t>Dismutation de l’eau oxygénée par du navet qui contient de la catalase (ou jus de navet)</w:t>
      </w:r>
    </w:p>
    <w:p w:rsidR="006F7420" w:rsidRDefault="00EB4F7F" w:rsidP="00480C50">
      <w:pPr>
        <w:pStyle w:val="Sansinterligne"/>
      </w:pPr>
      <w:hyperlink r:id="rId16" w:history="1">
        <w:r w:rsidR="006F7420">
          <w:rPr>
            <w:rStyle w:val="Lienhypertexte"/>
          </w:rPr>
          <w:t>https://www.youtube.com/watch?v=nbNzvVwW7w8</w:t>
        </w:r>
      </w:hyperlink>
    </w:p>
    <w:p w:rsidR="00480C50" w:rsidRDefault="00480C50" w:rsidP="00480C50">
      <w:pPr>
        <w:pStyle w:val="Sansinterligne"/>
      </w:pPr>
      <w:r>
        <w:t>La catalyse enzymatique fonctionne sur un système clé-serrure.</w:t>
      </w:r>
    </w:p>
    <w:p w:rsidR="00480C50" w:rsidRDefault="00480C50" w:rsidP="00480C50">
      <w:pPr>
        <w:pStyle w:val="Sansinterligne"/>
      </w:pPr>
      <w:r>
        <w:t>Intérêt : très efficace, basse température et peu de rejets.</w:t>
      </w:r>
    </w:p>
    <w:p w:rsidR="00480C50" w:rsidRDefault="00480C50" w:rsidP="00480C50">
      <w:pPr>
        <w:pStyle w:val="Sansinterligne"/>
      </w:pPr>
    </w:p>
    <w:p w:rsidR="00480C50" w:rsidRDefault="00480C50" w:rsidP="00480C50">
      <w:pPr>
        <w:pStyle w:val="Sansinterligne"/>
        <w:rPr>
          <w:color w:val="7030A0"/>
        </w:rPr>
      </w:pPr>
      <w:r>
        <w:rPr>
          <w:color w:val="7030A0"/>
        </w:rPr>
        <w:t>(Diapo) Bilan sur les différents types de catalyse</w:t>
      </w:r>
    </w:p>
    <w:p w:rsidR="003F7BEB" w:rsidRDefault="003F7BEB" w:rsidP="00480C50">
      <w:pPr>
        <w:pStyle w:val="Sansinterligne"/>
        <w:rPr>
          <w:color w:val="7030A0"/>
        </w:rPr>
      </w:pPr>
    </w:p>
    <w:p w:rsidR="003F7BEB" w:rsidRPr="003F7BEB" w:rsidRDefault="003F7BEB" w:rsidP="00480C50">
      <w:pPr>
        <w:pStyle w:val="Sansinterligne"/>
        <w:rPr>
          <w:b/>
          <w:bCs/>
          <w:smallCaps/>
          <w:color w:val="FF0000"/>
        </w:rPr>
      </w:pPr>
      <w:r>
        <w:rPr>
          <w:b/>
          <w:bCs/>
          <w:smallCaps/>
          <w:color w:val="FF0000"/>
        </w:rPr>
        <w:t xml:space="preserve">Conclusion : Au cours de cette leçon, nous avons vu comment on peut caractériser la vitesse d’une réaction chimique par le biais du temps de demi-réaction. </w:t>
      </w:r>
      <w:r>
        <w:rPr>
          <w:b/>
          <w:bCs/>
          <w:i/>
          <w:iCs/>
          <w:smallCaps/>
          <w:color w:val="FF0000"/>
        </w:rPr>
        <w:t xml:space="preserve">On peut faire un parallèle avec la radioactivité. </w:t>
      </w:r>
      <w:r>
        <w:rPr>
          <w:b/>
          <w:bCs/>
          <w:smallCaps/>
          <w:color w:val="FF0000"/>
        </w:rPr>
        <w:t>Nous avons également vu quelques facteurs qui peuvent influencer la cinétique d’une réaction. Nous pourrions maintenant chercher à déterminer les lois de vitesse des réactions chimiques afin d’être plus quantitatifs et de mettre en avant différents comportements.</w:t>
      </w:r>
    </w:p>
    <w:sectPr w:rsidR="003F7BEB" w:rsidRPr="003F7B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F7F" w:rsidRDefault="00EB4F7F" w:rsidP="00A06968">
      <w:pPr>
        <w:spacing w:after="0" w:line="240" w:lineRule="auto"/>
      </w:pPr>
      <w:r>
        <w:separator/>
      </w:r>
    </w:p>
  </w:endnote>
  <w:endnote w:type="continuationSeparator" w:id="0">
    <w:p w:rsidR="00EB4F7F" w:rsidRDefault="00EB4F7F"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F7F" w:rsidRDefault="00EB4F7F" w:rsidP="00A06968">
      <w:pPr>
        <w:spacing w:after="0" w:line="240" w:lineRule="auto"/>
      </w:pPr>
      <w:r>
        <w:separator/>
      </w:r>
    </w:p>
  </w:footnote>
  <w:footnote w:type="continuationSeparator" w:id="0">
    <w:p w:rsidR="00EB4F7F" w:rsidRDefault="00EB4F7F" w:rsidP="00A06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364FB"/>
    <w:multiLevelType w:val="hybridMultilevel"/>
    <w:tmpl w:val="D9368AE6"/>
    <w:lvl w:ilvl="0" w:tplc="7BD8806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624F86"/>
    <w:multiLevelType w:val="hybridMultilevel"/>
    <w:tmpl w:val="C37CF200"/>
    <w:lvl w:ilvl="0" w:tplc="6C2E7D4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1870B49"/>
    <w:multiLevelType w:val="hybridMultilevel"/>
    <w:tmpl w:val="9C18B930"/>
    <w:lvl w:ilvl="0" w:tplc="1DC42F50">
      <w:start w:val="1"/>
      <w:numFmt w:val="lowerLetter"/>
      <w:lvlText w:val="%1."/>
      <w:lvlJc w:val="left"/>
      <w:pPr>
        <w:ind w:left="1080" w:hanging="360"/>
      </w:pPr>
      <w:rPr>
        <w:rFonts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0F3896"/>
    <w:multiLevelType w:val="hybridMultilevel"/>
    <w:tmpl w:val="00CE158A"/>
    <w:lvl w:ilvl="0" w:tplc="0426A29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C0C1BB0"/>
    <w:multiLevelType w:val="hybridMultilevel"/>
    <w:tmpl w:val="E3EC956A"/>
    <w:lvl w:ilvl="0" w:tplc="0E3C9454">
      <w:start w:val="1"/>
      <w:numFmt w:val="decimal"/>
      <w:lvlText w:val="%1)"/>
      <w:lvlJc w:val="left"/>
      <w:pPr>
        <w:ind w:left="720" w:hanging="360"/>
      </w:pPr>
      <w:rPr>
        <w:rFonts w:hint="default"/>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24DEC"/>
    <w:rsid w:val="00034414"/>
    <w:rsid w:val="00041BF6"/>
    <w:rsid w:val="00061875"/>
    <w:rsid w:val="00065C19"/>
    <w:rsid w:val="0007304E"/>
    <w:rsid w:val="00081460"/>
    <w:rsid w:val="00093D37"/>
    <w:rsid w:val="000A08D2"/>
    <w:rsid w:val="000A3F8B"/>
    <w:rsid w:val="000B6C12"/>
    <w:rsid w:val="000C0D39"/>
    <w:rsid w:val="000D165D"/>
    <w:rsid w:val="000D1FB2"/>
    <w:rsid w:val="000D4731"/>
    <w:rsid w:val="000F58C8"/>
    <w:rsid w:val="001013BA"/>
    <w:rsid w:val="001037A3"/>
    <w:rsid w:val="00103E1F"/>
    <w:rsid w:val="00104588"/>
    <w:rsid w:val="001045C2"/>
    <w:rsid w:val="001126C7"/>
    <w:rsid w:val="00122226"/>
    <w:rsid w:val="001269FA"/>
    <w:rsid w:val="00131AA1"/>
    <w:rsid w:val="00132791"/>
    <w:rsid w:val="00151F76"/>
    <w:rsid w:val="00174298"/>
    <w:rsid w:val="001773BF"/>
    <w:rsid w:val="00191F3D"/>
    <w:rsid w:val="001A47CE"/>
    <w:rsid w:val="001A73EF"/>
    <w:rsid w:val="001B248F"/>
    <w:rsid w:val="001C41D7"/>
    <w:rsid w:val="001C7E3E"/>
    <w:rsid w:val="001D4532"/>
    <w:rsid w:val="001D6424"/>
    <w:rsid w:val="001F7C8C"/>
    <w:rsid w:val="00201AFD"/>
    <w:rsid w:val="00201BBC"/>
    <w:rsid w:val="00243CE4"/>
    <w:rsid w:val="00276575"/>
    <w:rsid w:val="00281EE7"/>
    <w:rsid w:val="002B0CDC"/>
    <w:rsid w:val="002B3633"/>
    <w:rsid w:val="002C3750"/>
    <w:rsid w:val="002C7747"/>
    <w:rsid w:val="002D6EF0"/>
    <w:rsid w:val="002D7D3A"/>
    <w:rsid w:val="002E3D67"/>
    <w:rsid w:val="002E7388"/>
    <w:rsid w:val="002F11EE"/>
    <w:rsid w:val="00303CAD"/>
    <w:rsid w:val="00325F0B"/>
    <w:rsid w:val="00336811"/>
    <w:rsid w:val="00347B53"/>
    <w:rsid w:val="00353B0E"/>
    <w:rsid w:val="003568A7"/>
    <w:rsid w:val="00365F03"/>
    <w:rsid w:val="00372E4B"/>
    <w:rsid w:val="003749EE"/>
    <w:rsid w:val="00382EC4"/>
    <w:rsid w:val="00391852"/>
    <w:rsid w:val="00397DD1"/>
    <w:rsid w:val="003A0755"/>
    <w:rsid w:val="003A11A8"/>
    <w:rsid w:val="003B1033"/>
    <w:rsid w:val="003B10D7"/>
    <w:rsid w:val="003C684E"/>
    <w:rsid w:val="003D0FFB"/>
    <w:rsid w:val="003D2915"/>
    <w:rsid w:val="003F45E6"/>
    <w:rsid w:val="003F7BEB"/>
    <w:rsid w:val="00410CBA"/>
    <w:rsid w:val="00410D01"/>
    <w:rsid w:val="00415E7E"/>
    <w:rsid w:val="004214CF"/>
    <w:rsid w:val="00423622"/>
    <w:rsid w:val="00424073"/>
    <w:rsid w:val="0042492A"/>
    <w:rsid w:val="00424DAA"/>
    <w:rsid w:val="0043131D"/>
    <w:rsid w:val="004566A8"/>
    <w:rsid w:val="0046144E"/>
    <w:rsid w:val="00462B7C"/>
    <w:rsid w:val="00480C50"/>
    <w:rsid w:val="004923C1"/>
    <w:rsid w:val="004923CE"/>
    <w:rsid w:val="004A0174"/>
    <w:rsid w:val="004A7863"/>
    <w:rsid w:val="004C0448"/>
    <w:rsid w:val="004D0305"/>
    <w:rsid w:val="004D3FBD"/>
    <w:rsid w:val="004F4BD2"/>
    <w:rsid w:val="004F7224"/>
    <w:rsid w:val="005113F8"/>
    <w:rsid w:val="0052245C"/>
    <w:rsid w:val="00522873"/>
    <w:rsid w:val="00523F00"/>
    <w:rsid w:val="005269AD"/>
    <w:rsid w:val="0054320B"/>
    <w:rsid w:val="005435AB"/>
    <w:rsid w:val="0054429C"/>
    <w:rsid w:val="005520AF"/>
    <w:rsid w:val="005649C5"/>
    <w:rsid w:val="00565EC7"/>
    <w:rsid w:val="00567F55"/>
    <w:rsid w:val="00572DC9"/>
    <w:rsid w:val="00583083"/>
    <w:rsid w:val="00596FED"/>
    <w:rsid w:val="005B6C6D"/>
    <w:rsid w:val="005C01F8"/>
    <w:rsid w:val="005C2121"/>
    <w:rsid w:val="005C5C7D"/>
    <w:rsid w:val="005D10E8"/>
    <w:rsid w:val="005D1215"/>
    <w:rsid w:val="005D475F"/>
    <w:rsid w:val="005E75F4"/>
    <w:rsid w:val="005F1941"/>
    <w:rsid w:val="005F60DF"/>
    <w:rsid w:val="00611ACD"/>
    <w:rsid w:val="00615239"/>
    <w:rsid w:val="006365A1"/>
    <w:rsid w:val="00661F5B"/>
    <w:rsid w:val="00677B15"/>
    <w:rsid w:val="006873A5"/>
    <w:rsid w:val="006A3F21"/>
    <w:rsid w:val="006B4A1A"/>
    <w:rsid w:val="006B61B8"/>
    <w:rsid w:val="006D384C"/>
    <w:rsid w:val="006D67AB"/>
    <w:rsid w:val="006E4A4C"/>
    <w:rsid w:val="006E77CE"/>
    <w:rsid w:val="006F0B13"/>
    <w:rsid w:val="006F3382"/>
    <w:rsid w:val="006F7420"/>
    <w:rsid w:val="00702DB7"/>
    <w:rsid w:val="00706389"/>
    <w:rsid w:val="00711E27"/>
    <w:rsid w:val="007226DF"/>
    <w:rsid w:val="007320CA"/>
    <w:rsid w:val="00735F1E"/>
    <w:rsid w:val="00750363"/>
    <w:rsid w:val="0075642B"/>
    <w:rsid w:val="00761A31"/>
    <w:rsid w:val="00767647"/>
    <w:rsid w:val="00777AD5"/>
    <w:rsid w:val="00777E66"/>
    <w:rsid w:val="00784621"/>
    <w:rsid w:val="00787B1B"/>
    <w:rsid w:val="00795797"/>
    <w:rsid w:val="00796489"/>
    <w:rsid w:val="007A1289"/>
    <w:rsid w:val="007B21F3"/>
    <w:rsid w:val="007C077C"/>
    <w:rsid w:val="007D101A"/>
    <w:rsid w:val="007E3221"/>
    <w:rsid w:val="007F30DC"/>
    <w:rsid w:val="008217A3"/>
    <w:rsid w:val="00825271"/>
    <w:rsid w:val="00826E0A"/>
    <w:rsid w:val="008563F1"/>
    <w:rsid w:val="008616EF"/>
    <w:rsid w:val="00865677"/>
    <w:rsid w:val="00867CE1"/>
    <w:rsid w:val="008A42ED"/>
    <w:rsid w:val="008E64D2"/>
    <w:rsid w:val="008E78A6"/>
    <w:rsid w:val="008F75C7"/>
    <w:rsid w:val="00904622"/>
    <w:rsid w:val="00913DE0"/>
    <w:rsid w:val="00927509"/>
    <w:rsid w:val="00934FED"/>
    <w:rsid w:val="00937013"/>
    <w:rsid w:val="009411DF"/>
    <w:rsid w:val="0094221C"/>
    <w:rsid w:val="00947486"/>
    <w:rsid w:val="00955600"/>
    <w:rsid w:val="00955DA4"/>
    <w:rsid w:val="00957974"/>
    <w:rsid w:val="0096666F"/>
    <w:rsid w:val="0096671B"/>
    <w:rsid w:val="00967F13"/>
    <w:rsid w:val="00973284"/>
    <w:rsid w:val="00977E46"/>
    <w:rsid w:val="00986918"/>
    <w:rsid w:val="00997D51"/>
    <w:rsid w:val="009A21F6"/>
    <w:rsid w:val="009A7D39"/>
    <w:rsid w:val="009B3A3E"/>
    <w:rsid w:val="009B6084"/>
    <w:rsid w:val="009C397F"/>
    <w:rsid w:val="009D381E"/>
    <w:rsid w:val="009D5F3A"/>
    <w:rsid w:val="009E6E05"/>
    <w:rsid w:val="009E7162"/>
    <w:rsid w:val="009F3FB8"/>
    <w:rsid w:val="00A0202C"/>
    <w:rsid w:val="00A028B3"/>
    <w:rsid w:val="00A06968"/>
    <w:rsid w:val="00A37009"/>
    <w:rsid w:val="00A570E4"/>
    <w:rsid w:val="00A6361F"/>
    <w:rsid w:val="00A71C0D"/>
    <w:rsid w:val="00A744F7"/>
    <w:rsid w:val="00A818CF"/>
    <w:rsid w:val="00A83C2D"/>
    <w:rsid w:val="00AA4B52"/>
    <w:rsid w:val="00AB0E25"/>
    <w:rsid w:val="00AB324D"/>
    <w:rsid w:val="00AD1B0F"/>
    <w:rsid w:val="00AE6DE8"/>
    <w:rsid w:val="00B170E9"/>
    <w:rsid w:val="00B53226"/>
    <w:rsid w:val="00B54FC9"/>
    <w:rsid w:val="00B563E0"/>
    <w:rsid w:val="00B60143"/>
    <w:rsid w:val="00B65F39"/>
    <w:rsid w:val="00B67BC0"/>
    <w:rsid w:val="00B72BC5"/>
    <w:rsid w:val="00B73CCD"/>
    <w:rsid w:val="00B746FC"/>
    <w:rsid w:val="00B760BB"/>
    <w:rsid w:val="00B96940"/>
    <w:rsid w:val="00BA11A1"/>
    <w:rsid w:val="00BB121A"/>
    <w:rsid w:val="00BB7122"/>
    <w:rsid w:val="00BC1AAE"/>
    <w:rsid w:val="00BC4E24"/>
    <w:rsid w:val="00BD0A9A"/>
    <w:rsid w:val="00BD418D"/>
    <w:rsid w:val="00BD52A9"/>
    <w:rsid w:val="00BD5B03"/>
    <w:rsid w:val="00BE5F7F"/>
    <w:rsid w:val="00BF7261"/>
    <w:rsid w:val="00BF79E2"/>
    <w:rsid w:val="00C219DF"/>
    <w:rsid w:val="00C5522B"/>
    <w:rsid w:val="00C711C8"/>
    <w:rsid w:val="00C94886"/>
    <w:rsid w:val="00CA31DC"/>
    <w:rsid w:val="00CA60C3"/>
    <w:rsid w:val="00CD0C76"/>
    <w:rsid w:val="00CD1BB3"/>
    <w:rsid w:val="00CD5194"/>
    <w:rsid w:val="00CD7D15"/>
    <w:rsid w:val="00CF7603"/>
    <w:rsid w:val="00D032E9"/>
    <w:rsid w:val="00D24F3E"/>
    <w:rsid w:val="00D34A2D"/>
    <w:rsid w:val="00D34DAF"/>
    <w:rsid w:val="00D45EE5"/>
    <w:rsid w:val="00D51752"/>
    <w:rsid w:val="00D53EA2"/>
    <w:rsid w:val="00D56655"/>
    <w:rsid w:val="00D56C6A"/>
    <w:rsid w:val="00D642E3"/>
    <w:rsid w:val="00D71276"/>
    <w:rsid w:val="00D75FCC"/>
    <w:rsid w:val="00D8117E"/>
    <w:rsid w:val="00DB3DBB"/>
    <w:rsid w:val="00DC141B"/>
    <w:rsid w:val="00DC3B55"/>
    <w:rsid w:val="00DC3CEB"/>
    <w:rsid w:val="00DC59F6"/>
    <w:rsid w:val="00DE0CE6"/>
    <w:rsid w:val="00DE6DEE"/>
    <w:rsid w:val="00DE7CAB"/>
    <w:rsid w:val="00DF39F8"/>
    <w:rsid w:val="00DF4D4E"/>
    <w:rsid w:val="00E041CB"/>
    <w:rsid w:val="00E11454"/>
    <w:rsid w:val="00E84457"/>
    <w:rsid w:val="00E91A36"/>
    <w:rsid w:val="00EA2509"/>
    <w:rsid w:val="00EA3B03"/>
    <w:rsid w:val="00EB3182"/>
    <w:rsid w:val="00EB3E8F"/>
    <w:rsid w:val="00EB4F7F"/>
    <w:rsid w:val="00ED07E1"/>
    <w:rsid w:val="00ED7DF2"/>
    <w:rsid w:val="00EF2337"/>
    <w:rsid w:val="00EF4DC5"/>
    <w:rsid w:val="00F014FD"/>
    <w:rsid w:val="00F22DE9"/>
    <w:rsid w:val="00F31FF5"/>
    <w:rsid w:val="00F47A2A"/>
    <w:rsid w:val="00F5318B"/>
    <w:rsid w:val="00F75763"/>
    <w:rsid w:val="00F904AF"/>
    <w:rsid w:val="00FA28F7"/>
    <w:rsid w:val="00FC481E"/>
    <w:rsid w:val="00FC7637"/>
    <w:rsid w:val="00FC7E11"/>
    <w:rsid w:val="00FD2A5C"/>
    <w:rsid w:val="00FD5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6752"/>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 w:type="character" w:styleId="Lienhypertextesuivivisit">
    <w:name w:val="FollowedHyperlink"/>
    <w:basedOn w:val="Policepardfaut"/>
    <w:uiPriority w:val="99"/>
    <w:semiHidden/>
    <w:unhideWhenUsed/>
    <w:rsid w:val="00CA31DC"/>
    <w:rPr>
      <w:color w:val="954F72" w:themeColor="followedHyperlink"/>
      <w:u w:val="single"/>
    </w:rPr>
  </w:style>
  <w:style w:type="table" w:styleId="Grilledutableau">
    <w:name w:val="Table Grid"/>
    <w:basedOn w:val="TableauNormal"/>
    <w:uiPriority w:val="39"/>
    <w:rsid w:val="006F3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63872506">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 w:id="1601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media-sciences.com/fr/media/564-facteur-cinetique" TargetMode="External"/><Relationship Id="rId13" Type="http://schemas.openxmlformats.org/officeDocument/2006/relationships/hyperlink" Target="https://www.youtube.com/watch?v=9GEmhPIL76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9GEmhPIL76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nbNzvVwW7w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Sel_de_Mohr" TargetMode="External"/><Relationship Id="rId5" Type="http://schemas.openxmlformats.org/officeDocument/2006/relationships/webSettings" Target="webSettings.xml"/><Relationship Id="rId15" Type="http://schemas.openxmlformats.org/officeDocument/2006/relationships/hyperlink" Target="https://www.youtube.com/watch?v=nbNzvVwW7w8" TargetMode="External"/><Relationship Id="rId10" Type="http://schemas.openxmlformats.org/officeDocument/2006/relationships/hyperlink" Target="https://youtu.be/-UD2IBHut5Q?t=30" TargetMode="External"/><Relationship Id="rId4" Type="http://schemas.openxmlformats.org/officeDocument/2006/relationships/settings" Target="settings.xml"/><Relationship Id="rId9" Type="http://schemas.openxmlformats.org/officeDocument/2006/relationships/hyperlink" Target="https://www.youtube.com/watch?v=ZIvq0fvFHyY" TargetMode="External"/><Relationship Id="rId14" Type="http://schemas.openxmlformats.org/officeDocument/2006/relationships/hyperlink" Target="https://www.youtube.com/watch?v=nbNzvVwW7w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38FF-C11C-4C0A-B069-25AC2D43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5</Pages>
  <Words>1942</Words>
  <Characters>10682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129</cp:revision>
  <dcterms:created xsi:type="dcterms:W3CDTF">2020-03-15T12:13:00Z</dcterms:created>
  <dcterms:modified xsi:type="dcterms:W3CDTF">2020-06-14T13:28:00Z</dcterms:modified>
</cp:coreProperties>
</file>