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84427E" w:rsidRPr="00B73CCD" w:rsidRDefault="0084427E">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1</w:t>
                            </w:r>
                            <w:r w:rsidR="00704C19">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84427E" w:rsidRPr="00B73CCD" w:rsidRDefault="0084427E">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1</w:t>
                      </w:r>
                      <w:r w:rsidR="00704C19">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5</w:t>
                      </w:r>
                    </w:p>
                  </w:txbxContent>
                </v:textbox>
              </v:shape>
            </w:pict>
          </mc:Fallback>
        </mc:AlternateContent>
      </w:r>
      <w:r w:rsidR="00B73CCD">
        <w:tab/>
      </w:r>
      <w:proofErr w:type="spellStart"/>
      <w:r w:rsidR="00B73CCD">
        <w:t>Sép</w:t>
      </w:r>
      <w:proofErr w:type="spellEnd"/>
      <w:r w:rsidR="00B73CCD">
        <w:tab/>
      </w:r>
      <w:r w:rsidR="00B73CCD">
        <w:tab/>
      </w:r>
    </w:p>
    <w:p w:rsidR="00A93F6B" w:rsidRDefault="00A93F6B" w:rsidP="00B73CCD">
      <w:pPr>
        <w:pStyle w:val="Sansinterligne"/>
        <w:rPr>
          <w:b/>
          <w:bCs/>
          <w:sz w:val="24"/>
          <w:szCs w:val="24"/>
        </w:rPr>
      </w:pPr>
      <w:r>
        <w:rPr>
          <w:b/>
          <w:bCs/>
          <w:sz w:val="32"/>
          <w:szCs w:val="32"/>
        </w:rPr>
        <w:tab/>
      </w:r>
      <w:r>
        <w:rPr>
          <w:b/>
          <w:bCs/>
          <w:sz w:val="32"/>
          <w:szCs w:val="32"/>
        </w:rPr>
        <w:tab/>
      </w:r>
      <w:r>
        <w:rPr>
          <w:b/>
          <w:bCs/>
          <w:sz w:val="32"/>
          <w:szCs w:val="32"/>
        </w:rPr>
        <w:tab/>
      </w:r>
      <w:r w:rsidR="00704C19">
        <w:rPr>
          <w:b/>
          <w:bCs/>
          <w:sz w:val="32"/>
          <w:szCs w:val="32"/>
        </w:rPr>
        <w:t>Solvants</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 xml:space="preserve">Niveau : </w:t>
      </w:r>
      <w:r w:rsidR="00704C19">
        <w:rPr>
          <w:i/>
          <w:iCs/>
        </w:rPr>
        <w:t>CPGE</w:t>
      </w:r>
    </w:p>
    <w:p w:rsidR="00B73CCD" w:rsidRPr="00B73CCD" w:rsidRDefault="00B73CCD" w:rsidP="00B73CCD"/>
    <w:p w:rsidR="00B73CCD" w:rsidRDefault="00B73CCD" w:rsidP="00B73CCD">
      <w:pPr>
        <w:tabs>
          <w:tab w:val="left" w:pos="1770"/>
        </w:tabs>
        <w:rPr>
          <w:b/>
          <w:bCs/>
          <w:sz w:val="24"/>
          <w:szCs w:val="24"/>
        </w:rPr>
      </w:pPr>
    </w:p>
    <w:p w:rsidR="00B73CCD" w:rsidRDefault="00B73CCD" w:rsidP="00777B95">
      <w:pPr>
        <w:pStyle w:val="Sansinterligne"/>
        <w:pBdr>
          <w:top w:val="single" w:sz="4" w:space="1" w:color="auto"/>
          <w:bottom w:val="single" w:sz="4" w:space="1" w:color="auto"/>
        </w:pBdr>
        <w:rPr>
          <w:b/>
          <w:bCs/>
          <w:u w:val="single"/>
        </w:rPr>
      </w:pPr>
      <w:r>
        <w:rPr>
          <w:b/>
          <w:bCs/>
          <w:u w:val="single"/>
        </w:rPr>
        <w:t xml:space="preserve">Bibliographie : </w:t>
      </w:r>
    </w:p>
    <w:p w:rsidR="00327864" w:rsidRDefault="00A27575" w:rsidP="00777B95">
      <w:pPr>
        <w:pStyle w:val="Sansinterligne"/>
        <w:pBdr>
          <w:top w:val="single" w:sz="4" w:space="1" w:color="auto"/>
          <w:bottom w:val="single" w:sz="4" w:space="1" w:color="auto"/>
        </w:pBdr>
      </w:pPr>
      <w:r>
        <w:t xml:space="preserve">[1] </w:t>
      </w:r>
      <w:r w:rsidR="00327864" w:rsidRPr="00327864">
        <w:t>Bruno FOSSET, Jean-Bernard BAUDIN et Frédéric LAHITÈTE. Chimie tout-en-un PCSI. Dunod,2016.</w:t>
      </w:r>
    </w:p>
    <w:p w:rsidR="00327864" w:rsidRPr="0024152D" w:rsidRDefault="00FF371E" w:rsidP="0024152D">
      <w:pPr>
        <w:pStyle w:val="Sansinterligne"/>
        <w:pBdr>
          <w:top w:val="single" w:sz="4" w:space="1" w:color="auto"/>
          <w:bottom w:val="single" w:sz="4" w:space="1" w:color="auto"/>
        </w:pBdr>
      </w:pPr>
      <w:r>
        <w:t xml:space="preserve">[2] </w:t>
      </w:r>
      <w:r w:rsidR="0024152D">
        <w:rPr>
          <w:i/>
        </w:rPr>
        <w:t xml:space="preserve">Florilège de chimie pratique par Florence </w:t>
      </w:r>
      <w:proofErr w:type="spellStart"/>
      <w:r w:rsidR="0024152D">
        <w:rPr>
          <w:i/>
        </w:rPr>
        <w:t>Daumarie</w:t>
      </w:r>
      <w:proofErr w:type="spellEnd"/>
      <w:r w:rsidR="0024152D">
        <w:rPr>
          <w:i/>
        </w:rPr>
        <w:t>…</w:t>
      </w:r>
    </w:p>
    <w:p w:rsidR="00B73CCD" w:rsidRDefault="00B73CCD" w:rsidP="00750363">
      <w:pPr>
        <w:autoSpaceDE w:val="0"/>
        <w:autoSpaceDN w:val="0"/>
        <w:adjustRightInd w:val="0"/>
        <w:spacing w:after="0" w:line="240" w:lineRule="auto"/>
        <w:rPr>
          <w:b/>
          <w:bCs/>
          <w:u w:val="single"/>
        </w:rPr>
      </w:pPr>
      <w:r w:rsidRPr="005D1215">
        <w:rPr>
          <w:b/>
          <w:bCs/>
          <w:u w:val="single"/>
        </w:rPr>
        <w:t>Expériences</w:t>
      </w:r>
      <w:r w:rsidR="00480C50">
        <w:rPr>
          <w:b/>
          <w:bCs/>
          <w:u w:val="single"/>
        </w:rPr>
        <w:t> </w:t>
      </w:r>
      <w:r w:rsidRPr="005D1215">
        <w:rPr>
          <w:b/>
          <w:bCs/>
          <w:u w:val="single"/>
        </w:rPr>
        <w:t>:</w:t>
      </w:r>
    </w:p>
    <w:p w:rsidR="00A0266A" w:rsidRDefault="00704C19" w:rsidP="001B3CA7">
      <w:pPr>
        <w:pStyle w:val="Paragraphedeliste"/>
        <w:numPr>
          <w:ilvl w:val="0"/>
          <w:numId w:val="3"/>
        </w:numPr>
        <w:autoSpaceDE w:val="0"/>
        <w:autoSpaceDN w:val="0"/>
        <w:adjustRightInd w:val="0"/>
        <w:spacing w:after="0" w:line="240" w:lineRule="auto"/>
      </w:pPr>
      <w:r>
        <w:t>Dissolution du sel dans l’eau et dans le cyclohexane</w:t>
      </w:r>
    </w:p>
    <w:p w:rsidR="00704C19" w:rsidRDefault="00704C19" w:rsidP="001B3CA7">
      <w:pPr>
        <w:pStyle w:val="Paragraphedeliste"/>
        <w:numPr>
          <w:ilvl w:val="0"/>
          <w:numId w:val="3"/>
        </w:numPr>
        <w:autoSpaceDE w:val="0"/>
        <w:autoSpaceDN w:val="0"/>
        <w:adjustRightInd w:val="0"/>
        <w:spacing w:after="0" w:line="240" w:lineRule="auto"/>
      </w:pPr>
      <w:r>
        <w:t>Miscibilité de deux solvants</w:t>
      </w:r>
    </w:p>
    <w:p w:rsidR="00704C19" w:rsidRDefault="00704C19" w:rsidP="001B3CA7">
      <w:pPr>
        <w:pStyle w:val="Paragraphedeliste"/>
        <w:numPr>
          <w:ilvl w:val="0"/>
          <w:numId w:val="3"/>
        </w:numPr>
        <w:autoSpaceDE w:val="0"/>
        <w:autoSpaceDN w:val="0"/>
        <w:adjustRightInd w:val="0"/>
        <w:spacing w:after="0" w:line="240" w:lineRule="auto"/>
      </w:pPr>
      <w:r>
        <w:t>Détermination du coefficient de partage du diiode dans eau/cyclohexane</w:t>
      </w:r>
      <w:r w:rsidR="0024152D">
        <w:t xml:space="preserve"> [2]p.125</w:t>
      </w:r>
    </w:p>
    <w:p w:rsidR="00704C19" w:rsidRDefault="00704C19" w:rsidP="001B3CA7">
      <w:pPr>
        <w:pStyle w:val="Paragraphedeliste"/>
        <w:numPr>
          <w:ilvl w:val="0"/>
          <w:numId w:val="3"/>
        </w:numPr>
        <w:autoSpaceDE w:val="0"/>
        <w:autoSpaceDN w:val="0"/>
        <w:adjustRightInd w:val="0"/>
        <w:spacing w:after="0" w:line="240" w:lineRule="auto"/>
      </w:pPr>
      <w:r>
        <w:t xml:space="preserve">Solvolyse du bromure de </w:t>
      </w:r>
      <w:proofErr w:type="spellStart"/>
      <w:r>
        <w:t>tertiobutyle</w:t>
      </w:r>
      <w:proofErr w:type="spellEnd"/>
      <w:r w:rsidR="0024152D">
        <w:t xml:space="preserve"> [2]p.71</w:t>
      </w:r>
    </w:p>
    <w:p w:rsidR="00B73CCD" w:rsidRDefault="00B73CCD" w:rsidP="00B65F39">
      <w:pPr>
        <w:pStyle w:val="Sansinterligne"/>
        <w:pBdr>
          <w:top w:val="single" w:sz="4" w:space="1" w:color="auto"/>
        </w:pBdr>
        <w:rPr>
          <w:b/>
          <w:bCs/>
          <w:u w:val="single"/>
        </w:rPr>
      </w:pPr>
      <w:r>
        <w:rPr>
          <w:b/>
          <w:bCs/>
          <w:u w:val="single"/>
        </w:rPr>
        <w:t>Prérequis</w:t>
      </w:r>
      <w:r w:rsidR="00480C50">
        <w:rPr>
          <w:b/>
          <w:bCs/>
          <w:u w:val="single"/>
        </w:rPr>
        <w:t> </w:t>
      </w:r>
      <w:r>
        <w:rPr>
          <w:b/>
          <w:bCs/>
          <w:u w:val="single"/>
        </w:rPr>
        <w:t>:</w:t>
      </w:r>
    </w:p>
    <w:p w:rsidR="00843FF9" w:rsidRDefault="00704C19" w:rsidP="00D94509">
      <w:pPr>
        <w:pStyle w:val="Sansinterligne"/>
        <w:numPr>
          <w:ilvl w:val="0"/>
          <w:numId w:val="1"/>
        </w:numPr>
      </w:pPr>
      <w:r>
        <w:t>Liaisons hydrogène et interactions de van der Waals,</w:t>
      </w:r>
    </w:p>
    <w:p w:rsidR="0029401E" w:rsidRDefault="0029401E" w:rsidP="00D94509">
      <w:pPr>
        <w:pStyle w:val="Sansinterligne"/>
        <w:numPr>
          <w:ilvl w:val="0"/>
          <w:numId w:val="1"/>
        </w:numPr>
      </w:pPr>
      <w:r>
        <w:t>Polarisation des liaisons</w:t>
      </w:r>
    </w:p>
    <w:p w:rsidR="00704C19" w:rsidRDefault="00704C19" w:rsidP="004E09FD">
      <w:pPr>
        <w:pStyle w:val="Sansinterligne"/>
        <w:numPr>
          <w:ilvl w:val="0"/>
          <w:numId w:val="1"/>
        </w:numPr>
      </w:pPr>
      <w:r>
        <w:t>Substitutions nucléophiles (S</w:t>
      </w:r>
      <w:r>
        <w:rPr>
          <w:vertAlign w:val="subscript"/>
        </w:rPr>
        <w:t>N</w:t>
      </w:r>
      <w:r>
        <w:rPr>
          <w:vertAlign w:val="superscript"/>
        </w:rPr>
        <w:t>1</w:t>
      </w:r>
      <w:r>
        <w:t xml:space="preserve"> et S</w:t>
      </w:r>
      <w:r>
        <w:rPr>
          <w:vertAlign w:val="subscript"/>
        </w:rPr>
        <w:t>N</w:t>
      </w:r>
      <w:r>
        <w:rPr>
          <w:vertAlign w:val="superscript"/>
        </w:rPr>
        <w:t>2</w:t>
      </w:r>
      <w:r>
        <w:t>),</w:t>
      </w:r>
    </w:p>
    <w:p w:rsidR="00704C19" w:rsidRDefault="00704C19" w:rsidP="00D94509">
      <w:pPr>
        <w:pStyle w:val="Sansinterligne"/>
        <w:numPr>
          <w:ilvl w:val="0"/>
          <w:numId w:val="1"/>
        </w:numPr>
      </w:pPr>
      <w:r>
        <w:t>Principe de la recristallisation,</w:t>
      </w:r>
    </w:p>
    <w:p w:rsidR="00704C19" w:rsidRDefault="00704C19" w:rsidP="00D94509">
      <w:pPr>
        <w:pStyle w:val="Sansinterligne"/>
        <w:numPr>
          <w:ilvl w:val="0"/>
          <w:numId w:val="1"/>
        </w:numPr>
      </w:pPr>
      <w:r>
        <w:t>Méthode VSPER</w:t>
      </w:r>
    </w:p>
    <w:p w:rsidR="00E07A1A" w:rsidRDefault="00E07A1A" w:rsidP="00E35ED8">
      <w:pPr>
        <w:pStyle w:val="Sansinterligne"/>
        <w:pBdr>
          <w:top w:val="single" w:sz="4" w:space="1" w:color="auto"/>
        </w:pBdr>
        <w:rPr>
          <w:b/>
          <w:bCs/>
        </w:rPr>
      </w:pPr>
    </w:p>
    <w:p w:rsidR="00FB1997" w:rsidRDefault="00FB1997" w:rsidP="00E35ED8">
      <w:pPr>
        <w:pStyle w:val="Sansinterligne"/>
        <w:pBdr>
          <w:top w:val="single" w:sz="4" w:space="1" w:color="auto"/>
        </w:pBdr>
        <w:rPr>
          <w:b/>
          <w:bCs/>
        </w:rPr>
      </w:pPr>
      <w:r>
        <w:rPr>
          <w:b/>
          <w:bCs/>
        </w:rPr>
        <w:t>Introduction :</w:t>
      </w:r>
    </w:p>
    <w:p w:rsidR="00FB1997" w:rsidRDefault="00FB1997" w:rsidP="00704C19">
      <w:pPr>
        <w:pStyle w:val="Sansinterligne"/>
        <w:pBdr>
          <w:top w:val="single" w:sz="4" w:space="1" w:color="auto"/>
        </w:pBdr>
        <w:rPr>
          <w:b/>
          <w:bCs/>
        </w:rPr>
      </w:pPr>
      <w:r>
        <w:rPr>
          <w:b/>
          <w:bCs/>
        </w:rPr>
        <w:tab/>
      </w:r>
    </w:p>
    <w:p w:rsidR="00704C19" w:rsidRDefault="00A455A2" w:rsidP="00A455A2">
      <w:pPr>
        <w:pStyle w:val="Sansinterligne"/>
        <w:pBdr>
          <w:left w:val="thinThickSmallGap" w:sz="24" w:space="4" w:color="FFC000"/>
        </w:pBdr>
        <w:rPr>
          <w:u w:val="single"/>
        </w:rPr>
      </w:pPr>
      <w:r>
        <w:rPr>
          <w:u w:val="single"/>
        </w:rPr>
        <w:t xml:space="preserve">Différence de solubilité du sel dans l’eau et dans le cyclohexane : </w:t>
      </w:r>
    </w:p>
    <w:p w:rsidR="00A455A2" w:rsidRDefault="00A455A2" w:rsidP="00A455A2">
      <w:pPr>
        <w:pStyle w:val="Sansinterligne"/>
        <w:pBdr>
          <w:left w:val="thinThickSmallGap" w:sz="24" w:space="4" w:color="FFC000"/>
        </w:pBdr>
      </w:pPr>
      <w:r>
        <w:tab/>
        <w:t xml:space="preserve">Préparer deux tubes à essai contenant 2g de </w:t>
      </w:r>
      <w:proofErr w:type="spellStart"/>
      <w:r>
        <w:t>NaCl</w:t>
      </w:r>
      <w:proofErr w:type="spellEnd"/>
      <w:r>
        <w:t xml:space="preserve"> chacun (mis dans un porte tubes)</w:t>
      </w:r>
    </w:p>
    <w:p w:rsidR="00A455A2" w:rsidRDefault="00A455A2" w:rsidP="00A455A2">
      <w:pPr>
        <w:pStyle w:val="Sansinterligne"/>
        <w:pBdr>
          <w:left w:val="thinThickSmallGap" w:sz="24" w:space="4" w:color="FFC000"/>
        </w:pBdr>
      </w:pPr>
      <w:r>
        <w:tab/>
        <w:t xml:space="preserve">Ajouter 10 </w:t>
      </w:r>
      <w:proofErr w:type="spellStart"/>
      <w:r>
        <w:t>mL</w:t>
      </w:r>
      <w:proofErr w:type="spellEnd"/>
      <w:r>
        <w:t xml:space="preserve"> d’eau dans l’un et 10 </w:t>
      </w:r>
      <w:proofErr w:type="spellStart"/>
      <w:r>
        <w:t>mL</w:t>
      </w:r>
      <w:proofErr w:type="spellEnd"/>
      <w:r>
        <w:t xml:space="preserve"> de cyclohexane dans l’autre (déjà prélevés dans éprouvettes graduées et sous hotte)</w:t>
      </w:r>
    </w:p>
    <w:p w:rsidR="00A455A2" w:rsidRDefault="00A455A2" w:rsidP="00A455A2">
      <w:pPr>
        <w:pStyle w:val="Sansinterligne"/>
        <w:pBdr>
          <w:left w:val="thinThickSmallGap" w:sz="24" w:space="4" w:color="FFC000"/>
        </w:pBdr>
      </w:pPr>
      <w:r>
        <w:tab/>
      </w:r>
    </w:p>
    <w:p w:rsidR="00A455A2" w:rsidRDefault="00A455A2" w:rsidP="00A455A2">
      <w:pPr>
        <w:pStyle w:val="Sansinterligne"/>
        <w:pBdr>
          <w:left w:val="thinThickSmallGap" w:sz="24" w:space="4" w:color="FFC000"/>
        </w:pBdr>
      </w:pPr>
      <w:r>
        <w:tab/>
        <w:t xml:space="preserve">Observation : sel totalement dissous dans l’eau alors qu’il ne semble pas se dissoudre dans le cyclohexane. </w:t>
      </w:r>
    </w:p>
    <w:p w:rsidR="0029401E" w:rsidRPr="0029401E" w:rsidRDefault="0029401E" w:rsidP="00A455A2">
      <w:pPr>
        <w:pStyle w:val="Sansinterligne"/>
        <w:pBdr>
          <w:left w:val="thinThickSmallGap" w:sz="24" w:space="4" w:color="FFC000"/>
        </w:pBdr>
        <w:rPr>
          <w:i/>
          <w:iCs/>
        </w:rPr>
      </w:pPr>
      <w:r>
        <w:tab/>
      </w:r>
      <w:r>
        <w:rPr>
          <w:i/>
          <w:iCs/>
        </w:rPr>
        <w:t>Expliquer l’expérience directement</w:t>
      </w:r>
    </w:p>
    <w:p w:rsidR="00A91D7D" w:rsidRDefault="00A91D7D" w:rsidP="00A91D7D">
      <w:pPr>
        <w:pStyle w:val="Sansinterligne"/>
      </w:pPr>
    </w:p>
    <w:p w:rsidR="00A455A2" w:rsidRDefault="00A455A2" w:rsidP="00A455A2">
      <w:pPr>
        <w:pStyle w:val="Sansinterligne"/>
        <w:ind w:firstLine="708"/>
      </w:pPr>
      <w:r>
        <w:t xml:space="preserve">L’objectif de cette leçon va être de comprendre les différentes étapes de la dissolution d’un composé dans un solvant. Par cette étude, nous allons souligner les différentes caractéristiques importantes d’un solvant. Enfin, nous verrons comment le choix d’un solvant peut avoir un impact sur la chimie. </w:t>
      </w:r>
    </w:p>
    <w:p w:rsidR="00A455A2" w:rsidRDefault="00A455A2" w:rsidP="00A455A2">
      <w:pPr>
        <w:pStyle w:val="Sansinterligne"/>
      </w:pPr>
    </w:p>
    <w:p w:rsidR="00A455A2" w:rsidRDefault="00A455A2" w:rsidP="00A455A2">
      <w:pPr>
        <w:pStyle w:val="Sansinterligne"/>
      </w:pPr>
      <w:r>
        <w:tab/>
        <w:t xml:space="preserve">Le rôle initial du </w:t>
      </w:r>
      <w:r>
        <w:rPr>
          <w:i/>
          <w:iCs/>
        </w:rPr>
        <w:t>solvant</w:t>
      </w:r>
      <w:r>
        <w:t xml:space="preserve"> est de permettre la dissolution des réactifs (qui sont alors nommés </w:t>
      </w:r>
      <w:r>
        <w:rPr>
          <w:i/>
          <w:iCs/>
        </w:rPr>
        <w:t>solutés)</w:t>
      </w:r>
      <w:r>
        <w:t xml:space="preserve"> afin de les mettre en contact dans une même phase pour qu’ils puissent réagir. C’est principalement ce rôle que nous allons étudier au cours de cette leçon.</w:t>
      </w:r>
    </w:p>
    <w:p w:rsidR="00A455A2" w:rsidRDefault="00A455A2" w:rsidP="00A455A2">
      <w:pPr>
        <w:pStyle w:val="Sansinterligne"/>
      </w:pPr>
      <w:r>
        <w:tab/>
        <w:t>Cependant, le solvant peut également servir de fluide caloporteur</w:t>
      </w:r>
      <w:r w:rsidR="009D6D66">
        <w:t xml:space="preserve"> ou encore utiliser pour purifier (chromatographies) ou isoler (précipitation, extraction liquide-liquide).</w:t>
      </w:r>
    </w:p>
    <w:p w:rsidR="009D6D66" w:rsidRPr="00A455A2" w:rsidRDefault="009D6D66" w:rsidP="00A455A2">
      <w:pPr>
        <w:pStyle w:val="Sansinterligne"/>
      </w:pPr>
    </w:p>
    <w:p w:rsidR="00A455A2" w:rsidRDefault="00A455A2" w:rsidP="00A455A2">
      <w:pPr>
        <w:pStyle w:val="Sansinterligne"/>
        <w:numPr>
          <w:ilvl w:val="0"/>
          <w:numId w:val="35"/>
        </w:numPr>
        <w:rPr>
          <w:b/>
          <w:bCs/>
          <w:u w:val="single"/>
        </w:rPr>
      </w:pPr>
      <w:r>
        <w:rPr>
          <w:b/>
          <w:bCs/>
          <w:u w:val="single"/>
        </w:rPr>
        <w:t>Caractéristiques des solvants</w:t>
      </w:r>
    </w:p>
    <w:p w:rsidR="009D6D66" w:rsidRDefault="009D6D66" w:rsidP="009D6D66">
      <w:pPr>
        <w:pStyle w:val="Sansinterligne"/>
        <w:numPr>
          <w:ilvl w:val="0"/>
          <w:numId w:val="36"/>
        </w:numPr>
        <w:rPr>
          <w:b/>
          <w:bCs/>
        </w:rPr>
      </w:pPr>
      <w:r>
        <w:rPr>
          <w:b/>
          <w:bCs/>
        </w:rPr>
        <w:t>Polarité</w:t>
      </w:r>
    </w:p>
    <w:p w:rsidR="009D6D66" w:rsidRDefault="009D6D66" w:rsidP="009D6D66">
      <w:pPr>
        <w:pStyle w:val="Sansinterligne"/>
        <w:rPr>
          <w:b/>
          <w:bCs/>
        </w:rPr>
      </w:pPr>
    </w:p>
    <w:p w:rsidR="009D6D66" w:rsidRDefault="009D6D66" w:rsidP="009D6D66">
      <w:pPr>
        <w:pStyle w:val="Sansinterligne"/>
        <w:ind w:firstLine="708"/>
        <w:rPr>
          <w:rFonts w:eastAsiaTheme="minorEastAsia"/>
        </w:rPr>
      </w:pPr>
      <w:r>
        <w:t xml:space="preserve">La </w:t>
      </w:r>
      <w:r>
        <w:rPr>
          <w:i/>
          <w:iCs/>
        </w:rPr>
        <w:t>polarité</w:t>
      </w:r>
      <w:r>
        <w:t xml:space="preserve"> d’une molécule est liée à l’existence d’un moment dipolaire (en Cm ou en Debye tel que </w:t>
      </w:r>
      <m:oMath>
        <m:r>
          <w:rPr>
            <w:rFonts w:ascii="Cambria Math" w:hAnsi="Cambria Math"/>
          </w:rPr>
          <m:t xml:space="preserve">1D= </m:t>
        </m:r>
        <m:f>
          <m:fPr>
            <m:ctrlPr>
              <w:rPr>
                <w:rFonts w:ascii="Cambria Math" w:hAnsi="Cambria Math"/>
                <w:i/>
              </w:rPr>
            </m:ctrlPr>
          </m:fPr>
          <m:num>
            <m:r>
              <w:rPr>
                <w:rFonts w:ascii="Cambria Math" w:hAnsi="Cambria Math"/>
              </w:rPr>
              <m:t>1</m:t>
            </m:r>
          </m:num>
          <m:den>
            <m:r>
              <w:rPr>
                <w:rFonts w:ascii="Cambria Math" w:hAnsi="Cambria Math"/>
              </w:rPr>
              <m:t>30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 xml:space="preserve"> Cm</m:t>
        </m:r>
      </m:oMath>
      <w:r>
        <w:rPr>
          <w:rFonts w:eastAsiaTheme="minorEastAsia"/>
        </w:rPr>
        <w:t>.</w:t>
      </w:r>
      <w:r w:rsidR="0029401E">
        <w:rPr>
          <w:rFonts w:eastAsiaTheme="minorEastAsia"/>
        </w:rPr>
        <w:t xml:space="preserve"> </w:t>
      </w:r>
    </w:p>
    <w:p w:rsidR="009D6D66" w:rsidRDefault="009D6D66" w:rsidP="009D6D66">
      <w:pPr>
        <w:pStyle w:val="Sansinterligne"/>
        <w:rPr>
          <w:rFonts w:eastAsiaTheme="minorEastAsia"/>
          <w:i/>
          <w:iCs/>
          <w:color w:val="00B0F0"/>
        </w:rPr>
      </w:pPr>
      <w:r>
        <w:rPr>
          <w:rFonts w:eastAsiaTheme="minorEastAsia"/>
          <w:i/>
          <w:iCs/>
          <w:color w:val="00B0F0"/>
        </w:rPr>
        <w:tab/>
        <w:t>Cette unité est plus adaptée au vu la distance entre deux atomes qui est de l’ordre de l’Angström et de la charge qui est de quelques charges élémentaires.</w:t>
      </w:r>
    </w:p>
    <w:p w:rsidR="009D6D66" w:rsidRDefault="009D6D66" w:rsidP="009D6D66">
      <w:pPr>
        <w:pStyle w:val="Sansinterligne"/>
        <w:rPr>
          <w:rFonts w:eastAsiaTheme="minorEastAsia"/>
          <w:i/>
          <w:iCs/>
          <w:color w:val="00B0F0"/>
        </w:rPr>
      </w:pPr>
    </w:p>
    <w:p w:rsidR="009D6D66" w:rsidRDefault="009D6D66" w:rsidP="009D6D66">
      <w:pPr>
        <w:pStyle w:val="Sansinterligne"/>
      </w:pPr>
      <w:r>
        <w:tab/>
        <w:t>Exemples sur l’eau et sur le cyclohexane :</w:t>
      </w:r>
    </w:p>
    <w:p w:rsidR="009D6D66" w:rsidRDefault="009D6D66" w:rsidP="009D6D66">
      <w:pPr>
        <w:pStyle w:val="Sansinterligne"/>
      </w:pPr>
    </w:p>
    <w:p w:rsidR="009D6D66" w:rsidRDefault="009D6D66" w:rsidP="009D6D66">
      <w:pPr>
        <w:pStyle w:val="Sansinterligne"/>
      </w:pPr>
      <w:r>
        <w:t xml:space="preserve">          </w:t>
      </w:r>
      <w:r>
        <w:rPr>
          <w:noProof/>
        </w:rPr>
        <w:drawing>
          <wp:anchor distT="0" distB="0" distL="114300" distR="114300" simplePos="0" relativeHeight="251660288" behindDoc="0" locked="0" layoutInCell="1" allowOverlap="1" wp14:anchorId="397E8FF4">
            <wp:simplePos x="0" y="0"/>
            <wp:positionH relativeFrom="column">
              <wp:posOffset>319405</wp:posOffset>
            </wp:positionH>
            <wp:positionV relativeFrom="paragraph">
              <wp:posOffset>0</wp:posOffset>
            </wp:positionV>
            <wp:extent cx="1381125" cy="1247775"/>
            <wp:effectExtent l="0" t="0" r="9525" b="9525"/>
            <wp:wrapSquare wrapText="bothSides"/>
            <wp:docPr id="2" name="Image 2" descr="C:\Users\Ordinateur\AppData\Local\Microsoft\Windows\INetCache\Content.MSO\48D620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dinateur\AppData\Local\Microsoft\Windows\INetCache\Content.MSO\48D620C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Pour le cyclohexane, les barycentres des charges positives et                négatives étant confondus, ce solvant est apolaire.</w:t>
      </w:r>
    </w:p>
    <w:p w:rsidR="009D6D66" w:rsidRDefault="00D408D1" w:rsidP="009D6D66">
      <w:pPr>
        <w:pStyle w:val="Sansinterligne"/>
      </w:pPr>
      <w:r>
        <w:tab/>
      </w:r>
    </w:p>
    <w:p w:rsidR="00D408D1" w:rsidRDefault="00D408D1" w:rsidP="009D6D66">
      <w:pPr>
        <w:pStyle w:val="Sansinterligne"/>
      </w:pPr>
      <w:r>
        <w:tab/>
        <w:t>Il faut insister sur le fait que la géométrie joue un rôle dans la détermination du moment dipolaire d’une molécule.</w:t>
      </w:r>
    </w:p>
    <w:p w:rsidR="009D6D66" w:rsidRDefault="009D6D66" w:rsidP="009D6D66">
      <w:pPr>
        <w:pStyle w:val="Sansinterligne"/>
      </w:pPr>
    </w:p>
    <w:p w:rsidR="009D6D66" w:rsidRDefault="009D6D66" w:rsidP="009D6D66">
      <w:pPr>
        <w:pStyle w:val="Sansinterligne"/>
      </w:pPr>
    </w:p>
    <w:p w:rsidR="009D6D66" w:rsidRDefault="009D6D66" w:rsidP="009D6D66">
      <w:pPr>
        <w:pStyle w:val="Sansinterligne"/>
      </w:pPr>
    </w:p>
    <w:p w:rsidR="009D6D66" w:rsidRDefault="009D6D66" w:rsidP="009D6D66">
      <w:pPr>
        <w:pStyle w:val="Sansinterligne"/>
      </w:pPr>
    </w:p>
    <w:p w:rsidR="009D6D66" w:rsidRDefault="009D6D66" w:rsidP="009D6D66">
      <w:pPr>
        <w:pStyle w:val="Sansinterligne"/>
      </w:pPr>
    </w:p>
    <w:p w:rsidR="009D6D66" w:rsidRDefault="009D6D66" w:rsidP="00D408D1">
      <w:pPr>
        <w:pStyle w:val="Sansinterligne"/>
        <w:ind w:firstLine="708"/>
      </w:pPr>
      <w:r>
        <w:t xml:space="preserve">Un solvant avec une polarité élevée sera capable de créer un champ électrique suffisant dans son voisinage pour </w:t>
      </w:r>
      <w:r>
        <w:rPr>
          <w:i/>
          <w:iCs/>
        </w:rPr>
        <w:t>ioniser</w:t>
      </w:r>
      <w:r>
        <w:t xml:space="preserve"> les molécules (solutés) polarisables. </w:t>
      </w:r>
    </w:p>
    <w:p w:rsidR="009D6D66" w:rsidRDefault="009D6D66" w:rsidP="009D6D66">
      <w:pPr>
        <w:pStyle w:val="Sansinterligne"/>
      </w:pPr>
      <w:r>
        <w:tab/>
        <w:t>L’</w:t>
      </w:r>
      <w:r>
        <w:rPr>
          <w:i/>
          <w:iCs/>
        </w:rPr>
        <w:t>ionisation</w:t>
      </w:r>
      <w:r>
        <w:t xml:space="preserve"> correspond à la formation d’une paire d’ions :</w:t>
      </w:r>
    </w:p>
    <w:p w:rsidR="009D6D66" w:rsidRPr="009D6D66" w:rsidRDefault="00DA1D27" w:rsidP="009D6D66">
      <w:pPr>
        <w:pStyle w:val="Sansinterligne"/>
        <w:rPr>
          <w:rFonts w:eastAsiaTheme="minorEastAsia"/>
        </w:rPr>
      </w:pPr>
      <m:oMathPara>
        <m:oMath>
          <m:sSub>
            <m:sSubPr>
              <m:ctrlPr>
                <w:rPr>
                  <w:rFonts w:ascii="Cambria Math" w:hAnsi="Cambria Math"/>
                  <w:i/>
                </w:rPr>
              </m:ctrlPr>
            </m:sSubPr>
            <m:e>
              <m:r>
                <w:rPr>
                  <w:rFonts w:ascii="Cambria Math" w:hAnsi="Cambria Math"/>
                </w:rPr>
                <m:t>HCl</m:t>
              </m:r>
            </m:e>
            <m:sub>
              <m:r>
                <w:rPr>
                  <w:rFonts w:ascii="Cambria Math" w:hAnsi="Cambria Math"/>
                </w:rPr>
                <m:t>(aq)</m:t>
              </m:r>
            </m:sub>
          </m:sSub>
          <m:r>
            <w:rPr>
              <w:rFonts w:ascii="Cambria Math" w:hAnsi="Cambria Math"/>
            </w:rPr>
            <m:t xml:space="preserve"> → </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e>
              </m:d>
            </m:e>
            <m:sub>
              <m:r>
                <w:rPr>
                  <w:rFonts w:ascii="Cambria Math" w:hAnsi="Cambria Math"/>
                </w:rPr>
                <m:t>(aq)</m:t>
              </m:r>
            </m:sub>
          </m:sSub>
        </m:oMath>
      </m:oMathPara>
    </w:p>
    <w:p w:rsidR="009D6D66" w:rsidRDefault="009D6D66" w:rsidP="009D6D66">
      <w:pPr>
        <w:pStyle w:val="Sansinterligne"/>
        <w:rPr>
          <w:rFonts w:eastAsiaTheme="minorEastAsia"/>
        </w:rPr>
      </w:pPr>
    </w:p>
    <w:p w:rsidR="009D6D66" w:rsidRDefault="009D6D66" w:rsidP="009D6D66">
      <w:pPr>
        <w:pStyle w:val="Sansinterligne"/>
        <w:rPr>
          <w:rFonts w:eastAsiaTheme="minorEastAsia"/>
          <w:color w:val="7030A0"/>
        </w:rPr>
      </w:pPr>
      <w:r>
        <w:rPr>
          <w:rFonts w:eastAsiaTheme="minorEastAsia"/>
          <w:color w:val="7030A0"/>
        </w:rPr>
        <w:t>(Diapo) Tableau donnant quelques valeurs de moments dipolaires pour différents solvants usuels</w:t>
      </w:r>
      <w:r w:rsidR="00D408D1">
        <w:rPr>
          <w:rFonts w:eastAsiaTheme="minorEastAsia"/>
          <w:color w:val="7030A0"/>
        </w:rPr>
        <w:t xml:space="preserve"> (avec représentation des molécules)</w:t>
      </w:r>
    </w:p>
    <w:p w:rsidR="00D408D1" w:rsidRDefault="00D408D1" w:rsidP="009D6D66">
      <w:pPr>
        <w:pStyle w:val="Sansinterligne"/>
        <w:rPr>
          <w:rFonts w:eastAsiaTheme="minorEastAsia"/>
          <w:color w:val="7030A0"/>
        </w:rPr>
      </w:pPr>
    </w:p>
    <w:p w:rsidR="00AA497F" w:rsidRDefault="00AA497F" w:rsidP="00AA497F">
      <w:pPr>
        <w:pStyle w:val="Sansinterligne"/>
        <w:numPr>
          <w:ilvl w:val="0"/>
          <w:numId w:val="36"/>
        </w:numPr>
        <w:rPr>
          <w:b/>
          <w:bCs/>
        </w:rPr>
      </w:pPr>
      <w:r>
        <w:rPr>
          <w:b/>
          <w:bCs/>
        </w:rPr>
        <w:t>Permittivité diélectrique relative</w:t>
      </w:r>
    </w:p>
    <w:p w:rsidR="00284536" w:rsidRPr="00284536" w:rsidRDefault="00284536" w:rsidP="00284536">
      <w:pPr>
        <w:pStyle w:val="Sansinterligne"/>
        <w:ind w:left="1080"/>
        <w:rPr>
          <w:b/>
          <w:bCs/>
        </w:rPr>
      </w:pPr>
    </w:p>
    <w:p w:rsidR="00AA497F" w:rsidRDefault="00AA497F" w:rsidP="00AA497F">
      <w:pPr>
        <w:pStyle w:val="Sansinterligne"/>
        <w:ind w:firstLine="708"/>
        <w:rPr>
          <w:rFonts w:eastAsiaTheme="minorEastAsia"/>
        </w:rPr>
      </w:pPr>
      <w:r>
        <w:t xml:space="preserve">Celle-ci permet d’expliquer la compétition entre les énergies coulombienne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 xml:space="preserve"> r</m:t>
                </m:r>
              </m:den>
            </m:f>
          </m:e>
        </m:d>
      </m:oMath>
      <w:r>
        <w:rPr>
          <w:rFonts w:eastAsiaTheme="minorEastAsia"/>
        </w:rPr>
        <w:t xml:space="preserve"> et l’agitation thermique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w:r>
        <w:rPr>
          <w:rFonts w:eastAsiaTheme="minorEastAsia"/>
        </w:rPr>
        <w:t>.</w:t>
      </w:r>
    </w:p>
    <w:p w:rsidR="00AA497F" w:rsidRDefault="00AA497F" w:rsidP="00AA497F">
      <w:pPr>
        <w:pStyle w:val="Sansinterligne"/>
        <w:ind w:firstLine="708"/>
        <w:rPr>
          <w:rFonts w:eastAsiaTheme="minorEastAsia"/>
        </w:rPr>
      </w:pPr>
      <w:r>
        <w:rPr>
          <w:rFonts w:eastAsiaTheme="minorEastAsia"/>
        </w:rPr>
        <w:t>Dans l’eau et à température ambiante :</w:t>
      </w:r>
    </w:p>
    <w:p w:rsidR="00AA497F" w:rsidRDefault="00AA497F" w:rsidP="00AA497F">
      <w:pPr>
        <w:pStyle w:val="Sansinterligne"/>
        <w:ind w:firstLine="708"/>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T=1,38.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×300= 4,14.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-21</m:t>
            </m:r>
          </m:sup>
        </m:sSup>
        <m:r>
          <w:rPr>
            <w:rFonts w:ascii="Cambria Math" w:eastAsiaTheme="minorEastAsia" w:hAnsi="Cambria Math"/>
          </w:rPr>
          <m:t xml:space="preserve"> J</m:t>
        </m:r>
      </m:oMath>
    </w:p>
    <w:p w:rsidR="00AA497F" w:rsidRDefault="00AA497F" w:rsidP="00AA497F">
      <w:pPr>
        <w:pStyle w:val="Sansinterligne"/>
        <w:ind w:firstLine="708"/>
        <w:rPr>
          <w:rFonts w:eastAsiaTheme="minorEastAsia"/>
        </w:rPr>
      </w:pPr>
      <w:r>
        <w:rPr>
          <w:rFonts w:eastAsiaTheme="minorEastAsia"/>
        </w:rPr>
        <w:tab/>
      </w:r>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 xml:space="preserve"> r</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e>
                    </m:d>
                  </m:e>
                  <m:sup>
                    <m:r>
                      <w:rPr>
                        <w:rFonts w:ascii="Cambria Math" w:eastAsiaTheme="minorEastAsia" w:hAnsi="Cambria Math"/>
                      </w:rPr>
                      <m:t>2</m:t>
                    </m:r>
                  </m:sup>
                </m:sSup>
              </m:num>
              <m:den>
                <m:r>
                  <w:rPr>
                    <w:rFonts w:ascii="Cambria Math" w:eastAsiaTheme="minorEastAsia" w:hAnsi="Cambria Math"/>
                  </w:rPr>
                  <m:t>4π×8,85.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×78×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den>
            </m:f>
          </m:e>
        </m:d>
        <m:r>
          <w:rPr>
            <w:rFonts w:ascii="Cambria Math" w:eastAsiaTheme="minorEastAsia" w:hAnsi="Cambria Math"/>
          </w:rPr>
          <m:t>= 3,13.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r>
          <w:rPr>
            <w:rFonts w:ascii="Cambria Math" w:eastAsiaTheme="minorEastAsia" w:hAnsi="Cambria Math"/>
          </w:rPr>
          <m:t>J</m:t>
        </m:r>
      </m:oMath>
    </w:p>
    <w:p w:rsidR="00E94F16" w:rsidRDefault="00E94F16" w:rsidP="00AA497F">
      <w:pPr>
        <w:pStyle w:val="Sansinterligne"/>
        <w:ind w:firstLine="708"/>
        <w:rPr>
          <w:rFonts w:eastAsiaTheme="minorEastAsia"/>
        </w:rPr>
      </w:pPr>
      <w:r>
        <w:rPr>
          <w:rFonts w:eastAsiaTheme="minorEastAsia"/>
        </w:rPr>
        <w:t xml:space="preserve">Ces deux énergies sont environ du même ordre de grandeur. Ainsi, l’agitation thermique de </w:t>
      </w:r>
      <w:r>
        <w:rPr>
          <w:rFonts w:eastAsiaTheme="minorEastAsia"/>
          <w:i/>
          <w:iCs/>
        </w:rPr>
        <w:t>disperser</w:t>
      </w:r>
      <w:r>
        <w:rPr>
          <w:rFonts w:eastAsiaTheme="minorEastAsia"/>
        </w:rPr>
        <w:t xml:space="preserve"> les charges.</w:t>
      </w:r>
    </w:p>
    <w:p w:rsidR="00E94F16" w:rsidRDefault="00E94F16" w:rsidP="00AA497F">
      <w:pPr>
        <w:pStyle w:val="Sansinterligne"/>
        <w:ind w:firstLine="708"/>
        <w:rPr>
          <w:rFonts w:eastAsiaTheme="minorEastAsia"/>
        </w:rPr>
      </w:pPr>
    </w:p>
    <w:p w:rsidR="00E94F16" w:rsidRDefault="00E94F16" w:rsidP="00AA497F">
      <w:pPr>
        <w:pStyle w:val="Sansinterligne"/>
        <w:ind w:firstLine="708"/>
        <w:rPr>
          <w:rFonts w:eastAsiaTheme="minorEastAsia"/>
        </w:rPr>
      </w:pPr>
      <w:r>
        <w:rPr>
          <w:rFonts w:eastAsiaTheme="minorEastAsia"/>
        </w:rPr>
        <w:t xml:space="preserve">La permittivité d’une espèce permet d’expliquer la </w:t>
      </w:r>
      <w:r>
        <w:rPr>
          <w:rFonts w:eastAsiaTheme="minorEastAsia"/>
          <w:i/>
          <w:iCs/>
        </w:rPr>
        <w:t>dispersion</w:t>
      </w:r>
      <w:r>
        <w:rPr>
          <w:rFonts w:eastAsiaTheme="minorEastAsia"/>
        </w:rPr>
        <w:t xml:space="preserve"> (ou </w:t>
      </w:r>
      <w:r>
        <w:rPr>
          <w:rFonts w:eastAsiaTheme="minorEastAsia"/>
          <w:i/>
          <w:iCs/>
        </w:rPr>
        <w:t>dissociation</w:t>
      </w:r>
      <w:r>
        <w:rPr>
          <w:rFonts w:eastAsiaTheme="minorEastAsia"/>
        </w:rPr>
        <w:t>) de la paire d’ions.</w:t>
      </w:r>
    </w:p>
    <w:p w:rsidR="00E94F16" w:rsidRPr="00E94F16" w:rsidRDefault="00DA1D27" w:rsidP="00AA497F">
      <w:pPr>
        <w:pStyle w:val="Sansinterligne"/>
        <w:ind w:firstLine="708"/>
        <w:rPr>
          <w:rFonts w:eastAsiaTheme="minorEastAsia"/>
        </w:rPr>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e>
              </m:d>
            </m:e>
            <m:sub>
              <m:r>
                <w:rPr>
                  <w:rFonts w:ascii="Cambria Math" w:hAnsi="Cambria Math"/>
                </w:rPr>
                <m:t>(aq)</m:t>
              </m:r>
            </m:sub>
          </m:sSub>
          <m:r>
            <w:rPr>
              <w:rFonts w:ascii="Cambria Math" w:hAnsi="Cambria Math"/>
            </w:rPr>
            <m:t xml:space="preserve"> → </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e>
              </m:d>
            </m:e>
            <m:sub>
              <m:r>
                <w:rPr>
                  <w:rFonts w:ascii="Cambria Math" w:hAnsi="Cambria Math"/>
                </w:rPr>
                <m:t>(aq)</m:t>
              </m:r>
            </m:sub>
          </m:sSub>
        </m:oMath>
      </m:oMathPara>
    </w:p>
    <w:p w:rsidR="00E94F16" w:rsidRDefault="00E94F16" w:rsidP="00E94F16">
      <w:pPr>
        <w:pStyle w:val="Sansinterligne"/>
        <w:rPr>
          <w:rFonts w:eastAsiaTheme="minorEastAsia"/>
        </w:rPr>
      </w:pPr>
    </w:p>
    <w:p w:rsidR="00E94F16" w:rsidRDefault="00E94F16" w:rsidP="00E94F16">
      <w:pPr>
        <w:pStyle w:val="Sansinterligne"/>
        <w:rPr>
          <w:rFonts w:eastAsiaTheme="minorEastAsia"/>
          <w:color w:val="7030A0"/>
        </w:rPr>
      </w:pPr>
      <w:r>
        <w:rPr>
          <w:rFonts w:eastAsiaTheme="minorEastAsia"/>
          <w:color w:val="7030A0"/>
        </w:rPr>
        <w:t xml:space="preserve">(Diapo) Tableau donnant quelques valeurs de </w:t>
      </w:r>
      <m:oMath>
        <m:d>
          <m:dPr>
            <m:begChr m:val="{"/>
            <m:endChr m:val="}"/>
            <m:ctrlPr>
              <w:rPr>
                <w:rFonts w:ascii="Cambria Math" w:eastAsiaTheme="minorEastAsia" w:hAnsi="Cambria Math"/>
                <w:i/>
                <w:color w:val="7030A0"/>
              </w:rPr>
            </m:ctrlPr>
          </m:dPr>
          <m:e>
            <m:r>
              <w:rPr>
                <w:rFonts w:ascii="Cambria Math" w:eastAsiaTheme="minorEastAsia" w:hAnsi="Cambria Math"/>
                <w:color w:val="7030A0"/>
              </w:rPr>
              <m:t xml:space="preserve">μ, </m:t>
            </m:r>
            <m:sSub>
              <m:sSubPr>
                <m:ctrlPr>
                  <w:rPr>
                    <w:rFonts w:ascii="Cambria Math" w:eastAsiaTheme="minorEastAsia" w:hAnsi="Cambria Math"/>
                    <w:i/>
                    <w:color w:val="7030A0"/>
                  </w:rPr>
                </m:ctrlPr>
              </m:sSubPr>
              <m:e>
                <m:r>
                  <w:rPr>
                    <w:rFonts w:ascii="Cambria Math" w:eastAsiaTheme="minorEastAsia" w:hAnsi="Cambria Math"/>
                    <w:color w:val="7030A0"/>
                  </w:rPr>
                  <m:t>ε</m:t>
                </m:r>
              </m:e>
              <m:sub>
                <m:r>
                  <w:rPr>
                    <w:rFonts w:ascii="Cambria Math" w:eastAsiaTheme="minorEastAsia" w:hAnsi="Cambria Math"/>
                    <w:color w:val="7030A0"/>
                  </w:rPr>
                  <m:t>r</m:t>
                </m:r>
              </m:sub>
            </m:sSub>
          </m:e>
        </m:d>
      </m:oMath>
      <w:r>
        <w:rPr>
          <w:rFonts w:eastAsiaTheme="minorEastAsia"/>
          <w:color w:val="7030A0"/>
        </w:rPr>
        <w:t xml:space="preserve"> </w:t>
      </w:r>
    </w:p>
    <w:p w:rsidR="00E94F16" w:rsidRDefault="00E94F16" w:rsidP="00E94F16">
      <w:pPr>
        <w:pStyle w:val="Sansinterligne"/>
      </w:pPr>
      <w:r>
        <w:t>On voit que plus la permittivité augmente plus le nombre d’ions libres augmente également</w:t>
      </w:r>
      <w:r w:rsidR="006D21DD">
        <w:t>.</w:t>
      </w:r>
    </w:p>
    <w:p w:rsidR="00D408D1" w:rsidRDefault="00D408D1" w:rsidP="009D6D66">
      <w:pPr>
        <w:pStyle w:val="Sansinterligne"/>
      </w:pPr>
    </w:p>
    <w:p w:rsidR="00284536" w:rsidRDefault="00284536" w:rsidP="00284536">
      <w:pPr>
        <w:pStyle w:val="Sansinterligne"/>
        <w:numPr>
          <w:ilvl w:val="0"/>
          <w:numId w:val="36"/>
        </w:numPr>
        <w:rPr>
          <w:b/>
          <w:bCs/>
        </w:rPr>
      </w:pPr>
      <w:r>
        <w:rPr>
          <w:b/>
          <w:bCs/>
        </w:rPr>
        <w:t>Proticité</w:t>
      </w:r>
    </w:p>
    <w:p w:rsidR="00284536" w:rsidRDefault="00284536" w:rsidP="00284536">
      <w:pPr>
        <w:pStyle w:val="Sansinterligne"/>
        <w:rPr>
          <w:b/>
          <w:bCs/>
        </w:rPr>
      </w:pPr>
    </w:p>
    <w:p w:rsidR="00284536" w:rsidRDefault="00284536" w:rsidP="00284536">
      <w:pPr>
        <w:pStyle w:val="Sansinterligne"/>
        <w:rPr>
          <w:rFonts w:eastAsiaTheme="minorEastAsia"/>
        </w:rPr>
      </w:pPr>
      <w:r>
        <w:t xml:space="preserve">La </w:t>
      </w:r>
      <w:r>
        <w:rPr>
          <w:i/>
          <w:iCs/>
        </w:rPr>
        <w:t xml:space="preserve">proticité </w:t>
      </w:r>
      <w:r>
        <w:t xml:space="preserve">d’une espèce est liée à l’existence de </w:t>
      </w:r>
      <m:oMath>
        <m:sSup>
          <m:sSupPr>
            <m:ctrlPr>
              <w:rPr>
                <w:rFonts w:ascii="Cambria Math" w:hAnsi="Cambria Math"/>
                <w:i/>
              </w:rPr>
            </m:ctrlPr>
          </m:sSupPr>
          <m:e>
            <m:r>
              <w:rPr>
                <w:rFonts w:ascii="Cambria Math" w:hAnsi="Cambria Math"/>
              </w:rPr>
              <m:t>H</m:t>
            </m:r>
          </m:e>
          <m:sup>
            <m:sSup>
              <m:sSupPr>
                <m:ctrlPr>
                  <w:rPr>
                    <w:rFonts w:ascii="Cambria Math" w:hAnsi="Cambria Math"/>
                    <w:i/>
                  </w:rPr>
                </m:ctrlPr>
              </m:sSupPr>
              <m:e>
                <m:r>
                  <w:rPr>
                    <w:rFonts w:ascii="Cambria Math" w:hAnsi="Cambria Math"/>
                  </w:rPr>
                  <m:t>δ</m:t>
                </m:r>
              </m:e>
              <m:sup>
                <m:r>
                  <w:rPr>
                    <w:rFonts w:ascii="Cambria Math" w:hAnsi="Cambria Math"/>
                  </w:rPr>
                  <m:t>+</m:t>
                </m:r>
              </m:sup>
            </m:sSup>
          </m:sup>
        </m:sSup>
      </m:oMath>
      <w:r>
        <w:rPr>
          <w:rFonts w:eastAsiaTheme="minorEastAsia"/>
        </w:rPr>
        <w:t xml:space="preserve"> (hydrogènes labiles) permettant l’établissement de liaisons hydrogène. </w:t>
      </w:r>
    </w:p>
    <w:p w:rsidR="00284536" w:rsidRDefault="00284536" w:rsidP="00284536">
      <w:pPr>
        <w:pStyle w:val="Sansinterligne"/>
        <w:rPr>
          <w:rFonts w:eastAsiaTheme="minorEastAsia"/>
        </w:rPr>
      </w:pPr>
      <w:r>
        <w:rPr>
          <w:rFonts w:eastAsiaTheme="minorEastAsia"/>
        </w:rPr>
        <w:t xml:space="preserve">La proticité est liée à la stabilisation (ou </w:t>
      </w:r>
      <w:r>
        <w:rPr>
          <w:rFonts w:eastAsiaTheme="minorEastAsia"/>
          <w:i/>
          <w:iCs/>
        </w:rPr>
        <w:t>solvatation</w:t>
      </w:r>
      <w:r>
        <w:rPr>
          <w:rFonts w:eastAsiaTheme="minorEastAsia"/>
        </w:rPr>
        <w:t>) du soluté dans le solvant</w:t>
      </w:r>
    </w:p>
    <w:p w:rsidR="00284536" w:rsidRPr="00284536" w:rsidRDefault="00284536" w:rsidP="00284536">
      <w:pPr>
        <w:pStyle w:val="Sansinterligne"/>
        <w:rPr>
          <w:rFonts w:eastAsiaTheme="minorEastAsia"/>
          <w:i/>
          <w:iCs/>
          <w:color w:val="00B0F0"/>
        </w:rPr>
      </w:pPr>
      <w:r>
        <w:rPr>
          <w:rFonts w:eastAsiaTheme="minorEastAsia"/>
          <w:i/>
          <w:iCs/>
          <w:color w:val="00B0F0"/>
        </w:rPr>
        <w:t>Énergie molaire d’une liaison hydrogène de l’ordre de 10 à 30 kJ/mol.</w:t>
      </w:r>
    </w:p>
    <w:p w:rsidR="00284536" w:rsidRDefault="00284536" w:rsidP="00284536">
      <w:pPr>
        <w:pStyle w:val="Sansinterligne"/>
        <w:rPr>
          <w:rFonts w:eastAsiaTheme="minorEastAsia"/>
        </w:rPr>
      </w:pPr>
    </w:p>
    <w:p w:rsidR="00284536" w:rsidRPr="00275F0C" w:rsidRDefault="00DA1D27" w:rsidP="00284536">
      <w:pPr>
        <w:pStyle w:val="Sansinterligne"/>
        <w:rPr>
          <w:rFonts w:eastAsiaTheme="minorEastAsia"/>
        </w:rPr>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e>
              </m:d>
            </m:e>
            <m:sub>
              <m:r>
                <w:rPr>
                  <w:rFonts w:ascii="Cambria Math" w:hAnsi="Cambria Math"/>
                </w:rPr>
                <m:t>(aq)</m:t>
              </m:r>
            </m:sub>
          </m:sSub>
          <m:r>
            <w:rPr>
              <w:rFonts w:ascii="Cambria Math" w:hAnsi="Cambria Math"/>
            </w:rPr>
            <m:t xml:space="preserve"> → </m:t>
          </m:r>
          <m:sSubSup>
            <m:sSubSupPr>
              <m:ctrlPr>
                <w:rPr>
                  <w:rFonts w:ascii="Cambria Math" w:hAnsi="Cambria Math"/>
                  <w:i/>
                </w:rPr>
              </m:ctrlPr>
            </m:sSubSupPr>
            <m:e>
              <m:r>
                <w:rPr>
                  <w:rFonts w:ascii="Cambria Math" w:hAnsi="Cambria Math"/>
                </w:rPr>
                <m:t>H</m:t>
              </m:r>
            </m:e>
            <m:sub>
              <m:r>
                <w:rPr>
                  <w:rFonts w:ascii="Cambria Math" w:hAnsi="Cambria Math"/>
                </w:rPr>
                <m:t>(aq)</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Cl</m:t>
              </m:r>
            </m:e>
            <m:sub>
              <m:r>
                <w:rPr>
                  <w:rFonts w:ascii="Cambria Math" w:hAnsi="Cambria Math"/>
                </w:rPr>
                <m:t>(aq)</m:t>
              </m:r>
            </m:sub>
            <m:sup>
              <m:r>
                <w:rPr>
                  <w:rFonts w:ascii="Cambria Math" w:hAnsi="Cambria Math"/>
                </w:rPr>
                <m:t>-</m:t>
              </m:r>
            </m:sup>
          </m:sSubSup>
        </m:oMath>
      </m:oMathPara>
    </w:p>
    <w:p w:rsidR="00275F0C" w:rsidRPr="00284536" w:rsidRDefault="00275F0C" w:rsidP="00284536">
      <w:pPr>
        <w:pStyle w:val="Sansinterligne"/>
        <w:rPr>
          <w:rFonts w:eastAsiaTheme="minorEastAsia"/>
        </w:rPr>
      </w:pPr>
    </w:p>
    <w:p w:rsidR="00284536" w:rsidRDefault="00284536" w:rsidP="00275F0C">
      <w:pPr>
        <w:pStyle w:val="Sansinterligne"/>
        <w:pBdr>
          <w:left w:val="thinThickSmallGap" w:sz="24" w:space="4" w:color="00B050"/>
        </w:pBdr>
        <w:rPr>
          <w:rFonts w:eastAsiaTheme="minorEastAsia"/>
          <w:b/>
          <w:bCs/>
          <w:smallCaps/>
        </w:rPr>
      </w:pPr>
      <w:r>
        <w:rPr>
          <w:rFonts w:eastAsiaTheme="minorEastAsia"/>
          <w:b/>
          <w:bCs/>
          <w:smallCaps/>
        </w:rPr>
        <w:t xml:space="preserve">Transition : Toutes ces caractéristiques sont </w:t>
      </w:r>
      <w:r w:rsidR="00275F0C">
        <w:rPr>
          <w:rFonts w:eastAsiaTheme="minorEastAsia"/>
          <w:b/>
          <w:bCs/>
          <w:smallCaps/>
        </w:rPr>
        <w:t>celles qui permettent d’expliquer la dissolution d’une espèce dans un solvant. De plus, c’est à partir de ces caractéristiques que nous classons les solvants.</w:t>
      </w:r>
    </w:p>
    <w:p w:rsidR="00275F0C" w:rsidRPr="00284536" w:rsidRDefault="00275F0C" w:rsidP="00284536">
      <w:pPr>
        <w:pStyle w:val="Sansinterligne"/>
        <w:rPr>
          <w:b/>
          <w:bCs/>
          <w:smallCaps/>
        </w:rPr>
      </w:pPr>
    </w:p>
    <w:p w:rsidR="009D6D66" w:rsidRDefault="00284536" w:rsidP="00284536">
      <w:pPr>
        <w:pStyle w:val="Sansinterligne"/>
        <w:numPr>
          <w:ilvl w:val="0"/>
          <w:numId w:val="36"/>
        </w:numPr>
        <w:rPr>
          <w:b/>
          <w:bCs/>
        </w:rPr>
      </w:pPr>
      <w:r>
        <w:rPr>
          <w:b/>
          <w:bCs/>
        </w:rPr>
        <w:lastRenderedPageBreak/>
        <w:t>Classification des solvants</w:t>
      </w:r>
    </w:p>
    <w:p w:rsidR="00275F0C" w:rsidRDefault="00275F0C" w:rsidP="00275F0C">
      <w:pPr>
        <w:pStyle w:val="Sansinterligne"/>
      </w:pPr>
      <w:r>
        <w:t>Lors de manipulations en chimie, nous ne regardons pas exactement les valeurs des moments dipolaires et permittivité diélectrique qui importent peu de toute façon. Ce qui est intéressant c’est le comportement global d’un solvant, c’est pour cela qu’on les classe en trois catégories :</w:t>
      </w:r>
    </w:p>
    <w:p w:rsidR="00275F0C" w:rsidRDefault="00275F0C" w:rsidP="00275F0C">
      <w:pPr>
        <w:pStyle w:val="Sansinterligne"/>
        <w:numPr>
          <w:ilvl w:val="0"/>
          <w:numId w:val="1"/>
        </w:numPr>
      </w:pPr>
      <w:r>
        <w:t>Les solvants polaires protiques ;</w:t>
      </w:r>
    </w:p>
    <w:p w:rsidR="00275F0C" w:rsidRDefault="00275F0C" w:rsidP="00275F0C">
      <w:pPr>
        <w:pStyle w:val="Sansinterligne"/>
        <w:numPr>
          <w:ilvl w:val="0"/>
          <w:numId w:val="1"/>
        </w:numPr>
      </w:pPr>
      <w:r>
        <w:t xml:space="preserve">Les solvants polaires aprotiques ; </w:t>
      </w:r>
    </w:p>
    <w:p w:rsidR="00275F0C" w:rsidRDefault="00275F0C" w:rsidP="00275F0C">
      <w:pPr>
        <w:pStyle w:val="Sansinterligne"/>
        <w:numPr>
          <w:ilvl w:val="0"/>
          <w:numId w:val="1"/>
        </w:numPr>
      </w:pPr>
      <w:r>
        <w:t xml:space="preserve">Les solvants aprotiques </w:t>
      </w:r>
    </w:p>
    <w:p w:rsidR="00CA35C4" w:rsidRDefault="00CA35C4" w:rsidP="00CA35C4">
      <w:pPr>
        <w:pStyle w:val="Sansinterligne"/>
      </w:pPr>
    </w:p>
    <w:p w:rsidR="00CA35C4" w:rsidRDefault="00CA35C4" w:rsidP="00CA35C4">
      <w:pPr>
        <w:pStyle w:val="Sansinterligne"/>
        <w:pBdr>
          <w:left w:val="thinThickSmallGap" w:sz="24" w:space="4" w:color="00B050"/>
        </w:pBdr>
        <w:rPr>
          <w:b/>
          <w:bCs/>
          <w:smallCaps/>
        </w:rPr>
      </w:pPr>
      <w:r>
        <w:rPr>
          <w:b/>
          <w:bCs/>
          <w:smallCaps/>
        </w:rPr>
        <w:t>Transition : Maintenant que nous avons vu quelles sont les caractéristiques importantes des solvants, on peut se demander quelles sont les interactions entre le(s) soluté(s) et le solvant ainsi que les interactions entre deux solvants différents.</w:t>
      </w:r>
    </w:p>
    <w:p w:rsidR="00CA35C4" w:rsidRDefault="00CA35C4" w:rsidP="00CA35C4">
      <w:pPr>
        <w:pStyle w:val="Sansinterligne"/>
        <w:rPr>
          <w:b/>
          <w:bCs/>
          <w:smallCaps/>
        </w:rPr>
      </w:pPr>
    </w:p>
    <w:p w:rsidR="00CA35C4" w:rsidRPr="00606A80" w:rsidRDefault="00CA35C4" w:rsidP="00606A80">
      <w:pPr>
        <w:pStyle w:val="Sansinterligne"/>
        <w:pBdr>
          <w:left w:val="thinThickSmallGap" w:sz="24" w:space="4" w:color="FFC000"/>
        </w:pBdr>
      </w:pPr>
      <w:r>
        <w:rPr>
          <w:u w:val="single"/>
        </w:rPr>
        <w:t>Miscibilité de deux solvants :</w:t>
      </w:r>
      <w:r w:rsidR="00606A80">
        <w:rPr>
          <w:u w:val="single"/>
        </w:rPr>
        <w:t xml:space="preserve"> </w:t>
      </w:r>
      <w:r w:rsidR="00606A80">
        <w:t>(sous hotte)</w:t>
      </w:r>
    </w:p>
    <w:p w:rsidR="00606A80" w:rsidRDefault="00CA35C4" w:rsidP="00606A80">
      <w:pPr>
        <w:pStyle w:val="Sansinterligne"/>
        <w:pBdr>
          <w:left w:val="thinThickSmallGap" w:sz="24" w:space="4" w:color="FFC000"/>
        </w:pBdr>
      </w:pPr>
      <w:r>
        <w:tab/>
        <w:t xml:space="preserve">Dans un tube à essai ajouter 5 </w:t>
      </w:r>
      <w:proofErr w:type="spellStart"/>
      <w:r>
        <w:t>mL</w:t>
      </w:r>
      <w:proofErr w:type="spellEnd"/>
      <w:r>
        <w:t xml:space="preserve"> d’eau et 5 </w:t>
      </w:r>
      <w:proofErr w:type="spellStart"/>
      <w:r>
        <w:t>mL</w:t>
      </w:r>
      <w:proofErr w:type="spellEnd"/>
      <w:r>
        <w:t xml:space="preserve"> d’éthanol (colorer l’un ou l’autre)</w:t>
      </w:r>
      <w:r w:rsidR="00606A80">
        <w:t> : il n’y a qu’une phase -&gt; eau et éthanol sont deux solvants miscibles</w:t>
      </w:r>
    </w:p>
    <w:p w:rsidR="00606A80" w:rsidRDefault="00606A80" w:rsidP="00606A80">
      <w:pPr>
        <w:pStyle w:val="Sansinterligne"/>
        <w:pBdr>
          <w:left w:val="thinThickSmallGap" w:sz="24" w:space="4" w:color="FFC000"/>
        </w:pBdr>
      </w:pPr>
      <w:r>
        <w:tab/>
        <w:t>Agiter en dégazant de temps à autre…</w:t>
      </w:r>
    </w:p>
    <w:p w:rsidR="00477629" w:rsidRDefault="00477629" w:rsidP="00606A80">
      <w:pPr>
        <w:pStyle w:val="Sansinterligne"/>
        <w:pBdr>
          <w:left w:val="thinThickSmallGap" w:sz="24" w:space="4" w:color="FFC000"/>
        </w:pBdr>
      </w:pPr>
      <w:hyperlink r:id="rId9" w:history="1">
        <w:r w:rsidRPr="00477629">
          <w:rPr>
            <w:rStyle w:val="Lienhypertexte"/>
          </w:rPr>
          <w:t>https://youtu.be/vaKiUgwu4hY?t=201</w:t>
        </w:r>
      </w:hyperlink>
    </w:p>
    <w:p w:rsidR="00606A80" w:rsidRDefault="00606A80" w:rsidP="00606A80">
      <w:pPr>
        <w:pStyle w:val="Sansinterligne"/>
        <w:pBdr>
          <w:left w:val="thinThickSmallGap" w:sz="24" w:space="4" w:color="FFC000"/>
        </w:pBdr>
      </w:pPr>
    </w:p>
    <w:p w:rsidR="00606A80" w:rsidRDefault="00606A80" w:rsidP="00606A80">
      <w:pPr>
        <w:pStyle w:val="Sansinterligne"/>
        <w:pBdr>
          <w:left w:val="thinThickSmallGap" w:sz="24" w:space="4" w:color="FFC000"/>
        </w:pBdr>
      </w:pPr>
      <w:r>
        <w:tab/>
        <w:t xml:space="preserve">Dans un tube à essai ajouter 5 </w:t>
      </w:r>
      <w:proofErr w:type="spellStart"/>
      <w:r>
        <w:t>mL</w:t>
      </w:r>
      <w:proofErr w:type="spellEnd"/>
      <w:r>
        <w:t xml:space="preserve"> d’eau (colorée) et du cyclohexane (on observe deux phases) -&gt; eau et cyclohexane ne sont pas miscibles</w:t>
      </w:r>
    </w:p>
    <w:p w:rsidR="00606A80" w:rsidRDefault="00606A80" w:rsidP="00CA35C4">
      <w:pPr>
        <w:pStyle w:val="Sansinterligne"/>
      </w:pPr>
    </w:p>
    <w:p w:rsidR="00606A80" w:rsidRDefault="00606A80" w:rsidP="00606A80">
      <w:pPr>
        <w:pStyle w:val="Sansinterligne"/>
        <w:pBdr>
          <w:left w:val="thinThickSmallGap" w:sz="24" w:space="4" w:color="FFC000"/>
        </w:pBdr>
      </w:pPr>
      <w:r>
        <w:rPr>
          <w:u w:val="single"/>
        </w:rPr>
        <w:t xml:space="preserve">Solubilité dans deux solvants différents : </w:t>
      </w:r>
      <w:r>
        <w:t>(sous hotte)</w:t>
      </w:r>
    </w:p>
    <w:p w:rsidR="00477629" w:rsidRPr="00477629" w:rsidRDefault="00477629" w:rsidP="00606A80">
      <w:pPr>
        <w:pStyle w:val="Sansinterligne"/>
        <w:pBdr>
          <w:left w:val="thinThickSmallGap" w:sz="24" w:space="4" w:color="FFC000"/>
        </w:pBdr>
      </w:pPr>
      <w:hyperlink r:id="rId10" w:history="1">
        <w:r w:rsidRPr="00477629">
          <w:rPr>
            <w:rStyle w:val="Lienhypertexte"/>
          </w:rPr>
          <w:t>https://www.youtube.com/watch?v=svcTMOuKQdc</w:t>
        </w:r>
      </w:hyperlink>
      <w:r w:rsidRPr="00477629">
        <w:t xml:space="preserve"> (il</w:t>
      </w:r>
      <w:r>
        <w:t xml:space="preserve"> manque les gants…)</w:t>
      </w:r>
    </w:p>
    <w:p w:rsidR="00606A80" w:rsidRDefault="00606A80" w:rsidP="00606A80">
      <w:pPr>
        <w:pStyle w:val="Sansinterligne"/>
        <w:pBdr>
          <w:left w:val="thinThickSmallGap" w:sz="24" w:space="4" w:color="FFC000"/>
        </w:pBdr>
      </w:pPr>
      <w:r w:rsidRPr="00477629">
        <w:tab/>
      </w:r>
      <w:r>
        <w:t xml:space="preserve">Ajouter une bille de diiode dans 5 </w:t>
      </w:r>
      <w:proofErr w:type="spellStart"/>
      <w:r>
        <w:t>mL</w:t>
      </w:r>
      <w:proofErr w:type="spellEnd"/>
      <w:r>
        <w:t xml:space="preserve"> d’eau et dans 5 </w:t>
      </w:r>
      <w:proofErr w:type="spellStart"/>
      <w:r>
        <w:t>mL</w:t>
      </w:r>
      <w:proofErr w:type="spellEnd"/>
      <w:r>
        <w:t xml:space="preserve"> de cyclohexane, montrer que la bille est toujours visible dans la phase aqueuse et que la couleur est différente.</w:t>
      </w:r>
    </w:p>
    <w:p w:rsidR="00606A80" w:rsidRDefault="00606A80" w:rsidP="00606A80">
      <w:pPr>
        <w:pStyle w:val="Sansinterligne"/>
        <w:pBdr>
          <w:left w:val="thinThickSmallGap" w:sz="24" w:space="4" w:color="FFC000"/>
        </w:pBdr>
        <w:rPr>
          <w:i/>
          <w:iCs/>
          <w:color w:val="00B0F0"/>
        </w:rPr>
      </w:pPr>
      <w:r>
        <w:tab/>
      </w:r>
      <w:r>
        <w:rPr>
          <w:i/>
          <w:iCs/>
          <w:color w:val="00B0F0"/>
        </w:rPr>
        <w:t xml:space="preserve">La différence de couleur peut s’expliquer pas une différence du complexe formé dans les solutions organique et aqueuse. </w:t>
      </w:r>
    </w:p>
    <w:p w:rsidR="00606A80" w:rsidRDefault="00606A80" w:rsidP="00606A80">
      <w:pPr>
        <w:pStyle w:val="Sansinterligne"/>
        <w:rPr>
          <w:i/>
          <w:iCs/>
          <w:color w:val="00B0F0"/>
        </w:rPr>
      </w:pPr>
    </w:p>
    <w:p w:rsidR="00606A80" w:rsidRDefault="00606A80" w:rsidP="00606A80">
      <w:pPr>
        <w:pStyle w:val="Sansinterligne"/>
        <w:numPr>
          <w:ilvl w:val="0"/>
          <w:numId w:val="35"/>
        </w:numPr>
        <w:rPr>
          <w:b/>
          <w:bCs/>
          <w:u w:val="single"/>
        </w:rPr>
      </w:pPr>
      <w:r>
        <w:rPr>
          <w:b/>
          <w:bCs/>
          <w:u w:val="single"/>
        </w:rPr>
        <w:t>Mélanges et solvants</w:t>
      </w:r>
    </w:p>
    <w:p w:rsidR="00606A80" w:rsidRDefault="00606A80" w:rsidP="00606A80">
      <w:pPr>
        <w:pStyle w:val="Sansinterligne"/>
        <w:numPr>
          <w:ilvl w:val="0"/>
          <w:numId w:val="37"/>
        </w:numPr>
        <w:rPr>
          <w:b/>
          <w:bCs/>
        </w:rPr>
      </w:pPr>
      <w:r>
        <w:rPr>
          <w:b/>
          <w:bCs/>
        </w:rPr>
        <w:t>Solubilité et miscibilité</w:t>
      </w:r>
    </w:p>
    <w:p w:rsidR="00606A80" w:rsidRPr="00606A80" w:rsidRDefault="00606A80" w:rsidP="00606A80">
      <w:pPr>
        <w:pStyle w:val="Sansinterligne"/>
        <w:rPr>
          <w:b/>
          <w:bCs/>
        </w:rPr>
      </w:pPr>
    </w:p>
    <w:p w:rsidR="009D6D66" w:rsidRDefault="00486264" w:rsidP="00486264">
      <w:pPr>
        <w:pStyle w:val="Sansinterligne"/>
        <w:rPr>
          <w:u w:val="single"/>
        </w:rPr>
      </w:pPr>
      <w:r>
        <w:rPr>
          <w:u w:val="single"/>
        </w:rPr>
        <w:t>Analyse de la première manipulation :</w:t>
      </w:r>
    </w:p>
    <w:p w:rsidR="00486264" w:rsidRPr="000C77A9" w:rsidRDefault="00486264" w:rsidP="00486264">
      <w:pPr>
        <w:pStyle w:val="Sansinterligne"/>
        <w:rPr>
          <w:i/>
          <w:iCs/>
          <w:color w:val="00B0F0"/>
          <w:lang w:val="en-GB"/>
        </w:rPr>
      </w:pPr>
      <w:proofErr w:type="spellStart"/>
      <w:r w:rsidRPr="000C77A9">
        <w:rPr>
          <w:i/>
          <w:iCs/>
          <w:color w:val="00B0F0"/>
          <w:lang w:val="en-GB"/>
        </w:rPr>
        <w:t>Définition</w:t>
      </w:r>
      <w:proofErr w:type="spellEnd"/>
      <w:r w:rsidRPr="000C77A9">
        <w:rPr>
          <w:i/>
          <w:iCs/>
          <w:color w:val="00B0F0"/>
          <w:lang w:val="en-GB"/>
        </w:rPr>
        <w:t xml:space="preserve"> </w:t>
      </w:r>
      <w:proofErr w:type="gramStart"/>
      <w:r w:rsidRPr="000C77A9">
        <w:rPr>
          <w:i/>
          <w:iCs/>
          <w:color w:val="00B0F0"/>
          <w:lang w:val="en-GB"/>
        </w:rPr>
        <w:t>IUPAC :</w:t>
      </w:r>
      <w:proofErr w:type="gramEnd"/>
      <w:r w:rsidRPr="000C77A9">
        <w:rPr>
          <w:i/>
          <w:iCs/>
          <w:color w:val="00B0F0"/>
          <w:lang w:val="en-GB"/>
        </w:rPr>
        <w:t xml:space="preserve"> Capability of a mixture to form a single phase over certain ranges of temperature, pressure, and composition.</w:t>
      </w:r>
    </w:p>
    <w:p w:rsidR="00486264" w:rsidRDefault="00486264" w:rsidP="00486264">
      <w:pPr>
        <w:pStyle w:val="Sansinterligne"/>
        <w:rPr>
          <w:i/>
          <w:iCs/>
          <w:lang w:val="en-GB"/>
        </w:rPr>
      </w:pPr>
    </w:p>
    <w:p w:rsidR="00486264" w:rsidRDefault="00486264" w:rsidP="00486264">
      <w:pPr>
        <w:pStyle w:val="Sansinterligne"/>
      </w:pPr>
      <w:r w:rsidRPr="00486264">
        <w:t xml:space="preserve">Ainsi, la </w:t>
      </w:r>
      <w:r w:rsidRPr="00486264">
        <w:rPr>
          <w:i/>
          <w:iCs/>
        </w:rPr>
        <w:t>miscibilité</w:t>
      </w:r>
      <w:r w:rsidRPr="00486264">
        <w:t xml:space="preserve"> correspond à l</w:t>
      </w:r>
      <w:r>
        <w:t xml:space="preserve">a capacité </w:t>
      </w:r>
      <w:r w:rsidR="000C77A9">
        <w:t>d’un mélange à former une seule phase sous certaines conditions de température et de pression.</w:t>
      </w:r>
    </w:p>
    <w:p w:rsidR="000C77A9" w:rsidRDefault="000C77A9" w:rsidP="00486264">
      <w:pPr>
        <w:pStyle w:val="Sansinterligne"/>
      </w:pPr>
    </w:p>
    <w:p w:rsidR="000C77A9" w:rsidRDefault="000C77A9" w:rsidP="00486264">
      <w:pPr>
        <w:pStyle w:val="Sansinterligne"/>
      </w:pPr>
      <w:r>
        <w:t>Nous avons vu que l’eau et l’éthanol qui sont tous deux des solvants polaires protiques sont miscibles alors que l’eau (solvant polaire protique) et le cyclohexane (solvant apolaire) ne sont pas miscibles.</w:t>
      </w:r>
    </w:p>
    <w:p w:rsidR="000C77A9" w:rsidRDefault="000C77A9" w:rsidP="00486264">
      <w:pPr>
        <w:pStyle w:val="Sansinterligne"/>
      </w:pPr>
    </w:p>
    <w:p w:rsidR="000C77A9" w:rsidRDefault="000C77A9" w:rsidP="00486264">
      <w:pPr>
        <w:pStyle w:val="Sansinterligne"/>
      </w:pPr>
      <w:r>
        <w:t>Il semblerait donc que deux solvants semblables (au sens où ils sont de la même catégorie) soient miscibles.</w:t>
      </w:r>
    </w:p>
    <w:p w:rsidR="000C77A9" w:rsidRDefault="000C77A9" w:rsidP="00486264">
      <w:pPr>
        <w:pStyle w:val="Sansinterligne"/>
      </w:pPr>
    </w:p>
    <w:p w:rsidR="000C77A9" w:rsidRDefault="000C77A9" w:rsidP="00486264">
      <w:pPr>
        <w:pStyle w:val="Sansinterligne"/>
        <w:rPr>
          <w:u w:val="single"/>
        </w:rPr>
      </w:pPr>
      <w:r>
        <w:rPr>
          <w:u w:val="single"/>
        </w:rPr>
        <w:t>Analyse de la seconde manipulation :</w:t>
      </w:r>
    </w:p>
    <w:p w:rsidR="000C77A9" w:rsidRPr="000C77A9" w:rsidRDefault="000C77A9" w:rsidP="000C77A9">
      <w:pPr>
        <w:pStyle w:val="Sansinterligne"/>
        <w:rPr>
          <w:i/>
          <w:iCs/>
          <w:color w:val="00B0F0"/>
          <w:lang w:val="en-GB"/>
        </w:rPr>
      </w:pPr>
      <w:proofErr w:type="spellStart"/>
      <w:r w:rsidRPr="000C77A9">
        <w:rPr>
          <w:i/>
          <w:iCs/>
          <w:color w:val="00B0F0"/>
          <w:lang w:val="en-GB"/>
        </w:rPr>
        <w:t>Définition</w:t>
      </w:r>
      <w:proofErr w:type="spellEnd"/>
      <w:r w:rsidRPr="000C77A9">
        <w:rPr>
          <w:i/>
          <w:iCs/>
          <w:color w:val="00B0F0"/>
          <w:lang w:val="en-GB"/>
        </w:rPr>
        <w:t xml:space="preserve"> </w:t>
      </w:r>
      <w:proofErr w:type="gramStart"/>
      <w:r w:rsidRPr="000C77A9">
        <w:rPr>
          <w:i/>
          <w:iCs/>
          <w:color w:val="00B0F0"/>
          <w:lang w:val="en-GB"/>
        </w:rPr>
        <w:t>IUPAC :</w:t>
      </w:r>
      <w:proofErr w:type="gramEnd"/>
      <w:r w:rsidRPr="000C77A9">
        <w:rPr>
          <w:i/>
          <w:iCs/>
          <w:color w:val="00B0F0"/>
          <w:lang w:val="en-GB"/>
        </w:rPr>
        <w:t xml:space="preserve"> The analytical composition of a </w:t>
      </w:r>
      <w:r w:rsidRPr="000C77A9">
        <w:rPr>
          <w:i/>
          <w:iCs/>
          <w:color w:val="00B0F0"/>
          <w:u w:val="single"/>
          <w:lang w:val="en-GB"/>
        </w:rPr>
        <w:t>saturated solution</w:t>
      </w:r>
      <w:r w:rsidRPr="000C77A9">
        <w:rPr>
          <w:i/>
          <w:iCs/>
          <w:color w:val="00B0F0"/>
          <w:lang w:val="en-GB"/>
        </w:rPr>
        <w:t>, expressed in terms of the proportion of a designated solute in a designated solvent, is the solubility of that solute. The solubility may be expressed as a concentration, molality, </w:t>
      </w:r>
      <w:r w:rsidRPr="000C77A9">
        <w:rPr>
          <w:i/>
          <w:iCs/>
          <w:color w:val="00B0F0"/>
          <w:u w:val="single"/>
          <w:lang w:val="en-GB"/>
        </w:rPr>
        <w:t>mole fraction</w:t>
      </w:r>
      <w:r w:rsidRPr="000C77A9">
        <w:rPr>
          <w:i/>
          <w:iCs/>
          <w:color w:val="00B0F0"/>
          <w:lang w:val="en-GB"/>
        </w:rPr>
        <w:t>, </w:t>
      </w:r>
      <w:r w:rsidRPr="000C77A9">
        <w:rPr>
          <w:i/>
          <w:iCs/>
          <w:color w:val="00B0F0"/>
          <w:u w:val="single"/>
          <w:lang w:val="en-GB"/>
        </w:rPr>
        <w:t>mole</w:t>
      </w:r>
      <w:r w:rsidRPr="000C77A9">
        <w:rPr>
          <w:i/>
          <w:iCs/>
          <w:color w:val="00B0F0"/>
          <w:lang w:val="en-GB"/>
        </w:rPr>
        <w:t> ratio, etc.</w:t>
      </w:r>
    </w:p>
    <w:p w:rsidR="000C77A9" w:rsidRPr="000C77A9" w:rsidRDefault="000C77A9" w:rsidP="00486264">
      <w:pPr>
        <w:pStyle w:val="Sansinterligne"/>
        <w:rPr>
          <w:lang w:val="en-GB"/>
        </w:rPr>
      </w:pPr>
    </w:p>
    <w:p w:rsidR="000C77A9" w:rsidRDefault="000C77A9" w:rsidP="00486264">
      <w:pPr>
        <w:pStyle w:val="Sansinterligne"/>
      </w:pPr>
      <w:r>
        <w:t xml:space="preserve">La </w:t>
      </w:r>
      <w:r>
        <w:rPr>
          <w:i/>
          <w:iCs/>
        </w:rPr>
        <w:t xml:space="preserve">solubilité </w:t>
      </w:r>
      <w:r>
        <w:t xml:space="preserve">d’un solvant correspond à sa capacité à dissoudre un soluté.  </w:t>
      </w:r>
    </w:p>
    <w:p w:rsidR="000C77A9" w:rsidRDefault="000C77A9" w:rsidP="00486264">
      <w:pPr>
        <w:pStyle w:val="Sansinterligne"/>
      </w:pPr>
    </w:p>
    <w:p w:rsidR="000C77A9" w:rsidRDefault="000C77A9" w:rsidP="00486264">
      <w:pPr>
        <w:pStyle w:val="Sansinterligne"/>
      </w:pPr>
      <w:r>
        <w:lastRenderedPageBreak/>
        <w:t>Le diiode qui est un composé apolaire semble plus soluble dans un solvant apolaire tel que le cyclohexane que dans un solvant polaire tel que l’eau.</w:t>
      </w:r>
    </w:p>
    <w:p w:rsidR="000C77A9" w:rsidRDefault="000C77A9" w:rsidP="00486264">
      <w:pPr>
        <w:pStyle w:val="Sansinterligne"/>
      </w:pPr>
    </w:p>
    <w:p w:rsidR="000C77A9" w:rsidRDefault="000C77A9" w:rsidP="00486264">
      <w:pPr>
        <w:pStyle w:val="Sansinterligne"/>
      </w:pPr>
      <w:r>
        <w:t>On retiendra la règle suivante : « les semblables dissolvent les semblables ».</w:t>
      </w:r>
    </w:p>
    <w:p w:rsidR="000C77A9" w:rsidRDefault="000C77A9" w:rsidP="00486264">
      <w:pPr>
        <w:pStyle w:val="Sansinterligne"/>
      </w:pPr>
    </w:p>
    <w:p w:rsidR="000C77A9" w:rsidRPr="004E09FD" w:rsidRDefault="00882A17" w:rsidP="00882A17">
      <w:pPr>
        <w:pStyle w:val="Sansinterligne"/>
        <w:numPr>
          <w:ilvl w:val="0"/>
          <w:numId w:val="37"/>
        </w:numPr>
        <w:rPr>
          <w:b/>
          <w:bCs/>
          <w:i/>
          <w:iCs/>
        </w:rPr>
      </w:pPr>
      <w:r w:rsidRPr="004E09FD">
        <w:rPr>
          <w:b/>
          <w:bCs/>
          <w:i/>
          <w:iCs/>
        </w:rPr>
        <w:t>Coefficient de partage</w:t>
      </w:r>
      <w:r w:rsidR="004E09FD">
        <w:rPr>
          <w:b/>
          <w:bCs/>
          <w:i/>
          <w:iCs/>
        </w:rPr>
        <w:t xml:space="preserve"> (passer cette partie car la manipulation quantitative est foireuse)</w:t>
      </w:r>
    </w:p>
    <w:p w:rsidR="00882A17" w:rsidRPr="004E09FD" w:rsidRDefault="00882A17" w:rsidP="00882A17">
      <w:pPr>
        <w:pStyle w:val="Sansinterligne"/>
        <w:rPr>
          <w:i/>
          <w:iCs/>
        </w:rPr>
      </w:pPr>
    </w:p>
    <w:p w:rsidR="00882A17" w:rsidRPr="004E09FD" w:rsidRDefault="00882A17" w:rsidP="0022289B">
      <w:pPr>
        <w:pStyle w:val="Sansinterligne"/>
        <w:pBdr>
          <w:left w:val="thinThickSmallGap" w:sz="24" w:space="4" w:color="FFC000"/>
        </w:pBdr>
        <w:rPr>
          <w:i/>
          <w:iCs/>
          <w:u w:val="single"/>
        </w:rPr>
      </w:pPr>
      <w:r w:rsidRPr="004E09FD">
        <w:rPr>
          <w:i/>
          <w:iCs/>
          <w:u w:val="single"/>
        </w:rPr>
        <w:t>Mesure du coefficient de partage du diiode dans l’eau et le cyclohexane :</w:t>
      </w:r>
    </w:p>
    <w:p w:rsidR="0022289B" w:rsidRPr="004E09FD" w:rsidRDefault="0022289B" w:rsidP="0022289B">
      <w:pPr>
        <w:pStyle w:val="Sansinterligne"/>
        <w:pBdr>
          <w:left w:val="thinThickSmallGap" w:sz="24" w:space="4" w:color="FFC000"/>
        </w:pBdr>
        <w:rPr>
          <w:i/>
          <w:iCs/>
        </w:rPr>
      </w:pPr>
      <w:r w:rsidRPr="004E09FD">
        <w:rPr>
          <w:i/>
          <w:iCs/>
        </w:rPr>
        <w:tab/>
        <w:t xml:space="preserve">L’objectif est de déterminer le coefficient de partage du diiode qui est de l’ordre de 70 à 20°C. </w:t>
      </w:r>
    </w:p>
    <w:p w:rsidR="0022289B" w:rsidRPr="004E09FD" w:rsidRDefault="0022289B" w:rsidP="0022289B">
      <w:pPr>
        <w:pStyle w:val="Sansinterligne"/>
        <w:pBdr>
          <w:left w:val="thinThickSmallGap" w:sz="24" w:space="4" w:color="FFC000"/>
        </w:pBdr>
        <w:rPr>
          <w:i/>
          <w:iCs/>
        </w:rPr>
      </w:pPr>
      <w:r w:rsidRPr="004E09FD">
        <w:rPr>
          <w:i/>
          <w:iCs/>
        </w:rPr>
        <w:tab/>
        <w:t>Ne pas oublier de discuter les incertitudes</w:t>
      </w:r>
    </w:p>
    <w:p w:rsidR="00882A17" w:rsidRDefault="00882A17" w:rsidP="00882A17">
      <w:pPr>
        <w:pStyle w:val="Sansinterligne"/>
        <w:rPr>
          <w:u w:val="single"/>
        </w:rPr>
      </w:pPr>
    </w:p>
    <w:p w:rsidR="004E09FD" w:rsidRDefault="004E09FD" w:rsidP="004E09FD">
      <w:pPr>
        <w:pStyle w:val="Sansinterligne"/>
        <w:jc w:val="center"/>
        <w:rPr>
          <w:u w:val="single"/>
        </w:rPr>
      </w:pPr>
      <w:r w:rsidRPr="004E09FD">
        <w:rPr>
          <w:u w:val="single"/>
        </w:rPr>
        <w:drawing>
          <wp:inline distT="0" distB="0" distL="0" distR="0" wp14:anchorId="3A9879FD" wp14:editId="5ADA6E4D">
            <wp:extent cx="2319867" cy="1304925"/>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1613" cy="1317157"/>
                    </a:xfrm>
                    <a:prstGeom prst="rect">
                      <a:avLst/>
                    </a:prstGeom>
                  </pic:spPr>
                </pic:pic>
              </a:graphicData>
            </a:graphic>
          </wp:inline>
        </w:drawing>
      </w:r>
      <w:r w:rsidRPr="004E09FD">
        <w:rPr>
          <w:u w:val="single"/>
        </w:rPr>
        <w:drawing>
          <wp:inline distT="0" distB="0" distL="0" distR="0" wp14:anchorId="51A5ED4F" wp14:editId="0147A66E">
            <wp:extent cx="2876550" cy="1618059"/>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2457" cy="1627006"/>
                    </a:xfrm>
                    <a:prstGeom prst="rect">
                      <a:avLst/>
                    </a:prstGeom>
                  </pic:spPr>
                </pic:pic>
              </a:graphicData>
            </a:graphic>
          </wp:inline>
        </w:drawing>
      </w:r>
    </w:p>
    <w:p w:rsidR="004E09FD" w:rsidRDefault="004E09FD" w:rsidP="004E09FD">
      <w:pPr>
        <w:pStyle w:val="Sansinterligne"/>
        <w:ind w:left="1080"/>
        <w:rPr>
          <w:b/>
          <w:bCs/>
        </w:rPr>
      </w:pPr>
    </w:p>
    <w:p w:rsidR="008424D6" w:rsidRDefault="008424D6" w:rsidP="008424D6">
      <w:pPr>
        <w:pStyle w:val="Sansinterligne"/>
        <w:numPr>
          <w:ilvl w:val="0"/>
          <w:numId w:val="37"/>
        </w:numPr>
        <w:rPr>
          <w:b/>
          <w:bCs/>
        </w:rPr>
      </w:pPr>
      <w:r>
        <w:rPr>
          <w:b/>
          <w:bCs/>
        </w:rPr>
        <w:t>Influence du solvant sur une réaction de substitution nucléophile d’ordre 1</w:t>
      </w:r>
    </w:p>
    <w:p w:rsidR="008424D6" w:rsidRDefault="008424D6" w:rsidP="008424D6">
      <w:pPr>
        <w:pStyle w:val="Sansinterligne"/>
      </w:pPr>
    </w:p>
    <w:p w:rsidR="008424D6" w:rsidRDefault="008424D6" w:rsidP="008424D6">
      <w:pPr>
        <w:pStyle w:val="Sansinterligne"/>
        <w:rPr>
          <w:color w:val="7030A0"/>
        </w:rPr>
      </w:pPr>
      <w:r>
        <w:rPr>
          <w:color w:val="7030A0"/>
        </w:rPr>
        <w:t>(Diapo) Présentation du mécanisme d’une substitution nucléophile d’ordre 1</w:t>
      </w:r>
    </w:p>
    <w:p w:rsidR="008424D6" w:rsidRDefault="008424D6" w:rsidP="008424D6">
      <w:pPr>
        <w:pStyle w:val="Sansinterligne"/>
        <w:rPr>
          <w:color w:val="7030A0"/>
        </w:rPr>
      </w:pPr>
    </w:p>
    <w:p w:rsidR="008424D6" w:rsidRDefault="008424D6" w:rsidP="008424D6">
      <w:pPr>
        <w:pStyle w:val="Sansinterligne"/>
      </w:pPr>
      <w:r>
        <w:t>On s’intéresse à la réaction suivante :</w:t>
      </w:r>
    </w:p>
    <w:p w:rsidR="008424D6" w:rsidRPr="00A06D5B" w:rsidRDefault="00DA1D27" w:rsidP="008424D6">
      <w:pPr>
        <w:tabs>
          <w:tab w:val="left" w:pos="560"/>
          <w:tab w:val="left" w:pos="1120"/>
        </w:tabs>
        <w:jc w:val="both"/>
        <w:rPr>
          <w:rFonts w:ascii="Calibri" w:hAnsi="Calibri"/>
        </w:rPr>
      </w:pPr>
      <m:oMathPara>
        <m:oMath>
          <m:sSup>
            <m:sSupPr>
              <m:ctrlPr>
                <w:rPr>
                  <w:rFonts w:ascii="Cambria Math" w:hAnsi="Cambria Math"/>
                  <w:i/>
                </w:rPr>
              </m:ctrlPr>
            </m:sSupPr>
            <m:e>
              <m:phant>
                <m:phantPr>
                  <m:show m:val="0"/>
                  <m:ctrlPr>
                    <w:rPr>
                      <w:rFonts w:ascii="Cambria Math" w:hAnsi="Cambria Math"/>
                    </w:rPr>
                  </m:ctrlPr>
                </m:phantPr>
                <m:e/>
              </m:phant>
              <m:ctrlPr>
                <w:rPr>
                  <w:rFonts w:ascii="Cambria Math" w:hAnsi="Cambria Math"/>
                </w:rPr>
              </m:ctrlPr>
            </m:e>
            <m:sup>
              <m:r>
                <w:rPr>
                  <w:rFonts w:ascii="Cambria Math" w:hAnsi="Cambria Math"/>
                </w:rPr>
                <m:t>t</m:t>
              </m:r>
            </m:sup>
          </m:sSup>
          <m:r>
            <w:rPr>
              <w:rFonts w:ascii="Cambria Math" w:hAnsi="Cambria Math"/>
            </w:rPr>
            <m:t>Bu-B</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solv</m:t>
                  </m:r>
                </m:e>
              </m:d>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m:rPr>
              <m:sty m:val="p"/>
            </m:rPr>
            <w:rPr>
              <w:rFonts w:ascii="Cambria Math" w:hAnsi="Cambria Math"/>
            </w:rPr>
            <m:t>⇄</m:t>
          </m:r>
          <m:sSup>
            <m:sSupPr>
              <m:ctrlPr>
                <w:rPr>
                  <w:rFonts w:ascii="Cambria Math" w:hAnsi="Cambria Math"/>
                  <w:i/>
                </w:rPr>
              </m:ctrlPr>
            </m:sSupPr>
            <m:e>
              <m:phant>
                <m:phantPr>
                  <m:show m:val="0"/>
                  <m:ctrlPr>
                    <w:rPr>
                      <w:rFonts w:ascii="Cambria Math" w:hAnsi="Cambria Math"/>
                    </w:rPr>
                  </m:ctrlPr>
                </m:phantPr>
                <m:e/>
              </m:phant>
              <m:ctrlPr>
                <w:rPr>
                  <w:rFonts w:ascii="Cambria Math" w:hAnsi="Cambria Math"/>
                </w:rPr>
              </m:ctrlPr>
            </m:e>
            <m:sup>
              <m:r>
                <w:rPr>
                  <w:rFonts w:ascii="Cambria Math" w:hAnsi="Cambria Math"/>
                </w:rPr>
                <m:t>t</m:t>
              </m:r>
            </m:sup>
          </m:sSup>
          <m:r>
            <w:rPr>
              <w:rFonts w:ascii="Cambria Math" w:hAnsi="Cambria Math"/>
            </w:rPr>
            <m:t>Bu-O</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solv</m:t>
                  </m:r>
                </m:e>
              </m:d>
            </m:sub>
          </m:sSub>
          <m:r>
            <w:rPr>
              <w:rFonts w:ascii="Cambria Math" w:hAnsi="Cambria Math"/>
            </w:rPr>
            <m:t>+</m:t>
          </m:r>
          <m:sSubSup>
            <m:sSubSupPr>
              <m:ctrlPr>
                <w:rPr>
                  <w:rFonts w:ascii="Cambria Math" w:hAnsi="Cambria Math"/>
                  <w:i/>
                </w:rPr>
              </m:ctrlPr>
            </m:sSubSupPr>
            <m:e>
              <m:r>
                <w:rPr>
                  <w:rFonts w:ascii="Cambria Math" w:hAnsi="Cambria Math"/>
                </w:rPr>
                <m:t>H</m:t>
              </m:r>
            </m:e>
            <m:sub>
              <m:d>
                <m:dPr>
                  <m:ctrlPr>
                    <w:rPr>
                      <w:rFonts w:ascii="Cambria Math" w:hAnsi="Cambria Math"/>
                      <w:i/>
                    </w:rPr>
                  </m:ctrlPr>
                </m:dPr>
                <m:e>
                  <m:r>
                    <w:rPr>
                      <w:rFonts w:ascii="Cambria Math" w:hAnsi="Cambria Math"/>
                    </w:rPr>
                    <m:t>solv</m:t>
                  </m:r>
                </m:e>
              </m:d>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r</m:t>
              </m:r>
            </m:e>
            <m:sub>
              <m:d>
                <m:dPr>
                  <m:ctrlPr>
                    <w:rPr>
                      <w:rFonts w:ascii="Cambria Math" w:hAnsi="Cambria Math"/>
                      <w:i/>
                    </w:rPr>
                  </m:ctrlPr>
                </m:dPr>
                <m:e>
                  <m:r>
                    <w:rPr>
                      <w:rFonts w:ascii="Cambria Math" w:hAnsi="Cambria Math"/>
                    </w:rPr>
                    <m:t>solv</m:t>
                  </m:r>
                </m:e>
              </m:d>
            </m:sub>
            <m:sup>
              <m:r>
                <w:rPr>
                  <w:rFonts w:ascii="Cambria Math" w:hAnsi="Cambria Math"/>
                </w:rPr>
                <m:t>-</m:t>
              </m:r>
            </m:sup>
          </m:sSubSup>
        </m:oMath>
      </m:oMathPara>
    </w:p>
    <w:p w:rsidR="008424D6" w:rsidRDefault="008424D6" w:rsidP="008424D6">
      <w:pPr>
        <w:pStyle w:val="Sansinterligne"/>
      </w:pPr>
      <w:r>
        <w:t>L’objectif étant de voir l’impact du solvant sur la cinétique de cette réaction.</w:t>
      </w:r>
    </w:p>
    <w:p w:rsidR="007035BF" w:rsidRDefault="007035BF" w:rsidP="008424D6">
      <w:pPr>
        <w:pStyle w:val="Sansinterligne"/>
      </w:pPr>
    </w:p>
    <w:p w:rsidR="007035BF" w:rsidRPr="007035BF" w:rsidRDefault="007035BF" w:rsidP="008424D6">
      <w:pPr>
        <w:pStyle w:val="Sansinterligne"/>
        <w:rPr>
          <w:color w:val="7030A0"/>
        </w:rPr>
      </w:pPr>
      <w:r>
        <w:rPr>
          <w:color w:val="7030A0"/>
        </w:rPr>
        <w:t>(Diapo) Cadre théorique de l’étude</w:t>
      </w:r>
    </w:p>
    <w:p w:rsidR="005F6079" w:rsidRDefault="005F6079" w:rsidP="008424D6">
      <w:pPr>
        <w:pStyle w:val="Sansinterligne"/>
      </w:pPr>
      <w:r>
        <w:t>Présentation de la cinétique : utilisation de la méthode de la dégénérescence de l’ordre.</w:t>
      </w:r>
    </w:p>
    <w:p w:rsidR="005F6079" w:rsidRPr="007035BF" w:rsidRDefault="007035BF" w:rsidP="007035BF">
      <w:pPr>
        <w:pStyle w:val="Sansinterligne"/>
      </w:pPr>
      <w:r>
        <w:t>Pour ne pas dépendre des conductivités aux instants initial et final, on peut effectuer une pseudo-méthode de Guggenheim</w:t>
      </w:r>
    </w:p>
    <w:p w:rsidR="002454C1" w:rsidRDefault="002454C1" w:rsidP="008424D6">
      <w:pPr>
        <w:pStyle w:val="Sansinterligne"/>
      </w:pPr>
    </w:p>
    <w:p w:rsidR="008424D6" w:rsidRDefault="008424D6" w:rsidP="008424D6">
      <w:pPr>
        <w:pStyle w:val="Sansinterligne"/>
      </w:pPr>
      <w:r>
        <w:t xml:space="preserve">Pour ce faire, on va utiliser deux mélanges de solvant différents </w:t>
      </w:r>
      <w:r w:rsidR="00CB19B5">
        <w:t>(voir modification du protocole)</w:t>
      </w:r>
    </w:p>
    <w:p w:rsidR="00CB19B5" w:rsidRDefault="00CB19B5" w:rsidP="008424D6">
      <w:pPr>
        <w:pStyle w:val="Sansinterligne"/>
      </w:pPr>
    </w:p>
    <w:p w:rsidR="00CB19B5" w:rsidRDefault="00CB19B5" w:rsidP="008424D6">
      <w:pPr>
        <w:pStyle w:val="Sansinterligne"/>
        <w:rPr>
          <w:color w:val="7030A0"/>
        </w:rPr>
      </w:pPr>
      <w:r>
        <w:rPr>
          <w:color w:val="7030A0"/>
        </w:rPr>
        <w:t>(Diapo) Présentation du tableau présentant les deux mélanges</w:t>
      </w:r>
    </w:p>
    <w:p w:rsidR="00CB19B5" w:rsidRDefault="00CB19B5" w:rsidP="00CB19B5">
      <w:pPr>
        <w:pStyle w:val="Sansinterligne"/>
      </w:pPr>
      <w:r>
        <w:tab/>
        <w:t xml:space="preserve">Insister sur le fait que la concentration en </w:t>
      </w:r>
      <w:proofErr w:type="spellStart"/>
      <w:r>
        <w:t>tertiobutyle</w:t>
      </w:r>
      <w:proofErr w:type="spellEnd"/>
      <w:r>
        <w:t xml:space="preserve"> est inchangée</w:t>
      </w:r>
    </w:p>
    <w:p w:rsidR="00CB19B5" w:rsidRDefault="00CB19B5" w:rsidP="00CB19B5">
      <w:pPr>
        <w:pStyle w:val="Sansinterligne"/>
      </w:pPr>
    </w:p>
    <w:p w:rsidR="002454C1" w:rsidRDefault="002454C1" w:rsidP="002454C1">
      <w:pPr>
        <w:pStyle w:val="Sansinterligne"/>
        <w:ind w:firstLine="708"/>
      </w:pPr>
      <w:r>
        <w:t>Conclusion : les constantes de vitesse apparentes sont différentes, ce qui implique bien que le solvant peut avoir un impact sur la cinétique de la réaction.</w:t>
      </w:r>
    </w:p>
    <w:p w:rsidR="000134FE" w:rsidRDefault="000134FE" w:rsidP="000134FE">
      <w:pPr>
        <w:pStyle w:val="Sansinterligne"/>
      </w:pPr>
    </w:p>
    <w:p w:rsidR="005902F2" w:rsidRDefault="005902F2" w:rsidP="000134FE">
      <w:pPr>
        <w:pStyle w:val="Sansinterligne"/>
        <w:rPr>
          <w:b/>
          <w:bCs/>
          <w:smallCaps/>
          <w:color w:val="FF0000"/>
        </w:rPr>
      </w:pPr>
    </w:p>
    <w:p w:rsidR="000134FE" w:rsidRDefault="000134FE" w:rsidP="000134FE">
      <w:pPr>
        <w:pStyle w:val="Sansinterligne"/>
        <w:rPr>
          <w:b/>
          <w:bCs/>
          <w:smallCaps/>
          <w:color w:val="FF0000"/>
        </w:rPr>
      </w:pPr>
      <w:r>
        <w:rPr>
          <w:b/>
          <w:bCs/>
          <w:smallCaps/>
          <w:color w:val="FF0000"/>
        </w:rPr>
        <w:t>Conclusion : Au cours de cette leçon, nous avons vu quelles sont les caractéristiques importantes des solvants pour les réactions chimiques.</w:t>
      </w:r>
    </w:p>
    <w:p w:rsidR="008E3BDD" w:rsidRDefault="008E3BDD" w:rsidP="000134FE">
      <w:pPr>
        <w:pStyle w:val="Sansinterligne"/>
        <w:rPr>
          <w:b/>
          <w:bCs/>
          <w:smallCaps/>
          <w:color w:val="FF0000"/>
        </w:rPr>
      </w:pPr>
      <w:r>
        <w:rPr>
          <w:b/>
          <w:bCs/>
          <w:smallCaps/>
          <w:color w:val="FF0000"/>
        </w:rPr>
        <w:t xml:space="preserve">Ces caractéristiques sont également importantes dans d’autres techniques expérimentales telles que les chromatographies ou la recristallisation. </w:t>
      </w:r>
    </w:p>
    <w:p w:rsidR="000134FE" w:rsidRPr="000134FE" w:rsidRDefault="000134FE" w:rsidP="000134FE">
      <w:pPr>
        <w:pStyle w:val="Sansinterligne"/>
        <w:rPr>
          <w:b/>
          <w:bCs/>
          <w:smallCaps/>
          <w:color w:val="FF0000"/>
        </w:rPr>
      </w:pPr>
      <w:r>
        <w:rPr>
          <w:b/>
          <w:bCs/>
          <w:smallCaps/>
          <w:color w:val="FF0000"/>
        </w:rPr>
        <w:t xml:space="preserve">Néanmoins, </w:t>
      </w:r>
      <w:r w:rsidR="00446529">
        <w:rPr>
          <w:b/>
          <w:bCs/>
          <w:smallCaps/>
          <w:color w:val="FF0000"/>
        </w:rPr>
        <w:t>d’autres caractéristiques sont à prendre en considération lorsqu’on envisage de réaliser une réaction chimique. en effet, comme pour tous les produi</w:t>
      </w:r>
      <w:bookmarkStart w:id="0" w:name="_GoBack"/>
      <w:bookmarkEnd w:id="0"/>
      <w:r w:rsidR="00446529">
        <w:rPr>
          <w:b/>
          <w:bCs/>
          <w:smallCaps/>
          <w:color w:val="FF0000"/>
        </w:rPr>
        <w:t xml:space="preserve">ts utilisés, nous devons nous intéresser à </w:t>
      </w:r>
      <w:r w:rsidR="00446529">
        <w:rPr>
          <w:b/>
          <w:bCs/>
          <w:smallCaps/>
          <w:color w:val="FF0000"/>
        </w:rPr>
        <w:lastRenderedPageBreak/>
        <w:t xml:space="preserve">la toxicité autant pour l’homme que pour l’environnement des solvants. Il s’agit de l’un des 12 points de la « chimie verte » définis par </w:t>
      </w:r>
      <w:proofErr w:type="spellStart"/>
      <w:r w:rsidR="00446529">
        <w:rPr>
          <w:b/>
          <w:bCs/>
          <w:smallCaps/>
          <w:color w:val="FF0000"/>
        </w:rPr>
        <w:t>Anastas</w:t>
      </w:r>
      <w:proofErr w:type="spellEnd"/>
      <w:r w:rsidR="00446529">
        <w:rPr>
          <w:b/>
          <w:bCs/>
          <w:smallCaps/>
          <w:color w:val="FF0000"/>
        </w:rPr>
        <w:t xml:space="preserve"> et Warner en 1991 (</w:t>
      </w:r>
      <w:proofErr w:type="spellStart"/>
      <w:r w:rsidR="00446529">
        <w:rPr>
          <w:b/>
          <w:bCs/>
          <w:smallCaps/>
          <w:color w:val="FF0000"/>
        </w:rPr>
        <w:t>cf</w:t>
      </w:r>
      <w:proofErr w:type="spellEnd"/>
      <w:r w:rsidR="00446529">
        <w:rPr>
          <w:b/>
          <w:bCs/>
          <w:smallCaps/>
          <w:color w:val="FF0000"/>
        </w:rPr>
        <w:t xml:space="preserve"> leçon 3).</w:t>
      </w:r>
    </w:p>
    <w:p w:rsidR="00CB19B5" w:rsidRPr="00CB19B5" w:rsidRDefault="00CB19B5" w:rsidP="00CB19B5">
      <w:pPr>
        <w:pStyle w:val="Sansinterligne"/>
      </w:pPr>
    </w:p>
    <w:sectPr w:rsidR="00CB19B5" w:rsidRPr="00CB19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D27" w:rsidRDefault="00DA1D27" w:rsidP="00A06968">
      <w:pPr>
        <w:spacing w:after="0" w:line="240" w:lineRule="auto"/>
      </w:pPr>
      <w:r>
        <w:separator/>
      </w:r>
    </w:p>
  </w:endnote>
  <w:endnote w:type="continuationSeparator" w:id="0">
    <w:p w:rsidR="00DA1D27" w:rsidRDefault="00DA1D27"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D27" w:rsidRDefault="00DA1D27" w:rsidP="00A06968">
      <w:pPr>
        <w:spacing w:after="0" w:line="240" w:lineRule="auto"/>
      </w:pPr>
      <w:r>
        <w:separator/>
      </w:r>
    </w:p>
  </w:footnote>
  <w:footnote w:type="continuationSeparator" w:id="0">
    <w:p w:rsidR="00DA1D27" w:rsidRDefault="00DA1D27" w:rsidP="00A0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9C8"/>
    <w:multiLevelType w:val="hybridMultilevel"/>
    <w:tmpl w:val="DCD8EC3A"/>
    <w:lvl w:ilvl="0" w:tplc="040C0011">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F0913"/>
    <w:multiLevelType w:val="hybridMultilevel"/>
    <w:tmpl w:val="72A6C170"/>
    <w:lvl w:ilvl="0" w:tplc="CFBAA6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80F5CE1"/>
    <w:multiLevelType w:val="hybridMultilevel"/>
    <w:tmpl w:val="0FFC7194"/>
    <w:lvl w:ilvl="0" w:tplc="9F76F31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8542B16"/>
    <w:multiLevelType w:val="hybridMultilevel"/>
    <w:tmpl w:val="93D03D32"/>
    <w:lvl w:ilvl="0" w:tplc="583A0E5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11758BA"/>
    <w:multiLevelType w:val="hybridMultilevel"/>
    <w:tmpl w:val="CB40CE02"/>
    <w:lvl w:ilvl="0" w:tplc="E694581E">
      <w:start w:val="1"/>
      <w:numFmt w:val="lowerLetter"/>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3BB0E88"/>
    <w:multiLevelType w:val="hybridMultilevel"/>
    <w:tmpl w:val="C37615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A56748"/>
    <w:multiLevelType w:val="hybridMultilevel"/>
    <w:tmpl w:val="B7523F70"/>
    <w:lvl w:ilvl="0" w:tplc="74F8E5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20701F94"/>
    <w:multiLevelType w:val="hybridMultilevel"/>
    <w:tmpl w:val="B8E0E98A"/>
    <w:lvl w:ilvl="0" w:tplc="66DCA0B4">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15:restartNumberingAfterBreak="0">
    <w:nsid w:val="208D0160"/>
    <w:multiLevelType w:val="hybridMultilevel"/>
    <w:tmpl w:val="DB7A5A2C"/>
    <w:lvl w:ilvl="0" w:tplc="C3E6D93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7970155"/>
    <w:multiLevelType w:val="hybridMultilevel"/>
    <w:tmpl w:val="75BC0E7A"/>
    <w:lvl w:ilvl="0" w:tplc="E23E16D6">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0" w15:restartNumberingAfterBreak="0">
    <w:nsid w:val="280862BB"/>
    <w:multiLevelType w:val="hybridMultilevel"/>
    <w:tmpl w:val="6D2CB8D2"/>
    <w:lvl w:ilvl="0" w:tplc="5CF2487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10722DA"/>
    <w:multiLevelType w:val="hybridMultilevel"/>
    <w:tmpl w:val="FF145722"/>
    <w:lvl w:ilvl="0" w:tplc="53F2019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8915EEA"/>
    <w:multiLevelType w:val="hybridMultilevel"/>
    <w:tmpl w:val="F4A2A2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881A62"/>
    <w:multiLevelType w:val="hybridMultilevel"/>
    <w:tmpl w:val="E920F420"/>
    <w:lvl w:ilvl="0" w:tplc="A246E58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603A66"/>
    <w:multiLevelType w:val="hybridMultilevel"/>
    <w:tmpl w:val="A2D8B618"/>
    <w:lvl w:ilvl="0" w:tplc="2272E5C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D2663FD"/>
    <w:multiLevelType w:val="hybridMultilevel"/>
    <w:tmpl w:val="83E6A8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D766BCC"/>
    <w:multiLevelType w:val="hybridMultilevel"/>
    <w:tmpl w:val="3C2CB95C"/>
    <w:lvl w:ilvl="0" w:tplc="7DAE0ED4">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8" w15:restartNumberingAfterBreak="0">
    <w:nsid w:val="4F362149"/>
    <w:multiLevelType w:val="hybridMultilevel"/>
    <w:tmpl w:val="3A7297D0"/>
    <w:lvl w:ilvl="0" w:tplc="B19C2EF4">
      <w:start w:val="1"/>
      <w:numFmt w:val="lowerLetter"/>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529A21E7"/>
    <w:multiLevelType w:val="hybridMultilevel"/>
    <w:tmpl w:val="53822ED8"/>
    <w:lvl w:ilvl="0" w:tplc="22CA211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551C6BD7"/>
    <w:multiLevelType w:val="hybridMultilevel"/>
    <w:tmpl w:val="72A6C170"/>
    <w:lvl w:ilvl="0" w:tplc="CFBAA6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566D61E4"/>
    <w:multiLevelType w:val="hybridMultilevel"/>
    <w:tmpl w:val="3A7297D0"/>
    <w:lvl w:ilvl="0" w:tplc="B19C2EF4">
      <w:start w:val="1"/>
      <w:numFmt w:val="lowerLetter"/>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573849E9"/>
    <w:multiLevelType w:val="hybridMultilevel"/>
    <w:tmpl w:val="3A54F9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CBD1711"/>
    <w:multiLevelType w:val="hybridMultilevel"/>
    <w:tmpl w:val="830E284C"/>
    <w:lvl w:ilvl="0" w:tplc="18327DE0">
      <w:start w:val="1"/>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4" w15:restartNumberingAfterBreak="0">
    <w:nsid w:val="68C04B8B"/>
    <w:multiLevelType w:val="hybridMultilevel"/>
    <w:tmpl w:val="26F284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9900635"/>
    <w:multiLevelType w:val="hybridMultilevel"/>
    <w:tmpl w:val="6DC489DE"/>
    <w:lvl w:ilvl="0" w:tplc="09DA38DA">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6" w15:restartNumberingAfterBreak="0">
    <w:nsid w:val="6FAD1261"/>
    <w:multiLevelType w:val="hybridMultilevel"/>
    <w:tmpl w:val="E23A71E4"/>
    <w:lvl w:ilvl="0" w:tplc="6E703B5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723C2EF7"/>
    <w:multiLevelType w:val="hybridMultilevel"/>
    <w:tmpl w:val="3E06FAC2"/>
    <w:lvl w:ilvl="0" w:tplc="1404379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6E157F2"/>
    <w:multiLevelType w:val="hybridMultilevel"/>
    <w:tmpl w:val="DBB89FA6"/>
    <w:lvl w:ilvl="0" w:tplc="BE429F9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9" w15:restartNumberingAfterBreak="0">
    <w:nsid w:val="79AB6AA5"/>
    <w:multiLevelType w:val="hybridMultilevel"/>
    <w:tmpl w:val="9E56F9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6767DA"/>
    <w:multiLevelType w:val="hybridMultilevel"/>
    <w:tmpl w:val="E662C594"/>
    <w:lvl w:ilvl="0" w:tplc="8EC0FEF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7C0C1BB0"/>
    <w:multiLevelType w:val="hybridMultilevel"/>
    <w:tmpl w:val="E3EC956A"/>
    <w:lvl w:ilvl="0" w:tplc="0E3C9454">
      <w:start w:val="1"/>
      <w:numFmt w:val="decimal"/>
      <w:lvlText w:val="%1)"/>
      <w:lvlJc w:val="left"/>
      <w:pPr>
        <w:ind w:left="720" w:hanging="360"/>
      </w:pPr>
      <w:rPr>
        <w:rFonts w:hint="default"/>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C563EC3"/>
    <w:multiLevelType w:val="hybridMultilevel"/>
    <w:tmpl w:val="89F876A6"/>
    <w:lvl w:ilvl="0" w:tplc="3760E83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7E1129D0"/>
    <w:multiLevelType w:val="hybridMultilevel"/>
    <w:tmpl w:val="A106F242"/>
    <w:lvl w:ilvl="0" w:tplc="A3F47A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15:restartNumberingAfterBreak="0">
    <w:nsid w:val="7EBE1197"/>
    <w:multiLevelType w:val="hybridMultilevel"/>
    <w:tmpl w:val="EA4E3F7C"/>
    <w:lvl w:ilvl="0" w:tplc="987A0D4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7F372B2D"/>
    <w:multiLevelType w:val="hybridMultilevel"/>
    <w:tmpl w:val="F0B84E76"/>
    <w:lvl w:ilvl="0" w:tplc="A5C4DF1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6" w15:restartNumberingAfterBreak="0">
    <w:nsid w:val="7FAF3763"/>
    <w:multiLevelType w:val="hybridMultilevel"/>
    <w:tmpl w:val="377841C4"/>
    <w:lvl w:ilvl="0" w:tplc="AE1AC9F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4"/>
  </w:num>
  <w:num w:numId="2">
    <w:abstractNumId w:val="31"/>
  </w:num>
  <w:num w:numId="3">
    <w:abstractNumId w:val="27"/>
  </w:num>
  <w:num w:numId="4">
    <w:abstractNumId w:val="34"/>
  </w:num>
  <w:num w:numId="5">
    <w:abstractNumId w:val="32"/>
  </w:num>
  <w:num w:numId="6">
    <w:abstractNumId w:val="16"/>
  </w:num>
  <w:num w:numId="7">
    <w:abstractNumId w:val="19"/>
  </w:num>
  <w:num w:numId="8">
    <w:abstractNumId w:val="23"/>
  </w:num>
  <w:num w:numId="9">
    <w:abstractNumId w:val="10"/>
  </w:num>
  <w:num w:numId="10">
    <w:abstractNumId w:val="6"/>
  </w:num>
  <w:num w:numId="11">
    <w:abstractNumId w:val="2"/>
  </w:num>
  <w:num w:numId="12">
    <w:abstractNumId w:val="25"/>
  </w:num>
  <w:num w:numId="13">
    <w:abstractNumId w:val="26"/>
  </w:num>
  <w:num w:numId="14">
    <w:abstractNumId w:val="17"/>
  </w:num>
  <w:num w:numId="15">
    <w:abstractNumId w:val="0"/>
  </w:num>
  <w:num w:numId="16">
    <w:abstractNumId w:val="4"/>
  </w:num>
  <w:num w:numId="17">
    <w:abstractNumId w:val="36"/>
  </w:num>
  <w:num w:numId="18">
    <w:abstractNumId w:val="35"/>
  </w:num>
  <w:num w:numId="19">
    <w:abstractNumId w:val="28"/>
  </w:num>
  <w:num w:numId="20">
    <w:abstractNumId w:val="7"/>
  </w:num>
  <w:num w:numId="21">
    <w:abstractNumId w:val="9"/>
  </w:num>
  <w:num w:numId="22">
    <w:abstractNumId w:val="29"/>
  </w:num>
  <w:num w:numId="23">
    <w:abstractNumId w:val="12"/>
  </w:num>
  <w:num w:numId="24">
    <w:abstractNumId w:val="5"/>
  </w:num>
  <w:num w:numId="25">
    <w:abstractNumId w:val="21"/>
  </w:num>
  <w:num w:numId="26">
    <w:abstractNumId w:val="18"/>
  </w:num>
  <w:num w:numId="27">
    <w:abstractNumId w:val="13"/>
  </w:num>
  <w:num w:numId="28">
    <w:abstractNumId w:val="30"/>
  </w:num>
  <w:num w:numId="29">
    <w:abstractNumId w:val="8"/>
  </w:num>
  <w:num w:numId="30">
    <w:abstractNumId w:val="22"/>
  </w:num>
  <w:num w:numId="31">
    <w:abstractNumId w:val="3"/>
  </w:num>
  <w:num w:numId="32">
    <w:abstractNumId w:val="15"/>
  </w:num>
  <w:num w:numId="33">
    <w:abstractNumId w:val="1"/>
  </w:num>
  <w:num w:numId="34">
    <w:abstractNumId w:val="20"/>
  </w:num>
  <w:num w:numId="35">
    <w:abstractNumId w:val="24"/>
  </w:num>
  <w:num w:numId="36">
    <w:abstractNumId w:val="11"/>
  </w:num>
  <w:num w:numId="37">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12601"/>
    <w:rsid w:val="000134FE"/>
    <w:rsid w:val="0001481E"/>
    <w:rsid w:val="00017335"/>
    <w:rsid w:val="000173F7"/>
    <w:rsid w:val="00022B75"/>
    <w:rsid w:val="00024DEC"/>
    <w:rsid w:val="00034414"/>
    <w:rsid w:val="00041BF6"/>
    <w:rsid w:val="000473AD"/>
    <w:rsid w:val="00057E0C"/>
    <w:rsid w:val="00061875"/>
    <w:rsid w:val="000652C5"/>
    <w:rsid w:val="00065C19"/>
    <w:rsid w:val="00066D69"/>
    <w:rsid w:val="0007304E"/>
    <w:rsid w:val="00073F91"/>
    <w:rsid w:val="00081460"/>
    <w:rsid w:val="00093D37"/>
    <w:rsid w:val="000948D4"/>
    <w:rsid w:val="000A3F8B"/>
    <w:rsid w:val="000A5834"/>
    <w:rsid w:val="000A758C"/>
    <w:rsid w:val="000A7AC8"/>
    <w:rsid w:val="000B6C12"/>
    <w:rsid w:val="000C01B5"/>
    <w:rsid w:val="000C0D39"/>
    <w:rsid w:val="000C188A"/>
    <w:rsid w:val="000C77A9"/>
    <w:rsid w:val="000C7C08"/>
    <w:rsid w:val="000D165D"/>
    <w:rsid w:val="000D1CA2"/>
    <w:rsid w:val="000D1FB2"/>
    <w:rsid w:val="000D2476"/>
    <w:rsid w:val="000D4731"/>
    <w:rsid w:val="000E1A27"/>
    <w:rsid w:val="000F58C8"/>
    <w:rsid w:val="000F59BF"/>
    <w:rsid w:val="000F5D77"/>
    <w:rsid w:val="001003E6"/>
    <w:rsid w:val="001013BA"/>
    <w:rsid w:val="0010158E"/>
    <w:rsid w:val="001037A3"/>
    <w:rsid w:val="00103E1F"/>
    <w:rsid w:val="001040CD"/>
    <w:rsid w:val="00104588"/>
    <w:rsid w:val="001045C2"/>
    <w:rsid w:val="001061B1"/>
    <w:rsid w:val="00107AF0"/>
    <w:rsid w:val="001126C7"/>
    <w:rsid w:val="00122226"/>
    <w:rsid w:val="001230F6"/>
    <w:rsid w:val="001269FA"/>
    <w:rsid w:val="001319A7"/>
    <w:rsid w:val="00131AA1"/>
    <w:rsid w:val="00132791"/>
    <w:rsid w:val="00132AD0"/>
    <w:rsid w:val="00143A40"/>
    <w:rsid w:val="00144A30"/>
    <w:rsid w:val="00146398"/>
    <w:rsid w:val="00150C8E"/>
    <w:rsid w:val="00151F76"/>
    <w:rsid w:val="00164527"/>
    <w:rsid w:val="001664B0"/>
    <w:rsid w:val="00174A06"/>
    <w:rsid w:val="001773BF"/>
    <w:rsid w:val="00177EBE"/>
    <w:rsid w:val="00191F3D"/>
    <w:rsid w:val="001A47CE"/>
    <w:rsid w:val="001A73EF"/>
    <w:rsid w:val="001B248F"/>
    <w:rsid w:val="001B3CA7"/>
    <w:rsid w:val="001C1A47"/>
    <w:rsid w:val="001C41D7"/>
    <w:rsid w:val="001C491B"/>
    <w:rsid w:val="001C5E23"/>
    <w:rsid w:val="001C7E3E"/>
    <w:rsid w:val="001D4532"/>
    <w:rsid w:val="001D6424"/>
    <w:rsid w:val="001E3A19"/>
    <w:rsid w:val="001E7D3C"/>
    <w:rsid w:val="001F6F61"/>
    <w:rsid w:val="001F7C8C"/>
    <w:rsid w:val="002017C6"/>
    <w:rsid w:val="00201AFD"/>
    <w:rsid w:val="00201BBC"/>
    <w:rsid w:val="0020275E"/>
    <w:rsid w:val="002137EE"/>
    <w:rsid w:val="00214B75"/>
    <w:rsid w:val="0022289B"/>
    <w:rsid w:val="002236B5"/>
    <w:rsid w:val="00234AD4"/>
    <w:rsid w:val="00235BA6"/>
    <w:rsid w:val="0024152D"/>
    <w:rsid w:val="00243CE4"/>
    <w:rsid w:val="002454C1"/>
    <w:rsid w:val="00255EF8"/>
    <w:rsid w:val="00271EA3"/>
    <w:rsid w:val="00275F0C"/>
    <w:rsid w:val="00276575"/>
    <w:rsid w:val="00281EE7"/>
    <w:rsid w:val="00284536"/>
    <w:rsid w:val="0029401E"/>
    <w:rsid w:val="002A685B"/>
    <w:rsid w:val="002B0CDC"/>
    <w:rsid w:val="002B3633"/>
    <w:rsid w:val="002C3750"/>
    <w:rsid w:val="002C6171"/>
    <w:rsid w:val="002C7747"/>
    <w:rsid w:val="002D162C"/>
    <w:rsid w:val="002D6EF0"/>
    <w:rsid w:val="002D6F0F"/>
    <w:rsid w:val="002D7D3A"/>
    <w:rsid w:val="002E3D67"/>
    <w:rsid w:val="002E52DA"/>
    <w:rsid w:val="002E7388"/>
    <w:rsid w:val="002F11EE"/>
    <w:rsid w:val="002F67AE"/>
    <w:rsid w:val="003019F5"/>
    <w:rsid w:val="00303CAD"/>
    <w:rsid w:val="00312058"/>
    <w:rsid w:val="003132FB"/>
    <w:rsid w:val="00316A07"/>
    <w:rsid w:val="00325F0B"/>
    <w:rsid w:val="00327864"/>
    <w:rsid w:val="00331C57"/>
    <w:rsid w:val="00333DAF"/>
    <w:rsid w:val="00336811"/>
    <w:rsid w:val="00337E24"/>
    <w:rsid w:val="003420A2"/>
    <w:rsid w:val="00343926"/>
    <w:rsid w:val="00346DD1"/>
    <w:rsid w:val="0034700F"/>
    <w:rsid w:val="00347B53"/>
    <w:rsid w:val="00353B0E"/>
    <w:rsid w:val="003568A7"/>
    <w:rsid w:val="00362383"/>
    <w:rsid w:val="00364ACF"/>
    <w:rsid w:val="00365C14"/>
    <w:rsid w:val="00365F03"/>
    <w:rsid w:val="00372E4B"/>
    <w:rsid w:val="003749EE"/>
    <w:rsid w:val="00380C12"/>
    <w:rsid w:val="00382EC4"/>
    <w:rsid w:val="00391852"/>
    <w:rsid w:val="00394708"/>
    <w:rsid w:val="0039588D"/>
    <w:rsid w:val="00397DD1"/>
    <w:rsid w:val="003A0755"/>
    <w:rsid w:val="003A11A8"/>
    <w:rsid w:val="003A41D4"/>
    <w:rsid w:val="003A5853"/>
    <w:rsid w:val="003B1033"/>
    <w:rsid w:val="003B10D7"/>
    <w:rsid w:val="003B1452"/>
    <w:rsid w:val="003C3C6C"/>
    <w:rsid w:val="003C58FC"/>
    <w:rsid w:val="003C5C63"/>
    <w:rsid w:val="003C684E"/>
    <w:rsid w:val="003D0FFB"/>
    <w:rsid w:val="003D2915"/>
    <w:rsid w:val="003D64C9"/>
    <w:rsid w:val="003D7B08"/>
    <w:rsid w:val="003F45E6"/>
    <w:rsid w:val="003F6819"/>
    <w:rsid w:val="003F7BEB"/>
    <w:rsid w:val="00404A13"/>
    <w:rsid w:val="00410CBA"/>
    <w:rsid w:val="00410D01"/>
    <w:rsid w:val="00414F6D"/>
    <w:rsid w:val="00415A6B"/>
    <w:rsid w:val="00415E7E"/>
    <w:rsid w:val="004214CF"/>
    <w:rsid w:val="00423622"/>
    <w:rsid w:val="00424073"/>
    <w:rsid w:val="0042492A"/>
    <w:rsid w:val="00424DAA"/>
    <w:rsid w:val="0043131D"/>
    <w:rsid w:val="0043486F"/>
    <w:rsid w:val="00434FBE"/>
    <w:rsid w:val="00446529"/>
    <w:rsid w:val="0044673E"/>
    <w:rsid w:val="00450B76"/>
    <w:rsid w:val="0045118E"/>
    <w:rsid w:val="004546BC"/>
    <w:rsid w:val="004566A8"/>
    <w:rsid w:val="0046144E"/>
    <w:rsid w:val="00462B7C"/>
    <w:rsid w:val="004668DD"/>
    <w:rsid w:val="004706DE"/>
    <w:rsid w:val="004739E4"/>
    <w:rsid w:val="00477629"/>
    <w:rsid w:val="00480139"/>
    <w:rsid w:val="00480C50"/>
    <w:rsid w:val="00485038"/>
    <w:rsid w:val="00486264"/>
    <w:rsid w:val="004923C1"/>
    <w:rsid w:val="004923CE"/>
    <w:rsid w:val="004A0174"/>
    <w:rsid w:val="004A2568"/>
    <w:rsid w:val="004A4892"/>
    <w:rsid w:val="004A7863"/>
    <w:rsid w:val="004C0448"/>
    <w:rsid w:val="004D0305"/>
    <w:rsid w:val="004D3FBD"/>
    <w:rsid w:val="004E09FD"/>
    <w:rsid w:val="004E1A8E"/>
    <w:rsid w:val="004E4543"/>
    <w:rsid w:val="004F4BD2"/>
    <w:rsid w:val="004F7221"/>
    <w:rsid w:val="004F7224"/>
    <w:rsid w:val="004F7246"/>
    <w:rsid w:val="00502D5A"/>
    <w:rsid w:val="005113F8"/>
    <w:rsid w:val="00513BAD"/>
    <w:rsid w:val="005163D0"/>
    <w:rsid w:val="0052245C"/>
    <w:rsid w:val="00522873"/>
    <w:rsid w:val="00523F00"/>
    <w:rsid w:val="005254B2"/>
    <w:rsid w:val="005269AD"/>
    <w:rsid w:val="00531010"/>
    <w:rsid w:val="0054320B"/>
    <w:rsid w:val="005435AB"/>
    <w:rsid w:val="005520AF"/>
    <w:rsid w:val="005540D3"/>
    <w:rsid w:val="00556386"/>
    <w:rsid w:val="00565EC7"/>
    <w:rsid w:val="005675EA"/>
    <w:rsid w:val="00567F55"/>
    <w:rsid w:val="00572DC9"/>
    <w:rsid w:val="005763BF"/>
    <w:rsid w:val="00577C64"/>
    <w:rsid w:val="00580015"/>
    <w:rsid w:val="00583083"/>
    <w:rsid w:val="00585E31"/>
    <w:rsid w:val="005902F2"/>
    <w:rsid w:val="00590A52"/>
    <w:rsid w:val="00595CBE"/>
    <w:rsid w:val="00596FED"/>
    <w:rsid w:val="00597AAF"/>
    <w:rsid w:val="005A3332"/>
    <w:rsid w:val="005A7039"/>
    <w:rsid w:val="005A7EB9"/>
    <w:rsid w:val="005B6C6D"/>
    <w:rsid w:val="005C01F8"/>
    <w:rsid w:val="005C2121"/>
    <w:rsid w:val="005C5C7D"/>
    <w:rsid w:val="005D10E8"/>
    <w:rsid w:val="005D1215"/>
    <w:rsid w:val="005D475F"/>
    <w:rsid w:val="005E75F4"/>
    <w:rsid w:val="005F6079"/>
    <w:rsid w:val="005F60DF"/>
    <w:rsid w:val="006017E7"/>
    <w:rsid w:val="00603B2A"/>
    <w:rsid w:val="006054B6"/>
    <w:rsid w:val="006058B6"/>
    <w:rsid w:val="00606A80"/>
    <w:rsid w:val="00610A89"/>
    <w:rsid w:val="00611ACD"/>
    <w:rsid w:val="00615239"/>
    <w:rsid w:val="00616DF9"/>
    <w:rsid w:val="0062291D"/>
    <w:rsid w:val="00623708"/>
    <w:rsid w:val="0062394A"/>
    <w:rsid w:val="00625E1D"/>
    <w:rsid w:val="00626898"/>
    <w:rsid w:val="006312BA"/>
    <w:rsid w:val="006365A1"/>
    <w:rsid w:val="00636E43"/>
    <w:rsid w:val="006446DB"/>
    <w:rsid w:val="006530EC"/>
    <w:rsid w:val="00661F5B"/>
    <w:rsid w:val="0067448A"/>
    <w:rsid w:val="00677B15"/>
    <w:rsid w:val="00687027"/>
    <w:rsid w:val="006873A5"/>
    <w:rsid w:val="00691B68"/>
    <w:rsid w:val="006A3317"/>
    <w:rsid w:val="006A3CF6"/>
    <w:rsid w:val="006A3F21"/>
    <w:rsid w:val="006A5CF0"/>
    <w:rsid w:val="006B0D7E"/>
    <w:rsid w:val="006B4A1A"/>
    <w:rsid w:val="006B6180"/>
    <w:rsid w:val="006B61B8"/>
    <w:rsid w:val="006C4EDF"/>
    <w:rsid w:val="006D17AC"/>
    <w:rsid w:val="006D21DD"/>
    <w:rsid w:val="006D384C"/>
    <w:rsid w:val="006D67AB"/>
    <w:rsid w:val="006E25ED"/>
    <w:rsid w:val="006E77CE"/>
    <w:rsid w:val="006F0B13"/>
    <w:rsid w:val="006F3382"/>
    <w:rsid w:val="00702DB7"/>
    <w:rsid w:val="007035BF"/>
    <w:rsid w:val="00703ED7"/>
    <w:rsid w:val="00704C19"/>
    <w:rsid w:val="00706389"/>
    <w:rsid w:val="00711C2C"/>
    <w:rsid w:val="00711E27"/>
    <w:rsid w:val="00714497"/>
    <w:rsid w:val="007226DF"/>
    <w:rsid w:val="00725AC1"/>
    <w:rsid w:val="007320CA"/>
    <w:rsid w:val="00732327"/>
    <w:rsid w:val="0073353F"/>
    <w:rsid w:val="00735F1E"/>
    <w:rsid w:val="00736405"/>
    <w:rsid w:val="00750363"/>
    <w:rsid w:val="0075075D"/>
    <w:rsid w:val="00751138"/>
    <w:rsid w:val="0075642B"/>
    <w:rsid w:val="00761A31"/>
    <w:rsid w:val="0076223C"/>
    <w:rsid w:val="00763F20"/>
    <w:rsid w:val="007671C0"/>
    <w:rsid w:val="00767647"/>
    <w:rsid w:val="007721EA"/>
    <w:rsid w:val="00777AD5"/>
    <w:rsid w:val="00777B95"/>
    <w:rsid w:val="00777E66"/>
    <w:rsid w:val="00784621"/>
    <w:rsid w:val="00787B1B"/>
    <w:rsid w:val="007908D7"/>
    <w:rsid w:val="00795797"/>
    <w:rsid w:val="00796489"/>
    <w:rsid w:val="007A1289"/>
    <w:rsid w:val="007A3F09"/>
    <w:rsid w:val="007A4BC0"/>
    <w:rsid w:val="007B21F3"/>
    <w:rsid w:val="007B5DA2"/>
    <w:rsid w:val="007C077C"/>
    <w:rsid w:val="007D101A"/>
    <w:rsid w:val="007E3221"/>
    <w:rsid w:val="007E4AAA"/>
    <w:rsid w:val="007F30DC"/>
    <w:rsid w:val="00810A1C"/>
    <w:rsid w:val="00812C4E"/>
    <w:rsid w:val="0081434B"/>
    <w:rsid w:val="00817A2A"/>
    <w:rsid w:val="008217A3"/>
    <w:rsid w:val="00822BD8"/>
    <w:rsid w:val="00825271"/>
    <w:rsid w:val="00826E0A"/>
    <w:rsid w:val="008379EC"/>
    <w:rsid w:val="008424D6"/>
    <w:rsid w:val="00843FF9"/>
    <w:rsid w:val="0084427E"/>
    <w:rsid w:val="008563F1"/>
    <w:rsid w:val="008616EF"/>
    <w:rsid w:val="00865677"/>
    <w:rsid w:val="00867CE1"/>
    <w:rsid w:val="008762FE"/>
    <w:rsid w:val="00882A17"/>
    <w:rsid w:val="008868B5"/>
    <w:rsid w:val="008920C0"/>
    <w:rsid w:val="00894402"/>
    <w:rsid w:val="0089608E"/>
    <w:rsid w:val="008A42ED"/>
    <w:rsid w:val="008E198C"/>
    <w:rsid w:val="008E2DC5"/>
    <w:rsid w:val="008E2E7A"/>
    <w:rsid w:val="008E30BB"/>
    <w:rsid w:val="008E3BDD"/>
    <w:rsid w:val="008E5663"/>
    <w:rsid w:val="008E64D2"/>
    <w:rsid w:val="008E678A"/>
    <w:rsid w:val="008F1EBF"/>
    <w:rsid w:val="008F75C7"/>
    <w:rsid w:val="00901CF4"/>
    <w:rsid w:val="00904622"/>
    <w:rsid w:val="0090604C"/>
    <w:rsid w:val="00906D7D"/>
    <w:rsid w:val="00913DE0"/>
    <w:rsid w:val="0092180E"/>
    <w:rsid w:val="00927509"/>
    <w:rsid w:val="00934FED"/>
    <w:rsid w:val="00935470"/>
    <w:rsid w:val="00936624"/>
    <w:rsid w:val="009367CB"/>
    <w:rsid w:val="00937013"/>
    <w:rsid w:val="009407DC"/>
    <w:rsid w:val="009411DF"/>
    <w:rsid w:val="0094221C"/>
    <w:rsid w:val="00943ECF"/>
    <w:rsid w:val="00944154"/>
    <w:rsid w:val="00947486"/>
    <w:rsid w:val="00955600"/>
    <w:rsid w:val="00955DA4"/>
    <w:rsid w:val="009568BA"/>
    <w:rsid w:val="00957974"/>
    <w:rsid w:val="00961670"/>
    <w:rsid w:val="0096666F"/>
    <w:rsid w:val="0096671B"/>
    <w:rsid w:val="00967F13"/>
    <w:rsid w:val="00973284"/>
    <w:rsid w:val="00973B26"/>
    <w:rsid w:val="00977E46"/>
    <w:rsid w:val="00983D50"/>
    <w:rsid w:val="00986918"/>
    <w:rsid w:val="0099797E"/>
    <w:rsid w:val="00997D51"/>
    <w:rsid w:val="009A21F6"/>
    <w:rsid w:val="009A7D39"/>
    <w:rsid w:val="009B3A3E"/>
    <w:rsid w:val="009B6084"/>
    <w:rsid w:val="009B74DF"/>
    <w:rsid w:val="009C397F"/>
    <w:rsid w:val="009D381E"/>
    <w:rsid w:val="009D5F3A"/>
    <w:rsid w:val="009D6D66"/>
    <w:rsid w:val="009E0E46"/>
    <w:rsid w:val="009E6E05"/>
    <w:rsid w:val="009E7162"/>
    <w:rsid w:val="009E7DB8"/>
    <w:rsid w:val="009F3FB8"/>
    <w:rsid w:val="00A0202C"/>
    <w:rsid w:val="00A0266A"/>
    <w:rsid w:val="00A02749"/>
    <w:rsid w:val="00A028B3"/>
    <w:rsid w:val="00A046F7"/>
    <w:rsid w:val="00A06968"/>
    <w:rsid w:val="00A16433"/>
    <w:rsid w:val="00A27575"/>
    <w:rsid w:val="00A3207E"/>
    <w:rsid w:val="00A32C9F"/>
    <w:rsid w:val="00A37009"/>
    <w:rsid w:val="00A432F4"/>
    <w:rsid w:val="00A455A2"/>
    <w:rsid w:val="00A570E4"/>
    <w:rsid w:val="00A6361F"/>
    <w:rsid w:val="00A63CAF"/>
    <w:rsid w:val="00A6497D"/>
    <w:rsid w:val="00A70AEC"/>
    <w:rsid w:val="00A744F7"/>
    <w:rsid w:val="00A83C2D"/>
    <w:rsid w:val="00A91D7D"/>
    <w:rsid w:val="00A93F6B"/>
    <w:rsid w:val="00A9541D"/>
    <w:rsid w:val="00A95741"/>
    <w:rsid w:val="00AA497F"/>
    <w:rsid w:val="00AA4B52"/>
    <w:rsid w:val="00AA5F0C"/>
    <w:rsid w:val="00AA7063"/>
    <w:rsid w:val="00AB0E25"/>
    <w:rsid w:val="00AB324D"/>
    <w:rsid w:val="00AB4D3A"/>
    <w:rsid w:val="00AC2AFB"/>
    <w:rsid w:val="00AC65F2"/>
    <w:rsid w:val="00AC7B2D"/>
    <w:rsid w:val="00AC7D3F"/>
    <w:rsid w:val="00AD1B0F"/>
    <w:rsid w:val="00AE6DE8"/>
    <w:rsid w:val="00AF1CE8"/>
    <w:rsid w:val="00AF6892"/>
    <w:rsid w:val="00AF7FB2"/>
    <w:rsid w:val="00B01C67"/>
    <w:rsid w:val="00B170E9"/>
    <w:rsid w:val="00B21D0D"/>
    <w:rsid w:val="00B30344"/>
    <w:rsid w:val="00B53226"/>
    <w:rsid w:val="00B5405F"/>
    <w:rsid w:val="00B54FC9"/>
    <w:rsid w:val="00B563E0"/>
    <w:rsid w:val="00B60143"/>
    <w:rsid w:val="00B65F39"/>
    <w:rsid w:val="00B67BC0"/>
    <w:rsid w:val="00B71C3B"/>
    <w:rsid w:val="00B72BC5"/>
    <w:rsid w:val="00B73CCD"/>
    <w:rsid w:val="00B746FC"/>
    <w:rsid w:val="00B760BB"/>
    <w:rsid w:val="00B83E2D"/>
    <w:rsid w:val="00B875FB"/>
    <w:rsid w:val="00B91169"/>
    <w:rsid w:val="00BA11A1"/>
    <w:rsid w:val="00BA5778"/>
    <w:rsid w:val="00BB121A"/>
    <w:rsid w:val="00BC1AAE"/>
    <w:rsid w:val="00BC4191"/>
    <w:rsid w:val="00BC4E24"/>
    <w:rsid w:val="00BD0A9A"/>
    <w:rsid w:val="00BD2A4B"/>
    <w:rsid w:val="00BD418D"/>
    <w:rsid w:val="00BD52A9"/>
    <w:rsid w:val="00BD5B03"/>
    <w:rsid w:val="00BE047C"/>
    <w:rsid w:val="00BE0F62"/>
    <w:rsid w:val="00BE5F7F"/>
    <w:rsid w:val="00BE77E6"/>
    <w:rsid w:val="00BF2FF3"/>
    <w:rsid w:val="00BF35AB"/>
    <w:rsid w:val="00BF484B"/>
    <w:rsid w:val="00BF5339"/>
    <w:rsid w:val="00BF7261"/>
    <w:rsid w:val="00BF79E2"/>
    <w:rsid w:val="00C11BB8"/>
    <w:rsid w:val="00C14B73"/>
    <w:rsid w:val="00C219DF"/>
    <w:rsid w:val="00C24BB9"/>
    <w:rsid w:val="00C27105"/>
    <w:rsid w:val="00C3006D"/>
    <w:rsid w:val="00C40282"/>
    <w:rsid w:val="00C52A29"/>
    <w:rsid w:val="00C5522B"/>
    <w:rsid w:val="00C57081"/>
    <w:rsid w:val="00C606BE"/>
    <w:rsid w:val="00C66547"/>
    <w:rsid w:val="00C711C8"/>
    <w:rsid w:val="00C7127F"/>
    <w:rsid w:val="00C921F1"/>
    <w:rsid w:val="00C94886"/>
    <w:rsid w:val="00C95BE0"/>
    <w:rsid w:val="00CA211B"/>
    <w:rsid w:val="00CA31DC"/>
    <w:rsid w:val="00CA35C4"/>
    <w:rsid w:val="00CA50B8"/>
    <w:rsid w:val="00CA60C3"/>
    <w:rsid w:val="00CA7DC9"/>
    <w:rsid w:val="00CB19B5"/>
    <w:rsid w:val="00CB5BF8"/>
    <w:rsid w:val="00CC4FED"/>
    <w:rsid w:val="00CD0C76"/>
    <w:rsid w:val="00CD1BB3"/>
    <w:rsid w:val="00CD5194"/>
    <w:rsid w:val="00CD7D15"/>
    <w:rsid w:val="00CE0300"/>
    <w:rsid w:val="00CE0314"/>
    <w:rsid w:val="00CF1944"/>
    <w:rsid w:val="00CF5A80"/>
    <w:rsid w:val="00CF7603"/>
    <w:rsid w:val="00D01835"/>
    <w:rsid w:val="00D032E9"/>
    <w:rsid w:val="00D0584B"/>
    <w:rsid w:val="00D13DF6"/>
    <w:rsid w:val="00D23EF2"/>
    <w:rsid w:val="00D24F3E"/>
    <w:rsid w:val="00D27564"/>
    <w:rsid w:val="00D34A2D"/>
    <w:rsid w:val="00D34DAF"/>
    <w:rsid w:val="00D401A1"/>
    <w:rsid w:val="00D408D1"/>
    <w:rsid w:val="00D42BBD"/>
    <w:rsid w:val="00D45EE5"/>
    <w:rsid w:val="00D5137C"/>
    <w:rsid w:val="00D51752"/>
    <w:rsid w:val="00D53EA2"/>
    <w:rsid w:val="00D5422F"/>
    <w:rsid w:val="00D56655"/>
    <w:rsid w:val="00D56C6A"/>
    <w:rsid w:val="00D642E3"/>
    <w:rsid w:val="00D71276"/>
    <w:rsid w:val="00D74BC6"/>
    <w:rsid w:val="00D75FCC"/>
    <w:rsid w:val="00D8117E"/>
    <w:rsid w:val="00D869FD"/>
    <w:rsid w:val="00D94509"/>
    <w:rsid w:val="00DA1D27"/>
    <w:rsid w:val="00DA1F43"/>
    <w:rsid w:val="00DA404B"/>
    <w:rsid w:val="00DB12DF"/>
    <w:rsid w:val="00DB324B"/>
    <w:rsid w:val="00DB3DBB"/>
    <w:rsid w:val="00DC141B"/>
    <w:rsid w:val="00DC2696"/>
    <w:rsid w:val="00DC3B55"/>
    <w:rsid w:val="00DC3CEB"/>
    <w:rsid w:val="00DC59F6"/>
    <w:rsid w:val="00DE0CE6"/>
    <w:rsid w:val="00DE6DEE"/>
    <w:rsid w:val="00DE7CAB"/>
    <w:rsid w:val="00DF228E"/>
    <w:rsid w:val="00DF39F8"/>
    <w:rsid w:val="00DF4D4E"/>
    <w:rsid w:val="00E0185A"/>
    <w:rsid w:val="00E041CB"/>
    <w:rsid w:val="00E05BA5"/>
    <w:rsid w:val="00E07A1A"/>
    <w:rsid w:val="00E11454"/>
    <w:rsid w:val="00E11A46"/>
    <w:rsid w:val="00E35ED8"/>
    <w:rsid w:val="00E36FA0"/>
    <w:rsid w:val="00E43396"/>
    <w:rsid w:val="00E5418F"/>
    <w:rsid w:val="00E63AA7"/>
    <w:rsid w:val="00E67CFF"/>
    <w:rsid w:val="00E84457"/>
    <w:rsid w:val="00E879DC"/>
    <w:rsid w:val="00E91A36"/>
    <w:rsid w:val="00E924D9"/>
    <w:rsid w:val="00E93520"/>
    <w:rsid w:val="00E94F16"/>
    <w:rsid w:val="00EA0BC5"/>
    <w:rsid w:val="00EA2097"/>
    <w:rsid w:val="00EA2509"/>
    <w:rsid w:val="00EA3B03"/>
    <w:rsid w:val="00EB3182"/>
    <w:rsid w:val="00EB3E8F"/>
    <w:rsid w:val="00EC7112"/>
    <w:rsid w:val="00ED7DF2"/>
    <w:rsid w:val="00EE4570"/>
    <w:rsid w:val="00EE4583"/>
    <w:rsid w:val="00EE611E"/>
    <w:rsid w:val="00EF2337"/>
    <w:rsid w:val="00EF4DC5"/>
    <w:rsid w:val="00EF6134"/>
    <w:rsid w:val="00F014FD"/>
    <w:rsid w:val="00F11818"/>
    <w:rsid w:val="00F22DE9"/>
    <w:rsid w:val="00F22F8A"/>
    <w:rsid w:val="00F23204"/>
    <w:rsid w:val="00F3172E"/>
    <w:rsid w:val="00F31FF5"/>
    <w:rsid w:val="00F32760"/>
    <w:rsid w:val="00F42309"/>
    <w:rsid w:val="00F4371F"/>
    <w:rsid w:val="00F47A2A"/>
    <w:rsid w:val="00F52F72"/>
    <w:rsid w:val="00F5318B"/>
    <w:rsid w:val="00F55E05"/>
    <w:rsid w:val="00F564E1"/>
    <w:rsid w:val="00F73571"/>
    <w:rsid w:val="00F75763"/>
    <w:rsid w:val="00F773FB"/>
    <w:rsid w:val="00F823B3"/>
    <w:rsid w:val="00F904AF"/>
    <w:rsid w:val="00F944C6"/>
    <w:rsid w:val="00FA28F7"/>
    <w:rsid w:val="00FB1997"/>
    <w:rsid w:val="00FB7042"/>
    <w:rsid w:val="00FC01EF"/>
    <w:rsid w:val="00FC481E"/>
    <w:rsid w:val="00FC7637"/>
    <w:rsid w:val="00FC7E11"/>
    <w:rsid w:val="00FD0C66"/>
    <w:rsid w:val="00FD2A5C"/>
    <w:rsid w:val="00FD5869"/>
    <w:rsid w:val="00FF14D8"/>
    <w:rsid w:val="00FF37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575C"/>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642078587">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 w:id="1397165125">
      <w:bodyDiv w:val="1"/>
      <w:marLeft w:val="0"/>
      <w:marRight w:val="0"/>
      <w:marTop w:val="0"/>
      <w:marBottom w:val="0"/>
      <w:divBdr>
        <w:top w:val="none" w:sz="0" w:space="0" w:color="auto"/>
        <w:left w:val="none" w:sz="0" w:space="0" w:color="auto"/>
        <w:bottom w:val="none" w:sz="0" w:space="0" w:color="auto"/>
        <w:right w:val="none" w:sz="0" w:space="0" w:color="auto"/>
      </w:divBdr>
    </w:div>
    <w:div w:id="1601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youtube.com/watch?v=svcTMOuKQdc" TargetMode="External"/><Relationship Id="rId4" Type="http://schemas.openxmlformats.org/officeDocument/2006/relationships/settings" Target="settings.xml"/><Relationship Id="rId9" Type="http://schemas.openxmlformats.org/officeDocument/2006/relationships/hyperlink" Target="https://youtu.be/vaKiUgwu4hY?t=20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7B7E1-8906-4CA3-BECC-54547CDA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7140</TotalTime>
  <Pages>5</Pages>
  <Words>1402</Words>
  <Characters>7712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314</cp:revision>
  <dcterms:created xsi:type="dcterms:W3CDTF">2020-03-15T12:13:00Z</dcterms:created>
  <dcterms:modified xsi:type="dcterms:W3CDTF">2020-06-15T13:33:00Z</dcterms:modified>
</cp:coreProperties>
</file>