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55B" w:rsidRPr="005F055B" w:rsidRDefault="00EE39F8" w:rsidP="00B25537">
      <w:pPr>
        <w:pStyle w:val="Sansinterligne"/>
        <w:pBdr>
          <w:top w:val="single" w:sz="4" w:space="1" w:color="auto"/>
          <w:left w:val="single" w:sz="4" w:space="4" w:color="auto"/>
          <w:bottom w:val="single" w:sz="4" w:space="1" w:color="auto"/>
          <w:right w:val="single" w:sz="4" w:space="4" w:color="auto"/>
        </w:pBdr>
        <w:jc w:val="center"/>
        <w:rPr>
          <w:b/>
          <w:sz w:val="24"/>
        </w:rPr>
      </w:pPr>
      <w:r>
        <w:rPr>
          <w:b/>
          <w:sz w:val="24"/>
        </w:rPr>
        <w:t>Détermination du coefficient de partage du diiode entre l’eau et le cyclohexane</w:t>
      </w:r>
    </w:p>
    <w:p w:rsidR="005F055B" w:rsidRDefault="005F055B" w:rsidP="005F055B">
      <w:pPr>
        <w:pStyle w:val="Sansinterligne"/>
        <w:rPr>
          <w:i/>
        </w:rPr>
      </w:pPr>
      <w:r>
        <w:rPr>
          <w:i/>
        </w:rPr>
        <w:t xml:space="preserve">Référence : </w:t>
      </w:r>
      <w:bookmarkStart w:id="0" w:name="OLE_LINK1"/>
      <w:bookmarkStart w:id="1" w:name="_GoBack"/>
      <w:r w:rsidR="00EE39F8">
        <w:rPr>
          <w:i/>
        </w:rPr>
        <w:t xml:space="preserve">Florilège de chimie pratique par Florence </w:t>
      </w:r>
      <w:proofErr w:type="spellStart"/>
      <w:r w:rsidR="00EE39F8">
        <w:rPr>
          <w:i/>
        </w:rPr>
        <w:t>Daumarie</w:t>
      </w:r>
      <w:proofErr w:type="spellEnd"/>
      <w:r w:rsidR="00EE39F8">
        <w:rPr>
          <w:i/>
        </w:rPr>
        <w:t>…</w:t>
      </w:r>
      <w:bookmarkEnd w:id="0"/>
      <w:bookmarkEnd w:id="1"/>
      <w:r w:rsidR="00EE39F8">
        <w:rPr>
          <w:i/>
        </w:rPr>
        <w:t xml:space="preserve">  p125 et suivantes</w:t>
      </w:r>
    </w:p>
    <w:p w:rsidR="001370EA" w:rsidRDefault="001370EA" w:rsidP="005F055B">
      <w:pPr>
        <w:pStyle w:val="Sansinterligne"/>
      </w:pPr>
    </w:p>
    <w:p w:rsidR="005F055B" w:rsidRDefault="005F055B" w:rsidP="005F055B">
      <w:pPr>
        <w:pStyle w:val="Sansinterligne"/>
      </w:pPr>
      <w:r>
        <w:t>Leçons potentielles :</w:t>
      </w:r>
      <w:r w:rsidR="00EE39F8">
        <w:t xml:space="preserve"> LC 15 –Solvants</w:t>
      </w:r>
    </w:p>
    <w:p w:rsidR="00EE39F8" w:rsidRDefault="00EE39F8" w:rsidP="005F055B">
      <w:pPr>
        <w:pStyle w:val="Sansinterligne"/>
      </w:pPr>
      <w:r>
        <w:tab/>
        <w:t xml:space="preserve">LC </w:t>
      </w:r>
      <w:r w:rsidR="00A66C97">
        <w:t xml:space="preserve">27 </w:t>
      </w:r>
      <w:r>
        <w:t xml:space="preserve">- </w:t>
      </w:r>
      <w:r w:rsidR="00A66C97">
        <w:t>Solubilité</w:t>
      </w:r>
    </w:p>
    <w:p w:rsidR="005F055B" w:rsidRDefault="005F055B" w:rsidP="005F055B">
      <w:pPr>
        <w:pStyle w:val="Sansinterligne"/>
      </w:pPr>
    </w:p>
    <w:p w:rsidR="005F055B" w:rsidRDefault="005F055B" w:rsidP="005F055B">
      <w:pPr>
        <w:pStyle w:val="Sansinterligne"/>
        <w:rPr>
          <w:u w:val="single"/>
        </w:rPr>
      </w:pPr>
      <w:r>
        <w:rPr>
          <w:u w:val="single"/>
        </w:rPr>
        <w:t>Produits :</w:t>
      </w:r>
    </w:p>
    <w:p w:rsidR="0027753E" w:rsidRDefault="0027753E" w:rsidP="005F055B">
      <w:pPr>
        <w:pStyle w:val="Sansinterligne"/>
        <w:rPr>
          <w:u w:val="single"/>
        </w:rPr>
      </w:pP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27753E" w:rsidTr="0027753E">
        <w:tc>
          <w:tcPr>
            <w:tcW w:w="1535" w:type="dxa"/>
          </w:tcPr>
          <w:p w:rsidR="0027753E" w:rsidRPr="0027753E" w:rsidRDefault="0027753E" w:rsidP="005F055B">
            <w:pPr>
              <w:pStyle w:val="Sansinterligne"/>
            </w:pPr>
            <w:r>
              <w:t>Nom</w:t>
            </w:r>
          </w:p>
        </w:tc>
        <w:tc>
          <w:tcPr>
            <w:tcW w:w="1535" w:type="dxa"/>
          </w:tcPr>
          <w:p w:rsidR="0027753E" w:rsidRPr="0027753E" w:rsidRDefault="0027753E" w:rsidP="005F055B">
            <w:pPr>
              <w:pStyle w:val="Sansinterligne"/>
            </w:pPr>
            <w:r>
              <w:t>Formule brute</w:t>
            </w:r>
          </w:p>
        </w:tc>
        <w:tc>
          <w:tcPr>
            <w:tcW w:w="1535" w:type="dxa"/>
          </w:tcPr>
          <w:p w:rsidR="0027753E" w:rsidRPr="0027753E" w:rsidRDefault="0027753E" w:rsidP="005F055B">
            <w:pPr>
              <w:pStyle w:val="Sansinterligne"/>
            </w:pPr>
            <w:r>
              <w:t>Masse molaire</w:t>
            </w:r>
            <w:r w:rsidR="004E62F4">
              <w:t xml:space="preserve"> (g.mol</w:t>
            </w:r>
            <w:r w:rsidR="004E62F4">
              <w:rPr>
                <w:vertAlign w:val="superscript"/>
              </w:rPr>
              <w:t>-1</w:t>
            </w:r>
            <w:r w:rsidR="004E62F4">
              <w:t>)</w:t>
            </w:r>
          </w:p>
        </w:tc>
        <w:tc>
          <w:tcPr>
            <w:tcW w:w="1535" w:type="dxa"/>
          </w:tcPr>
          <w:p w:rsidR="0027753E" w:rsidRPr="0027753E" w:rsidRDefault="0027753E" w:rsidP="005F055B">
            <w:pPr>
              <w:pStyle w:val="Sansinterligne"/>
            </w:pPr>
            <w:r>
              <w:t>Densité</w:t>
            </w:r>
          </w:p>
        </w:tc>
        <w:tc>
          <w:tcPr>
            <w:tcW w:w="1536" w:type="dxa"/>
          </w:tcPr>
          <w:p w:rsidR="0027753E" w:rsidRPr="0027753E" w:rsidRDefault="0027753E" w:rsidP="005F055B">
            <w:pPr>
              <w:pStyle w:val="Sansinterligne"/>
            </w:pPr>
            <w:r>
              <w:t>Température</w:t>
            </w:r>
          </w:p>
        </w:tc>
        <w:tc>
          <w:tcPr>
            <w:tcW w:w="1536" w:type="dxa"/>
          </w:tcPr>
          <w:p w:rsidR="0027753E" w:rsidRPr="0027753E" w:rsidRDefault="0027753E" w:rsidP="005F055B">
            <w:pPr>
              <w:pStyle w:val="Sansinterligne"/>
            </w:pPr>
            <w:r>
              <w:t>Sécurité</w:t>
            </w:r>
          </w:p>
        </w:tc>
      </w:tr>
      <w:tr w:rsidR="0027753E" w:rsidTr="0027753E">
        <w:tc>
          <w:tcPr>
            <w:tcW w:w="1535" w:type="dxa"/>
          </w:tcPr>
          <w:p w:rsidR="0027753E" w:rsidRPr="0027753E" w:rsidRDefault="0027753E" w:rsidP="005F055B">
            <w:pPr>
              <w:pStyle w:val="Sansinterligne"/>
            </w:pPr>
            <w:r>
              <w:t>Diiode (solide)</w:t>
            </w:r>
          </w:p>
        </w:tc>
        <w:tc>
          <w:tcPr>
            <w:tcW w:w="1535" w:type="dxa"/>
          </w:tcPr>
          <w:p w:rsidR="0027753E" w:rsidRPr="0027753E" w:rsidRDefault="0027753E" w:rsidP="005F055B">
            <w:pPr>
              <w:pStyle w:val="Sansinterligne"/>
            </w:pPr>
            <w:r>
              <w:t>I</w:t>
            </w:r>
            <w:r>
              <w:rPr>
                <w:vertAlign w:val="subscript"/>
              </w:rPr>
              <w:t>2</w:t>
            </w:r>
          </w:p>
        </w:tc>
        <w:tc>
          <w:tcPr>
            <w:tcW w:w="1535" w:type="dxa"/>
          </w:tcPr>
          <w:p w:rsidR="0027753E" w:rsidRPr="0027753E" w:rsidRDefault="0027753E" w:rsidP="005F055B">
            <w:pPr>
              <w:pStyle w:val="Sansinterligne"/>
            </w:pPr>
            <w:r>
              <w:t>253,8</w:t>
            </w:r>
          </w:p>
        </w:tc>
        <w:tc>
          <w:tcPr>
            <w:tcW w:w="1535" w:type="dxa"/>
          </w:tcPr>
          <w:p w:rsidR="0027753E" w:rsidRPr="0027753E" w:rsidRDefault="0027753E" w:rsidP="005F055B">
            <w:pPr>
              <w:pStyle w:val="Sansinterligne"/>
            </w:pPr>
            <w:r>
              <w:t>-</w:t>
            </w:r>
          </w:p>
        </w:tc>
        <w:tc>
          <w:tcPr>
            <w:tcW w:w="1536" w:type="dxa"/>
          </w:tcPr>
          <w:p w:rsidR="0027753E" w:rsidRPr="0027753E" w:rsidRDefault="0027753E" w:rsidP="005F055B">
            <w:pPr>
              <w:pStyle w:val="Sansinterligne"/>
            </w:pPr>
          </w:p>
        </w:tc>
        <w:tc>
          <w:tcPr>
            <w:tcW w:w="1536" w:type="dxa"/>
          </w:tcPr>
          <w:p w:rsidR="0027753E" w:rsidRDefault="0027753E" w:rsidP="005F055B">
            <w:pPr>
              <w:pStyle w:val="Sansinterligne"/>
            </w:pPr>
            <w:r>
              <w:t>Irritant</w:t>
            </w:r>
          </w:p>
          <w:p w:rsidR="0027753E" w:rsidRPr="0027753E" w:rsidRDefault="0027753E" w:rsidP="005F055B">
            <w:pPr>
              <w:pStyle w:val="Sansinterligne"/>
            </w:pPr>
            <w:r>
              <w:t>Ecotoxique</w:t>
            </w:r>
          </w:p>
        </w:tc>
      </w:tr>
      <w:tr w:rsidR="0027753E" w:rsidTr="0027753E">
        <w:tc>
          <w:tcPr>
            <w:tcW w:w="1535" w:type="dxa"/>
          </w:tcPr>
          <w:p w:rsidR="0027753E" w:rsidRPr="00BC37E2" w:rsidRDefault="0027753E" w:rsidP="0027753E">
            <w:pPr>
              <w:pStyle w:val="Sansinterligne"/>
            </w:pPr>
            <w:r>
              <w:t>Cyclohexane</w:t>
            </w:r>
          </w:p>
        </w:tc>
        <w:tc>
          <w:tcPr>
            <w:tcW w:w="1535" w:type="dxa"/>
          </w:tcPr>
          <w:p w:rsidR="0027753E" w:rsidRPr="00BC37E2" w:rsidRDefault="0027753E" w:rsidP="0027753E">
            <w:pPr>
              <w:pStyle w:val="Sansinterligne"/>
            </w:pPr>
            <w:r>
              <w:t>C</w:t>
            </w:r>
            <w:r>
              <w:rPr>
                <w:vertAlign w:val="subscript"/>
              </w:rPr>
              <w:t>6</w:t>
            </w:r>
            <w:r>
              <w:t>H</w:t>
            </w:r>
            <w:r>
              <w:rPr>
                <w:vertAlign w:val="subscript"/>
              </w:rPr>
              <w:t>12</w:t>
            </w:r>
          </w:p>
        </w:tc>
        <w:tc>
          <w:tcPr>
            <w:tcW w:w="1535" w:type="dxa"/>
          </w:tcPr>
          <w:p w:rsidR="0027753E" w:rsidRPr="00BC37E2" w:rsidRDefault="0027753E" w:rsidP="0027753E">
            <w:pPr>
              <w:pStyle w:val="Sansinterligne"/>
            </w:pPr>
            <w:r>
              <w:t>84,16</w:t>
            </w:r>
          </w:p>
        </w:tc>
        <w:tc>
          <w:tcPr>
            <w:tcW w:w="1535" w:type="dxa"/>
          </w:tcPr>
          <w:p w:rsidR="0027753E" w:rsidRPr="00BC37E2" w:rsidRDefault="0027753E" w:rsidP="0027753E">
            <w:pPr>
              <w:pStyle w:val="Sansinterligne"/>
            </w:pPr>
            <w:r>
              <w:t>0,778</w:t>
            </w:r>
          </w:p>
        </w:tc>
        <w:tc>
          <w:tcPr>
            <w:tcW w:w="1536" w:type="dxa"/>
          </w:tcPr>
          <w:p w:rsidR="0027753E" w:rsidRPr="00BC37E2" w:rsidRDefault="0027753E" w:rsidP="0027753E">
            <w:pPr>
              <w:pStyle w:val="Sansinterligne"/>
            </w:pPr>
            <w:proofErr w:type="spellStart"/>
            <w:r>
              <w:t>T</w:t>
            </w:r>
            <w:r>
              <w:rPr>
                <w:vertAlign w:val="subscript"/>
              </w:rPr>
              <w:t>eb</w:t>
            </w:r>
            <w:proofErr w:type="spellEnd"/>
            <w:r>
              <w:t xml:space="preserve"> = 80,7°C</w:t>
            </w:r>
          </w:p>
        </w:tc>
        <w:tc>
          <w:tcPr>
            <w:tcW w:w="1536" w:type="dxa"/>
          </w:tcPr>
          <w:p w:rsidR="0027753E" w:rsidRDefault="0027753E" w:rsidP="0027753E">
            <w:pPr>
              <w:pStyle w:val="Sansinterligne"/>
            </w:pPr>
            <w:r>
              <w:t>Inflammable</w:t>
            </w:r>
          </w:p>
          <w:p w:rsidR="0027753E" w:rsidRDefault="0027753E" w:rsidP="0027753E">
            <w:pPr>
              <w:pStyle w:val="Sansinterligne"/>
            </w:pPr>
            <w:r>
              <w:t>CMR</w:t>
            </w:r>
          </w:p>
          <w:p w:rsidR="0027753E" w:rsidRDefault="0027753E" w:rsidP="0027753E">
            <w:pPr>
              <w:pStyle w:val="Sansinterligne"/>
            </w:pPr>
            <w:r>
              <w:t>Irritant</w:t>
            </w:r>
          </w:p>
          <w:p w:rsidR="0027753E" w:rsidRPr="00BC37E2" w:rsidRDefault="0027753E" w:rsidP="0027753E">
            <w:pPr>
              <w:pStyle w:val="Sansinterligne"/>
            </w:pPr>
            <w:r>
              <w:t>Ecotoxique</w:t>
            </w:r>
          </w:p>
        </w:tc>
      </w:tr>
      <w:tr w:rsidR="0027753E" w:rsidTr="0027753E">
        <w:tc>
          <w:tcPr>
            <w:tcW w:w="1535" w:type="dxa"/>
          </w:tcPr>
          <w:p w:rsidR="0027753E" w:rsidRPr="0027753E" w:rsidRDefault="0027753E" w:rsidP="0027753E">
            <w:pPr>
              <w:pStyle w:val="Sansinterligne"/>
            </w:pPr>
            <w:r>
              <w:t>Thiosulfate de sodium</w:t>
            </w:r>
          </w:p>
        </w:tc>
        <w:tc>
          <w:tcPr>
            <w:tcW w:w="1535" w:type="dxa"/>
          </w:tcPr>
          <w:p w:rsidR="0027753E" w:rsidRPr="0027753E" w:rsidRDefault="0027753E" w:rsidP="0027753E">
            <w:pPr>
              <w:pStyle w:val="Sansinterligne"/>
            </w:pPr>
            <w:r>
              <w:t>Na</w:t>
            </w:r>
            <w:r w:rsidRPr="00A66C97">
              <w:rPr>
                <w:vertAlign w:val="subscript"/>
              </w:rPr>
              <w:t>2</w:t>
            </w:r>
            <w:r>
              <w:t>S</w:t>
            </w:r>
            <w:r w:rsidRPr="00A66C97">
              <w:rPr>
                <w:vertAlign w:val="subscript"/>
              </w:rPr>
              <w:t>2</w:t>
            </w:r>
            <w:r>
              <w:t>O</w:t>
            </w:r>
            <w:r w:rsidRPr="00A66C97">
              <w:rPr>
                <w:vertAlign w:val="subscript"/>
              </w:rPr>
              <w:t>3</w:t>
            </w:r>
          </w:p>
        </w:tc>
        <w:tc>
          <w:tcPr>
            <w:tcW w:w="1535" w:type="dxa"/>
          </w:tcPr>
          <w:p w:rsidR="0027753E" w:rsidRPr="0027753E" w:rsidRDefault="0027753E" w:rsidP="0027753E">
            <w:pPr>
              <w:pStyle w:val="Sansinterligne"/>
            </w:pPr>
            <w:r>
              <w:t>158,1</w:t>
            </w:r>
          </w:p>
        </w:tc>
        <w:tc>
          <w:tcPr>
            <w:tcW w:w="1535" w:type="dxa"/>
          </w:tcPr>
          <w:p w:rsidR="0027753E" w:rsidRPr="0027753E" w:rsidRDefault="0027753E" w:rsidP="0027753E">
            <w:pPr>
              <w:pStyle w:val="Sansinterligne"/>
            </w:pPr>
          </w:p>
        </w:tc>
        <w:tc>
          <w:tcPr>
            <w:tcW w:w="1536" w:type="dxa"/>
          </w:tcPr>
          <w:p w:rsidR="0027753E" w:rsidRPr="0027753E" w:rsidRDefault="0027753E" w:rsidP="0027753E">
            <w:pPr>
              <w:pStyle w:val="Sansinterligne"/>
            </w:pPr>
          </w:p>
        </w:tc>
        <w:tc>
          <w:tcPr>
            <w:tcW w:w="1536" w:type="dxa"/>
          </w:tcPr>
          <w:p w:rsidR="0027753E" w:rsidRPr="0027753E" w:rsidRDefault="0027753E" w:rsidP="0027753E">
            <w:pPr>
              <w:pStyle w:val="Sansinterligne"/>
            </w:pPr>
            <w:r>
              <w:t>Irritant</w:t>
            </w:r>
          </w:p>
        </w:tc>
      </w:tr>
      <w:tr w:rsidR="0027753E" w:rsidTr="0027753E">
        <w:tc>
          <w:tcPr>
            <w:tcW w:w="1535" w:type="dxa"/>
          </w:tcPr>
          <w:p w:rsidR="0027753E" w:rsidRPr="0027753E" w:rsidRDefault="0027753E" w:rsidP="0027753E">
            <w:pPr>
              <w:pStyle w:val="Sansinterligne"/>
            </w:pPr>
            <w:r>
              <w:t xml:space="preserve">Empois d’amidon ou </w:t>
            </w:r>
            <w:proofErr w:type="spellStart"/>
            <w:r>
              <w:t>thiodène</w:t>
            </w:r>
            <w:proofErr w:type="spellEnd"/>
          </w:p>
        </w:tc>
        <w:tc>
          <w:tcPr>
            <w:tcW w:w="1535" w:type="dxa"/>
          </w:tcPr>
          <w:p w:rsidR="0027753E" w:rsidRPr="0027753E" w:rsidRDefault="0027753E" w:rsidP="0027753E">
            <w:pPr>
              <w:pStyle w:val="Sansinterligne"/>
            </w:pPr>
          </w:p>
        </w:tc>
        <w:tc>
          <w:tcPr>
            <w:tcW w:w="1535" w:type="dxa"/>
          </w:tcPr>
          <w:p w:rsidR="0027753E" w:rsidRPr="0027753E" w:rsidRDefault="0027753E" w:rsidP="0027753E">
            <w:pPr>
              <w:pStyle w:val="Sansinterligne"/>
            </w:pPr>
          </w:p>
        </w:tc>
        <w:tc>
          <w:tcPr>
            <w:tcW w:w="1535" w:type="dxa"/>
          </w:tcPr>
          <w:p w:rsidR="0027753E" w:rsidRPr="0027753E" w:rsidRDefault="0027753E" w:rsidP="0027753E">
            <w:pPr>
              <w:pStyle w:val="Sansinterligne"/>
            </w:pPr>
          </w:p>
        </w:tc>
        <w:tc>
          <w:tcPr>
            <w:tcW w:w="1536" w:type="dxa"/>
          </w:tcPr>
          <w:p w:rsidR="0027753E" w:rsidRPr="0027753E" w:rsidRDefault="0027753E" w:rsidP="0027753E">
            <w:pPr>
              <w:pStyle w:val="Sansinterligne"/>
            </w:pPr>
          </w:p>
        </w:tc>
        <w:tc>
          <w:tcPr>
            <w:tcW w:w="1536" w:type="dxa"/>
          </w:tcPr>
          <w:p w:rsidR="0027753E" w:rsidRPr="0027753E" w:rsidRDefault="0027753E" w:rsidP="0027753E">
            <w:pPr>
              <w:pStyle w:val="Sansinterligne"/>
            </w:pPr>
          </w:p>
        </w:tc>
      </w:tr>
    </w:tbl>
    <w:p w:rsidR="0027753E" w:rsidRDefault="0027753E" w:rsidP="005F055B">
      <w:pPr>
        <w:pStyle w:val="Sansinterligne"/>
        <w:rPr>
          <w:u w:val="single"/>
        </w:rPr>
      </w:pPr>
    </w:p>
    <w:p w:rsidR="0027753E" w:rsidRDefault="0027753E" w:rsidP="005F055B">
      <w:pPr>
        <w:pStyle w:val="Sansinterligne"/>
        <w:rPr>
          <w:u w:val="single"/>
        </w:rPr>
      </w:pPr>
      <w:r>
        <w:rPr>
          <w:u w:val="single"/>
        </w:rPr>
        <w:t>Concentrations :</w:t>
      </w:r>
    </w:p>
    <w:p w:rsidR="00AA0BB9" w:rsidRDefault="00A66C97" w:rsidP="0027753E">
      <w:pPr>
        <w:pStyle w:val="Sansinterligne"/>
        <w:numPr>
          <w:ilvl w:val="0"/>
          <w:numId w:val="5"/>
        </w:numPr>
      </w:pPr>
      <w:r>
        <w:t>Na</w:t>
      </w:r>
      <w:r w:rsidRPr="00A66C97">
        <w:rPr>
          <w:vertAlign w:val="subscript"/>
        </w:rPr>
        <w:t>2</w:t>
      </w:r>
      <w:r>
        <w:t>S</w:t>
      </w:r>
      <w:r w:rsidRPr="00A66C97">
        <w:rPr>
          <w:vertAlign w:val="subscript"/>
        </w:rPr>
        <w:t>2</w:t>
      </w:r>
      <w:r>
        <w:t>O</w:t>
      </w:r>
      <w:r w:rsidRPr="00A66C97">
        <w:rPr>
          <w:vertAlign w:val="subscript"/>
        </w:rPr>
        <w:t>3</w:t>
      </w:r>
      <w:r>
        <w:t xml:space="preserve"> thiosulfate de sodium</w:t>
      </w:r>
      <w:r w:rsidR="00F732E6">
        <w:t xml:space="preserve"> à 5.10</w:t>
      </w:r>
      <w:r w:rsidR="00F732E6" w:rsidRPr="00F732E6">
        <w:rPr>
          <w:vertAlign w:val="superscript"/>
        </w:rPr>
        <w:t>-4</w:t>
      </w:r>
      <w:r w:rsidR="00F732E6">
        <w:t xml:space="preserve"> mol/L</w:t>
      </w:r>
    </w:p>
    <w:p w:rsidR="0027753E" w:rsidRPr="00AA0BB9" w:rsidRDefault="0027753E" w:rsidP="0027753E">
      <w:pPr>
        <w:pStyle w:val="Sansinterligne"/>
        <w:ind w:left="720"/>
      </w:pPr>
    </w:p>
    <w:p w:rsidR="005F055B" w:rsidRDefault="005F055B" w:rsidP="005F055B">
      <w:pPr>
        <w:pStyle w:val="Sansinterligne"/>
        <w:rPr>
          <w:u w:val="single"/>
        </w:rPr>
      </w:pPr>
      <w:r>
        <w:rPr>
          <w:u w:val="single"/>
        </w:rPr>
        <w:t>Matériels :</w:t>
      </w:r>
    </w:p>
    <w:p w:rsidR="0017175C" w:rsidRDefault="0017175C" w:rsidP="005F055B">
      <w:pPr>
        <w:pStyle w:val="Sansinterligne"/>
        <w:rPr>
          <w:u w:val="single"/>
        </w:rPr>
      </w:pPr>
    </w:p>
    <w:p w:rsidR="0017175C" w:rsidRDefault="007879F8" w:rsidP="005F055B">
      <w:pPr>
        <w:pStyle w:val="Sansinterligne"/>
      </w:pPr>
      <w:r>
        <w:tab/>
      </w:r>
      <w:r w:rsidR="0017175C">
        <w:t>Bécher poubelle</w:t>
      </w:r>
    </w:p>
    <w:p w:rsidR="0017175C" w:rsidRDefault="0017175C" w:rsidP="0017175C">
      <w:pPr>
        <w:pStyle w:val="Sansinterligne"/>
        <w:ind w:firstLine="708"/>
      </w:pPr>
      <w:r>
        <w:t>2 verres à pieds</w:t>
      </w:r>
    </w:p>
    <w:p w:rsidR="0017175C" w:rsidRDefault="0017175C" w:rsidP="0017175C">
      <w:pPr>
        <w:pStyle w:val="Sansinterligne"/>
        <w:ind w:firstLine="708"/>
      </w:pPr>
      <w:r>
        <w:t>Gants</w:t>
      </w:r>
    </w:p>
    <w:p w:rsidR="0017175C" w:rsidRDefault="0017175C" w:rsidP="0017175C">
      <w:pPr>
        <w:pStyle w:val="Sansinterligne"/>
        <w:ind w:firstLine="708"/>
      </w:pPr>
      <w:r>
        <w:t xml:space="preserve">Lunettes </w:t>
      </w:r>
    </w:p>
    <w:p w:rsidR="0017175C" w:rsidRDefault="0017175C" w:rsidP="0017175C">
      <w:pPr>
        <w:pStyle w:val="Sansinterligne"/>
        <w:ind w:firstLine="708"/>
      </w:pPr>
    </w:p>
    <w:p w:rsidR="007879F8" w:rsidRDefault="00A66C97" w:rsidP="0017175C">
      <w:pPr>
        <w:pStyle w:val="Sansinterligne"/>
        <w:ind w:firstLine="708"/>
      </w:pPr>
      <w:r>
        <w:t>Extraction liquide-liquide</w:t>
      </w:r>
      <w:r w:rsidR="007879F8">
        <w:t> :</w:t>
      </w:r>
    </w:p>
    <w:p w:rsidR="007879F8" w:rsidRDefault="007879F8" w:rsidP="007879F8">
      <w:pPr>
        <w:pStyle w:val="Sansinterligne"/>
        <w:numPr>
          <w:ilvl w:val="1"/>
          <w:numId w:val="6"/>
        </w:numPr>
      </w:pPr>
      <w:r>
        <w:t>Potence</w:t>
      </w:r>
    </w:p>
    <w:p w:rsidR="007879F8" w:rsidRDefault="007879F8" w:rsidP="007879F8">
      <w:pPr>
        <w:pStyle w:val="Sansinterligne"/>
        <w:numPr>
          <w:ilvl w:val="1"/>
          <w:numId w:val="6"/>
        </w:numPr>
      </w:pPr>
      <w:r>
        <w:t>Pince deux doigts</w:t>
      </w:r>
    </w:p>
    <w:p w:rsidR="007879F8" w:rsidRDefault="007879F8" w:rsidP="00A66C97">
      <w:pPr>
        <w:pStyle w:val="Sansinterligne"/>
        <w:numPr>
          <w:ilvl w:val="1"/>
          <w:numId w:val="6"/>
        </w:numPr>
      </w:pPr>
      <w:r>
        <w:t>Erlenmeyer</w:t>
      </w:r>
    </w:p>
    <w:p w:rsidR="007879F8" w:rsidRDefault="00DD1125" w:rsidP="007879F8">
      <w:pPr>
        <w:pStyle w:val="Sansinterligne"/>
        <w:numPr>
          <w:ilvl w:val="1"/>
          <w:numId w:val="6"/>
        </w:numPr>
      </w:pPr>
      <w:r>
        <w:t>Pipette jaugée de 5</w:t>
      </w:r>
      <w:r w:rsidR="007879F8">
        <w:t xml:space="preserve">0 </w:t>
      </w:r>
      <w:proofErr w:type="spellStart"/>
      <w:r w:rsidR="007879F8">
        <w:t>mL</w:t>
      </w:r>
      <w:proofErr w:type="spellEnd"/>
    </w:p>
    <w:p w:rsidR="007879F8" w:rsidRDefault="007879F8" w:rsidP="007879F8">
      <w:pPr>
        <w:pStyle w:val="Sansinterligne"/>
        <w:numPr>
          <w:ilvl w:val="1"/>
          <w:numId w:val="6"/>
        </w:numPr>
      </w:pPr>
      <w:r>
        <w:t>Agitateur magnétique</w:t>
      </w:r>
    </w:p>
    <w:p w:rsidR="007879F8" w:rsidRDefault="007879F8" w:rsidP="007879F8">
      <w:pPr>
        <w:pStyle w:val="Sansinterligne"/>
        <w:numPr>
          <w:ilvl w:val="1"/>
          <w:numId w:val="6"/>
        </w:numPr>
      </w:pPr>
      <w:r>
        <w:t>Barreau aimanté</w:t>
      </w:r>
    </w:p>
    <w:p w:rsidR="00AA5022" w:rsidRDefault="00AA5022" w:rsidP="007879F8">
      <w:pPr>
        <w:pStyle w:val="Sansinterligne"/>
        <w:numPr>
          <w:ilvl w:val="1"/>
          <w:numId w:val="6"/>
        </w:numPr>
      </w:pPr>
      <w:r>
        <w:t>Grand bécher pour la solution d’I</w:t>
      </w:r>
      <w:r w:rsidRPr="00A66C97">
        <w:rPr>
          <w:vertAlign w:val="subscript"/>
        </w:rPr>
        <w:t>2</w:t>
      </w:r>
      <w:r>
        <w:t xml:space="preserve"> dans le cyclohexane</w:t>
      </w:r>
    </w:p>
    <w:p w:rsidR="00A66C97" w:rsidRDefault="00A66C97" w:rsidP="007879F8">
      <w:pPr>
        <w:pStyle w:val="Sansinterligne"/>
        <w:numPr>
          <w:ilvl w:val="1"/>
          <w:numId w:val="6"/>
        </w:numPr>
      </w:pPr>
      <w:r>
        <w:t>Agitateur à ultrasons (pour dissoudre la solution d’I</w:t>
      </w:r>
      <w:r w:rsidRPr="00A66C97">
        <w:rPr>
          <w:vertAlign w:val="subscript"/>
        </w:rPr>
        <w:t>2</w:t>
      </w:r>
      <w:r>
        <w:t xml:space="preserve"> dans le cyclohexane)</w:t>
      </w:r>
    </w:p>
    <w:p w:rsidR="007879F8" w:rsidRDefault="00A66C97" w:rsidP="00A66C97">
      <w:pPr>
        <w:pStyle w:val="Sansinterligne"/>
        <w:numPr>
          <w:ilvl w:val="1"/>
          <w:numId w:val="6"/>
        </w:numPr>
      </w:pPr>
      <w:r>
        <w:t>Ampoule à décanter</w:t>
      </w:r>
    </w:p>
    <w:p w:rsidR="00AA5022" w:rsidRDefault="007879F8" w:rsidP="007879F8">
      <w:pPr>
        <w:pStyle w:val="Sansinterligne"/>
        <w:numPr>
          <w:ilvl w:val="1"/>
          <w:numId w:val="6"/>
        </w:numPr>
      </w:pPr>
      <w:r>
        <w:t>Béchers (1 pour la phase organique et 1 pour la phase aqueuse</w:t>
      </w:r>
      <w:r w:rsidR="0017175C">
        <w:t>)</w:t>
      </w:r>
    </w:p>
    <w:p w:rsidR="007879F8" w:rsidRDefault="00AA5022" w:rsidP="007879F8">
      <w:pPr>
        <w:pStyle w:val="Sansinterligne"/>
        <w:numPr>
          <w:ilvl w:val="1"/>
          <w:numId w:val="6"/>
        </w:numPr>
      </w:pPr>
      <w:r>
        <w:t xml:space="preserve">Fiole jaugée de </w:t>
      </w:r>
      <w:r w:rsidR="002B3036">
        <w:t>100</w:t>
      </w:r>
      <w:r>
        <w:t>mL</w:t>
      </w:r>
      <w:r w:rsidR="007879F8">
        <w:t xml:space="preserve"> </w:t>
      </w:r>
      <w:r w:rsidR="002B3036">
        <w:t>(pour la solution de thiosulfate)</w:t>
      </w:r>
    </w:p>
    <w:p w:rsidR="007879F8" w:rsidRDefault="007879F8" w:rsidP="007879F8">
      <w:pPr>
        <w:pStyle w:val="Sansinterligne"/>
        <w:ind w:left="1440"/>
      </w:pPr>
    </w:p>
    <w:p w:rsidR="00797E44" w:rsidRDefault="00B0724B" w:rsidP="005F055B">
      <w:pPr>
        <w:pStyle w:val="Sansinterligne"/>
      </w:pPr>
      <w:r>
        <w:tab/>
      </w:r>
    </w:p>
    <w:p w:rsidR="007879F8" w:rsidRDefault="007879F8" w:rsidP="007879F8">
      <w:pPr>
        <w:pStyle w:val="Sansinterligne"/>
        <w:ind w:left="708"/>
      </w:pPr>
      <w:r>
        <w:t xml:space="preserve">Lavage de la phase </w:t>
      </w:r>
      <w:r w:rsidR="0017175C">
        <w:t>aqueuse</w:t>
      </w:r>
      <w:r>
        <w:t> :</w:t>
      </w:r>
    </w:p>
    <w:p w:rsidR="007879F8" w:rsidRDefault="007879F8" w:rsidP="007879F8">
      <w:pPr>
        <w:pStyle w:val="Sansinterligne"/>
        <w:numPr>
          <w:ilvl w:val="1"/>
          <w:numId w:val="6"/>
        </w:numPr>
      </w:pPr>
      <w:r>
        <w:t>Ampoule à décanter</w:t>
      </w:r>
    </w:p>
    <w:p w:rsidR="007879F8" w:rsidRDefault="00DD1125" w:rsidP="007879F8">
      <w:pPr>
        <w:pStyle w:val="Sansinterligne"/>
        <w:numPr>
          <w:ilvl w:val="1"/>
          <w:numId w:val="6"/>
        </w:numPr>
      </w:pPr>
      <w:r>
        <w:t>2 éprouvettes graduées de 25</w:t>
      </w:r>
      <w:r w:rsidR="007879F8">
        <w:t xml:space="preserve"> </w:t>
      </w:r>
      <w:proofErr w:type="spellStart"/>
      <w:r w:rsidR="007879F8">
        <w:t>mL</w:t>
      </w:r>
      <w:proofErr w:type="spellEnd"/>
    </w:p>
    <w:p w:rsidR="004C51F2" w:rsidRDefault="004C51F2" w:rsidP="004C51F2">
      <w:pPr>
        <w:pStyle w:val="Sansinterligne"/>
      </w:pPr>
    </w:p>
    <w:p w:rsidR="004C51F2" w:rsidRDefault="004C51F2" w:rsidP="005F055B">
      <w:pPr>
        <w:pStyle w:val="Sansinterligne"/>
        <w:rPr>
          <w:u w:val="single"/>
        </w:rPr>
      </w:pPr>
    </w:p>
    <w:p w:rsidR="00AA5022" w:rsidRDefault="00AA5022" w:rsidP="00AA5022">
      <w:pPr>
        <w:pStyle w:val="Sansinterligne"/>
        <w:ind w:left="708"/>
      </w:pPr>
      <w:r>
        <w:lastRenderedPageBreak/>
        <w:t xml:space="preserve">Dosage de la phase </w:t>
      </w:r>
      <w:r w:rsidR="0017175C">
        <w:t>aqueuse</w:t>
      </w:r>
      <w:r>
        <w:t> :</w:t>
      </w:r>
    </w:p>
    <w:p w:rsidR="00AA5022" w:rsidRDefault="0017175C" w:rsidP="00AA5022">
      <w:pPr>
        <w:pStyle w:val="Sansinterligne"/>
        <w:numPr>
          <w:ilvl w:val="1"/>
          <w:numId w:val="6"/>
        </w:numPr>
      </w:pPr>
      <w:r>
        <w:t>Burette graduée</w:t>
      </w:r>
    </w:p>
    <w:p w:rsidR="00AA5022" w:rsidRDefault="00DD1125" w:rsidP="00AA5022">
      <w:pPr>
        <w:pStyle w:val="Sansinterligne"/>
        <w:numPr>
          <w:ilvl w:val="1"/>
          <w:numId w:val="6"/>
        </w:numPr>
      </w:pPr>
      <w:r>
        <w:t xml:space="preserve">Bécher de 100 </w:t>
      </w:r>
      <w:proofErr w:type="spellStart"/>
      <w:r>
        <w:t>mL</w:t>
      </w:r>
      <w:proofErr w:type="spellEnd"/>
    </w:p>
    <w:p w:rsidR="004C51F2" w:rsidRDefault="004C51F2" w:rsidP="005F055B">
      <w:pPr>
        <w:pStyle w:val="Sansinterligne"/>
        <w:rPr>
          <w:u w:val="single"/>
        </w:rPr>
      </w:pPr>
    </w:p>
    <w:p w:rsidR="004C51F2" w:rsidRDefault="004C51F2" w:rsidP="005F055B">
      <w:pPr>
        <w:pStyle w:val="Sansinterligne"/>
        <w:rPr>
          <w:u w:val="single"/>
        </w:rPr>
      </w:pPr>
    </w:p>
    <w:p w:rsidR="004C51F2" w:rsidRDefault="004C51F2" w:rsidP="005F055B">
      <w:pPr>
        <w:pStyle w:val="Sansinterligne"/>
        <w:rPr>
          <w:u w:val="single"/>
        </w:rPr>
      </w:pPr>
    </w:p>
    <w:p w:rsidR="00B0724B" w:rsidRDefault="005F055B" w:rsidP="005F055B">
      <w:pPr>
        <w:pStyle w:val="Sansinterligne"/>
        <w:rPr>
          <w:u w:val="single"/>
        </w:rPr>
      </w:pPr>
      <w:r>
        <w:rPr>
          <w:u w:val="single"/>
        </w:rPr>
        <w:t>Modification protocole :</w:t>
      </w:r>
    </w:p>
    <w:p w:rsidR="004C51F2" w:rsidRDefault="00583F21" w:rsidP="005F17D9">
      <w:pPr>
        <w:pStyle w:val="Sansinterligne"/>
      </w:pPr>
      <w:r w:rsidRPr="00583F21">
        <w:tab/>
      </w:r>
      <w:r w:rsidR="005F17D9">
        <w:t>* Solution de I</w:t>
      </w:r>
      <w:r w:rsidR="005F17D9" w:rsidRPr="00F732E6">
        <w:rPr>
          <w:vertAlign w:val="subscript"/>
        </w:rPr>
        <w:t>2</w:t>
      </w:r>
      <w:r w:rsidR="005F17D9">
        <w:t xml:space="preserve"> dans cyclo faite à partir de : 5mL </w:t>
      </w:r>
      <w:r w:rsidR="00D1654D">
        <w:t>(</w:t>
      </w:r>
      <w:r w:rsidR="005F17D9">
        <w:t>de 0.2g de I</w:t>
      </w:r>
      <w:r w:rsidR="005F17D9" w:rsidRPr="005F17D9">
        <w:rPr>
          <w:vertAlign w:val="subscript"/>
        </w:rPr>
        <w:t>2</w:t>
      </w:r>
      <w:r w:rsidR="005F17D9">
        <w:t xml:space="preserve"> dans 100mL de cyclohexane</w:t>
      </w:r>
      <w:r w:rsidR="00D1654D">
        <w:t>)</w:t>
      </w:r>
    </w:p>
    <w:p w:rsidR="007879F8" w:rsidRDefault="005F17D9" w:rsidP="007C2C7B">
      <w:pPr>
        <w:pStyle w:val="Sansinterligne"/>
      </w:pPr>
      <w:r>
        <w:tab/>
      </w:r>
      <w:r>
        <w:tab/>
      </w:r>
      <w:r>
        <w:tab/>
      </w:r>
      <w:r>
        <w:tab/>
      </w:r>
      <w:r>
        <w:tab/>
      </w:r>
      <w:r>
        <w:tab/>
      </w:r>
      <w:r>
        <w:tab/>
        <w:t xml:space="preserve">+50 </w:t>
      </w:r>
      <w:proofErr w:type="spellStart"/>
      <w:r>
        <w:t>mL</w:t>
      </w:r>
      <w:proofErr w:type="spellEnd"/>
      <w:r>
        <w:t xml:space="preserve"> d’eau</w:t>
      </w:r>
    </w:p>
    <w:p w:rsidR="001B7F64" w:rsidRDefault="001B7F64" w:rsidP="007C2C7B">
      <w:pPr>
        <w:pStyle w:val="Sansinterligne"/>
      </w:pPr>
    </w:p>
    <w:p w:rsidR="005F17D9" w:rsidRDefault="005F17D9" w:rsidP="007C2C7B">
      <w:pPr>
        <w:pStyle w:val="Sansinterligne"/>
      </w:pPr>
      <w:r>
        <w:tab/>
        <w:t>* on agite cette solution pas trop plus que 30 minutes (</w:t>
      </w:r>
      <w:proofErr w:type="gramStart"/>
      <w:r>
        <w:t>ça veut pas</w:t>
      </w:r>
      <w:proofErr w:type="gramEnd"/>
      <w:r>
        <w:t xml:space="preserve"> dire grand-chose mais l’idée est là)</w:t>
      </w:r>
    </w:p>
    <w:p w:rsidR="005F17D9" w:rsidRDefault="005F17D9" w:rsidP="007C2C7B">
      <w:pPr>
        <w:pStyle w:val="Sansinterligne"/>
      </w:pPr>
      <w:r>
        <w:tab/>
        <w:t>-&gt; puis décantation dans l’ampoule à décanter, pas de condition sur la durée de la décantation</w:t>
      </w:r>
    </w:p>
    <w:p w:rsidR="001B7F64" w:rsidRDefault="001B7F64" w:rsidP="007C2C7B">
      <w:pPr>
        <w:pStyle w:val="Sansinterligne"/>
      </w:pPr>
    </w:p>
    <w:p w:rsidR="005F17D9" w:rsidRDefault="005F17D9" w:rsidP="007C2C7B">
      <w:pPr>
        <w:pStyle w:val="Sansinterligne"/>
      </w:pPr>
      <w:r>
        <w:tab/>
        <w:t>* dosage de 50mL de phase AQUEUSE</w:t>
      </w:r>
    </w:p>
    <w:p w:rsidR="002B3036" w:rsidRDefault="002B3036" w:rsidP="001B7F64">
      <w:pPr>
        <w:pStyle w:val="Sansinterligne"/>
        <w:ind w:left="708"/>
      </w:pPr>
      <w:r>
        <w:tab/>
        <w:t>-&gt; on ne dose que la phase aqueuse (plus facile que d’extraire le diiode avec une solution de KI, puis de doser cette phase orga extraite. Effectivement, on ne peut pas doser directement le diiode dans le cyclo avec du thiosulfate aqueux, les deux solvants n’étant pas miscibles.)</w:t>
      </w:r>
    </w:p>
    <w:p w:rsidR="001B7F64" w:rsidRDefault="001B7F64" w:rsidP="001B7F64">
      <w:pPr>
        <w:pStyle w:val="Sansinterligne"/>
        <w:ind w:left="705"/>
      </w:pPr>
      <w:r>
        <w:t>-&gt; on remonte ensuite à la quantité de matière présente dans la phase orga par un bilan de matière (</w:t>
      </w:r>
      <w:proofErr w:type="spellStart"/>
      <w:r>
        <w:t>cf</w:t>
      </w:r>
      <w:proofErr w:type="spellEnd"/>
      <w:r>
        <w:t xml:space="preserve"> calculs ci-dessous)</w:t>
      </w:r>
    </w:p>
    <w:p w:rsidR="001B7F64" w:rsidRDefault="001B7F64" w:rsidP="001B7F64">
      <w:pPr>
        <w:pStyle w:val="Sansinterligne"/>
        <w:ind w:firstLine="708"/>
      </w:pPr>
      <w:r>
        <w:t>-&gt; tableau Excel joint</w:t>
      </w:r>
    </w:p>
    <w:p w:rsidR="001B7F64" w:rsidRDefault="001B7F64" w:rsidP="001B7F64">
      <w:pPr>
        <w:pStyle w:val="Sansinterligne"/>
        <w:ind w:firstLine="708"/>
      </w:pPr>
    </w:p>
    <w:p w:rsidR="001B7F64" w:rsidRDefault="001B7F64" w:rsidP="007C2C7B">
      <w:pPr>
        <w:pStyle w:val="Sansinterligne"/>
      </w:pPr>
      <w:r>
        <w:tab/>
        <w:t>* la solution titrante de thiosulfate est de concentration 5.10</w:t>
      </w:r>
      <w:r w:rsidRPr="001B7F64">
        <w:rPr>
          <w:vertAlign w:val="superscript"/>
        </w:rPr>
        <w:t xml:space="preserve">-4 </w:t>
      </w:r>
      <w:r>
        <w:t>mol/L</w:t>
      </w:r>
      <w:r w:rsidR="00DD1125">
        <w:t xml:space="preserve"> (donne Ve ~ 8mL)</w:t>
      </w:r>
    </w:p>
    <w:p w:rsidR="005F17D9" w:rsidRDefault="001B7F64" w:rsidP="007C2C7B">
      <w:pPr>
        <w:pStyle w:val="Sansinterligne"/>
      </w:pPr>
      <w:r w:rsidRPr="001B7F64">
        <w:rPr>
          <w:noProof/>
        </w:rPr>
        <w:lastRenderedPageBreak/>
        <w:drawing>
          <wp:inline distT="0" distB="0" distL="0" distR="0">
            <wp:extent cx="3865245" cy="5462553"/>
            <wp:effectExtent l="819150" t="0" r="802005" b="0"/>
            <wp:docPr id="3" name="Image 1" descr="IMG_20200118_161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118_161400.jpg"/>
                    <pic:cNvPicPr/>
                  </pic:nvPicPr>
                  <pic:blipFill>
                    <a:blip r:embed="rId6" cstate="print"/>
                    <a:srcRect l="3135" r="2563"/>
                    <a:stretch>
                      <a:fillRect/>
                    </a:stretch>
                  </pic:blipFill>
                  <pic:spPr>
                    <a:xfrm rot="16200000">
                      <a:off x="0" y="0"/>
                      <a:ext cx="3867393" cy="5465589"/>
                    </a:xfrm>
                    <a:prstGeom prst="rect">
                      <a:avLst/>
                    </a:prstGeom>
                  </pic:spPr>
                </pic:pic>
              </a:graphicData>
            </a:graphic>
          </wp:inline>
        </w:drawing>
      </w:r>
    </w:p>
    <w:p w:rsidR="00F732E6" w:rsidRDefault="00F732E6" w:rsidP="007C2C7B">
      <w:pPr>
        <w:pStyle w:val="Sansinterligne"/>
      </w:pPr>
    </w:p>
    <w:p w:rsidR="00F732E6" w:rsidRDefault="00F732E6" w:rsidP="007C2C7B">
      <w:pPr>
        <w:pStyle w:val="Sansinterligne"/>
      </w:pPr>
      <w:r>
        <w:rPr>
          <w:noProof/>
          <w:lang w:eastAsia="fr-FR"/>
        </w:rPr>
        <w:drawing>
          <wp:inline distT="0" distB="0" distL="0" distR="0">
            <wp:extent cx="4926330" cy="2080260"/>
            <wp:effectExtent l="1905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14824" r="14428" b="20941"/>
                    <a:stretch>
                      <a:fillRect/>
                    </a:stretch>
                  </pic:blipFill>
                  <pic:spPr bwMode="auto">
                    <a:xfrm>
                      <a:off x="0" y="0"/>
                      <a:ext cx="4926330" cy="2080260"/>
                    </a:xfrm>
                    <a:prstGeom prst="rect">
                      <a:avLst/>
                    </a:prstGeom>
                    <a:noFill/>
                    <a:ln w="9525">
                      <a:noFill/>
                      <a:miter lim="800000"/>
                      <a:headEnd/>
                      <a:tailEnd/>
                    </a:ln>
                  </pic:spPr>
                </pic:pic>
              </a:graphicData>
            </a:graphic>
          </wp:inline>
        </w:drawing>
      </w:r>
    </w:p>
    <w:p w:rsidR="00F732E6" w:rsidRDefault="00F732E6" w:rsidP="007C2C7B">
      <w:pPr>
        <w:pStyle w:val="Sansinterligne"/>
      </w:pPr>
    </w:p>
    <w:p w:rsidR="00F732E6" w:rsidRDefault="00F732E6" w:rsidP="007C2C7B">
      <w:pPr>
        <w:pStyle w:val="Sansinterligne"/>
      </w:pPr>
    </w:p>
    <w:p w:rsidR="007879F8" w:rsidRPr="00583F21" w:rsidRDefault="00355372" w:rsidP="007C2C7B">
      <w:pPr>
        <w:pStyle w:val="Sansinterligne"/>
        <w:rPr>
          <w:u w:val="single"/>
        </w:rPr>
      </w:pPr>
      <w:r w:rsidRPr="00583F21">
        <w:rPr>
          <w:u w:val="single"/>
        </w:rPr>
        <w:t xml:space="preserve">Phase réalisée en préparation : </w:t>
      </w:r>
    </w:p>
    <w:p w:rsidR="00355372" w:rsidRDefault="001B7F64" w:rsidP="007C2C7B">
      <w:pPr>
        <w:pStyle w:val="Sansinterligne"/>
      </w:pPr>
      <w:r>
        <w:t>Préparation de la solution</w:t>
      </w:r>
      <w:r w:rsidR="00355372">
        <w:t xml:space="preserve"> + agitation pendant 10 min</w:t>
      </w:r>
      <w:r>
        <w:t xml:space="preserve"> + décantation + extraction + prélèvement de 50 </w:t>
      </w:r>
      <w:proofErr w:type="spellStart"/>
      <w:r>
        <w:t>mL</w:t>
      </w:r>
      <w:proofErr w:type="spellEnd"/>
      <w:r>
        <w:t xml:space="preserve"> de phase aqueuse (le pipetage est </w:t>
      </w:r>
      <w:proofErr w:type="spellStart"/>
      <w:r>
        <w:t>trèèèès</w:t>
      </w:r>
      <w:proofErr w:type="spellEnd"/>
      <w:r>
        <w:t xml:space="preserve"> long, difficile à montrer).</w:t>
      </w:r>
    </w:p>
    <w:p w:rsidR="001B7F64" w:rsidRDefault="001B7F64" w:rsidP="007C2C7B">
      <w:pPr>
        <w:pStyle w:val="Sansinterligne"/>
      </w:pPr>
      <w:r>
        <w:t>On prépare la burette et le montage pour le dosage.</w:t>
      </w:r>
    </w:p>
    <w:p w:rsidR="001B7F64" w:rsidRPr="007879F8" w:rsidRDefault="001B7F64" w:rsidP="007C2C7B">
      <w:pPr>
        <w:pStyle w:val="Sansinterligne"/>
      </w:pPr>
    </w:p>
    <w:p w:rsidR="00583F21" w:rsidRDefault="00355372" w:rsidP="005F055B">
      <w:pPr>
        <w:pStyle w:val="Sansinterligne"/>
      </w:pPr>
      <w:r w:rsidRPr="00583F21">
        <w:rPr>
          <w:u w:val="single"/>
        </w:rPr>
        <w:t>Phase présentée devant le jury :</w:t>
      </w:r>
      <w:r>
        <w:t> </w:t>
      </w:r>
    </w:p>
    <w:p w:rsidR="001B7F64" w:rsidRDefault="001B7F64" w:rsidP="001370EA">
      <w:pPr>
        <w:pStyle w:val="Sansinterligne"/>
      </w:pPr>
      <w:r>
        <w:t>Dosage : proche de l’équivalence, ajouter de l’empois d’amidon</w:t>
      </w:r>
    </w:p>
    <w:p w:rsidR="005F055B" w:rsidRDefault="00DD1125" w:rsidP="001370EA">
      <w:pPr>
        <w:pStyle w:val="Sansinterligne"/>
      </w:pPr>
      <w:r>
        <w:t xml:space="preserve">Relevé de </w:t>
      </w:r>
      <w:proofErr w:type="spellStart"/>
      <w:r>
        <w:t>Véq</w:t>
      </w:r>
      <w:proofErr w:type="spellEnd"/>
      <w:r>
        <w:t xml:space="preserve">, rentrée sur Excel, analyse du </w:t>
      </w:r>
      <w:proofErr w:type="spellStart"/>
      <w:r>
        <w:t>coeff</w:t>
      </w:r>
      <w:proofErr w:type="spellEnd"/>
      <w:r>
        <w:t xml:space="preserve"> K, et de ses incertitudes.</w:t>
      </w:r>
      <w:r w:rsidR="00797E44">
        <w:tab/>
      </w:r>
    </w:p>
    <w:p w:rsidR="00583F21" w:rsidRDefault="00583F21" w:rsidP="001370EA">
      <w:pPr>
        <w:pStyle w:val="Sansinterligne"/>
      </w:pPr>
    </w:p>
    <w:p w:rsidR="00583F21" w:rsidRPr="005F055B" w:rsidRDefault="00583F21" w:rsidP="001370EA">
      <w:pPr>
        <w:pStyle w:val="Sansinterligne"/>
        <w:rPr>
          <w:u w:val="single"/>
        </w:rPr>
      </w:pPr>
    </w:p>
    <w:sectPr w:rsidR="00583F21" w:rsidRPr="005F055B" w:rsidSect="00797E44">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C24D0"/>
    <w:multiLevelType w:val="hybridMultilevel"/>
    <w:tmpl w:val="85241BA2"/>
    <w:lvl w:ilvl="0" w:tplc="DC6A9144">
      <w:start w:val="5"/>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BD273C"/>
    <w:multiLevelType w:val="hybridMultilevel"/>
    <w:tmpl w:val="B31824EC"/>
    <w:lvl w:ilvl="0" w:tplc="040C0005">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318553C"/>
    <w:multiLevelType w:val="hybridMultilevel"/>
    <w:tmpl w:val="3D72AB04"/>
    <w:lvl w:ilvl="0" w:tplc="040C0005">
      <w:start w:val="1"/>
      <w:numFmt w:val="bullet"/>
      <w:lvlText w:val=""/>
      <w:lvlJc w:val="left"/>
      <w:pPr>
        <w:ind w:left="1776" w:hanging="360"/>
      </w:pPr>
      <w:rPr>
        <w:rFonts w:ascii="Wingdings" w:hAnsi="Wingdings"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627F6829"/>
    <w:multiLevelType w:val="hybridMultilevel"/>
    <w:tmpl w:val="D452C72E"/>
    <w:lvl w:ilvl="0" w:tplc="019042B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341E54"/>
    <w:multiLevelType w:val="hybridMultilevel"/>
    <w:tmpl w:val="4574D11A"/>
    <w:lvl w:ilvl="0" w:tplc="DC6A9144">
      <w:start w:val="5"/>
      <w:numFmt w:val="bullet"/>
      <w:lvlText w:val="-"/>
      <w:lvlJc w:val="left"/>
      <w:pPr>
        <w:ind w:left="720" w:hanging="360"/>
      </w:pPr>
      <w:rPr>
        <w:rFonts w:ascii="Calibri" w:eastAsiaTheme="minorHAnsi" w:hAnsi="Calibri" w:cstheme="minorBidi"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D81BDB"/>
    <w:multiLevelType w:val="hybridMultilevel"/>
    <w:tmpl w:val="ADAADAD6"/>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F055B"/>
    <w:rsid w:val="000B6985"/>
    <w:rsid w:val="001124EA"/>
    <w:rsid w:val="001370EA"/>
    <w:rsid w:val="0017175C"/>
    <w:rsid w:val="001B1B5D"/>
    <w:rsid w:val="001B7F64"/>
    <w:rsid w:val="00210214"/>
    <w:rsid w:val="0027753E"/>
    <w:rsid w:val="002B3036"/>
    <w:rsid w:val="00355372"/>
    <w:rsid w:val="00376FFA"/>
    <w:rsid w:val="00397AF0"/>
    <w:rsid w:val="003A1CEF"/>
    <w:rsid w:val="003F2A14"/>
    <w:rsid w:val="004119FB"/>
    <w:rsid w:val="004C51F2"/>
    <w:rsid w:val="004D4799"/>
    <w:rsid w:val="004E62F4"/>
    <w:rsid w:val="00583F21"/>
    <w:rsid w:val="005B4223"/>
    <w:rsid w:val="005F055B"/>
    <w:rsid w:val="005F17D9"/>
    <w:rsid w:val="00674263"/>
    <w:rsid w:val="007202EC"/>
    <w:rsid w:val="007879F8"/>
    <w:rsid w:val="00797E44"/>
    <w:rsid w:val="007A6068"/>
    <w:rsid w:val="007C2C7B"/>
    <w:rsid w:val="008825E3"/>
    <w:rsid w:val="00931BB6"/>
    <w:rsid w:val="00A66C97"/>
    <w:rsid w:val="00AA0BB9"/>
    <w:rsid w:val="00AA5022"/>
    <w:rsid w:val="00B0724B"/>
    <w:rsid w:val="00B25537"/>
    <w:rsid w:val="00B8741A"/>
    <w:rsid w:val="00CA2B60"/>
    <w:rsid w:val="00D11E3D"/>
    <w:rsid w:val="00D1654D"/>
    <w:rsid w:val="00DD1125"/>
    <w:rsid w:val="00EE39F8"/>
    <w:rsid w:val="00F26CD0"/>
    <w:rsid w:val="00F732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D4240-6CCA-44C7-BA2B-19ED4EB6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6FF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F055B"/>
    <w:pPr>
      <w:spacing w:after="0" w:line="240" w:lineRule="auto"/>
    </w:pPr>
  </w:style>
  <w:style w:type="paragraph" w:styleId="Textedebulles">
    <w:name w:val="Balloon Text"/>
    <w:basedOn w:val="Normal"/>
    <w:link w:val="TextedebullesCar"/>
    <w:uiPriority w:val="99"/>
    <w:semiHidden/>
    <w:unhideWhenUsed/>
    <w:rsid w:val="005F055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055B"/>
    <w:rPr>
      <w:rFonts w:ascii="Segoe UI" w:hAnsi="Segoe UI" w:cs="Segoe UI"/>
      <w:sz w:val="18"/>
      <w:szCs w:val="18"/>
    </w:rPr>
  </w:style>
  <w:style w:type="table" w:styleId="Grilledutableau">
    <w:name w:val="Table Grid"/>
    <w:basedOn w:val="TableauNormal"/>
    <w:uiPriority w:val="39"/>
    <w:unhideWhenUsed/>
    <w:rsid w:val="0027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A487E-85CB-40DA-8CF3-ADE213BD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390</Words>
  <Characters>2145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BONNEMORT</dc:creator>
  <cp:lastModifiedBy>Rémy BONNEMORT</cp:lastModifiedBy>
  <cp:revision>6</cp:revision>
  <dcterms:created xsi:type="dcterms:W3CDTF">2020-01-18T15:46:00Z</dcterms:created>
  <dcterms:modified xsi:type="dcterms:W3CDTF">2020-04-15T16:49:00Z</dcterms:modified>
</cp:coreProperties>
</file>