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BFB" w:rsidRPr="00912069" w:rsidRDefault="00151BFB" w:rsidP="00151BFB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 w:line="480" w:lineRule="atLeast"/>
        <w:jc w:val="both"/>
        <w:rPr>
          <w:rFonts w:ascii="Calibri" w:hAnsi="Calibri"/>
          <w:sz w:val="20"/>
        </w:rPr>
      </w:pPr>
      <w:r w:rsidRPr="00912069">
        <w:rPr>
          <w:rFonts w:ascii="Calibri" w:hAnsi="Calibri"/>
          <w:b/>
          <w:sz w:val="20"/>
        </w:rPr>
        <w:t>Titre :</w:t>
      </w:r>
      <w:r w:rsidRPr="00912069">
        <w:rPr>
          <w:rFonts w:ascii="Calibri" w:hAnsi="Calibri"/>
          <w:sz w:val="20"/>
        </w:rPr>
        <w:t xml:space="preserve"> </w:t>
      </w:r>
      <w:r>
        <w:rPr>
          <w:rFonts w:ascii="Calibri" w:hAnsi="Calibri"/>
          <w:sz w:val="20"/>
        </w:rPr>
        <w:t>Catalyse enzymatique de l’amidon par l’amylase (non présentée à l’oral par manque de temps)</w:t>
      </w:r>
    </w:p>
    <w:p w:rsidR="00151BFB" w:rsidRPr="00912069" w:rsidRDefault="00151BFB" w:rsidP="00151BFB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  <w:r w:rsidRPr="00912069">
        <w:rPr>
          <w:rFonts w:ascii="Calibri" w:hAnsi="Calibri"/>
          <w:b/>
          <w:sz w:val="20"/>
        </w:rPr>
        <w:t>Référence complète</w:t>
      </w:r>
      <w:r>
        <w:rPr>
          <w:rFonts w:ascii="Calibri" w:hAnsi="Calibri"/>
          <w:sz w:val="20"/>
        </w:rPr>
        <w:t> : Physique-Chimie TS Bordas 2012 p 235</w:t>
      </w:r>
    </w:p>
    <w:p w:rsidR="00151BFB" w:rsidRDefault="00151BFB" w:rsidP="00151BFB">
      <w:pPr>
        <w:pStyle w:val="Sansinterligne"/>
        <w:rPr>
          <w:u w:val="single"/>
        </w:rPr>
      </w:pPr>
      <w:r>
        <w:rPr>
          <w:u w:val="single"/>
        </w:rPr>
        <w:t>Produits :</w:t>
      </w:r>
    </w:p>
    <w:p w:rsidR="00151BFB" w:rsidRDefault="00151BFB" w:rsidP="00151BFB">
      <w:pPr>
        <w:pStyle w:val="Sansinterligne"/>
        <w:numPr>
          <w:ilvl w:val="0"/>
          <w:numId w:val="1"/>
        </w:numPr>
      </w:pPr>
      <w:r>
        <w:t>Solution d’amylase (« maxilase »= sorte de sirop pour la toux)</w:t>
      </w:r>
    </w:p>
    <w:p w:rsidR="00151BFB" w:rsidRDefault="00151BFB" w:rsidP="00151BFB">
      <w:pPr>
        <w:pStyle w:val="Sansinterligne"/>
        <w:numPr>
          <w:ilvl w:val="0"/>
          <w:numId w:val="1"/>
        </w:numPr>
      </w:pPr>
      <w:r>
        <w:t>Solution d’amidon à 1%</w:t>
      </w:r>
      <w:r w:rsidR="00E43475">
        <w:t xml:space="preserve"> (10g/L)</w:t>
      </w:r>
      <w:bookmarkStart w:id="0" w:name="_GoBack"/>
      <w:bookmarkEnd w:id="0"/>
    </w:p>
    <w:p w:rsidR="00151BFB" w:rsidRDefault="00151BFB" w:rsidP="00151BFB">
      <w:pPr>
        <w:pStyle w:val="Sansinterligne"/>
        <w:numPr>
          <w:ilvl w:val="0"/>
          <w:numId w:val="1"/>
        </w:numPr>
      </w:pPr>
      <w:r>
        <w:t>Liqueur de Fehling</w:t>
      </w:r>
    </w:p>
    <w:p w:rsidR="00151BFB" w:rsidRDefault="00151BFB" w:rsidP="00151BFB">
      <w:pPr>
        <w:pStyle w:val="Sansinterligne"/>
        <w:numPr>
          <w:ilvl w:val="0"/>
          <w:numId w:val="1"/>
        </w:numPr>
      </w:pPr>
      <w:r>
        <w:t>Solution de I</w:t>
      </w:r>
      <w:r w:rsidRPr="00265043">
        <w:rPr>
          <w:vertAlign w:val="subscript"/>
        </w:rPr>
        <w:t>2</w:t>
      </w:r>
      <w:r>
        <w:t xml:space="preserve"> dans KI (=eau iodée)</w:t>
      </w:r>
    </w:p>
    <w:p w:rsidR="00151BFB" w:rsidRPr="00AA0BB9" w:rsidRDefault="00151BFB" w:rsidP="00151BFB">
      <w:pPr>
        <w:pStyle w:val="Sansinterligne"/>
        <w:ind w:left="720"/>
      </w:pPr>
    </w:p>
    <w:p w:rsidR="00151BFB" w:rsidRDefault="00151BFB" w:rsidP="00151BFB">
      <w:pPr>
        <w:pStyle w:val="Sansinterligne"/>
        <w:rPr>
          <w:u w:val="single"/>
        </w:rPr>
      </w:pPr>
      <w:r>
        <w:rPr>
          <w:u w:val="single"/>
        </w:rPr>
        <w:t>Matériels :</w:t>
      </w:r>
    </w:p>
    <w:p w:rsidR="00151BFB" w:rsidRDefault="00151BFB" w:rsidP="00151BFB">
      <w:pPr>
        <w:pStyle w:val="Sansinterligne"/>
        <w:ind w:firstLine="708"/>
      </w:pPr>
      <w:r>
        <w:t>Bécher poubelle</w:t>
      </w:r>
    </w:p>
    <w:p w:rsidR="00151BFB" w:rsidRDefault="00151BFB" w:rsidP="00151BFB">
      <w:pPr>
        <w:pStyle w:val="Sansinterligne"/>
        <w:ind w:firstLine="708"/>
      </w:pPr>
      <w:r>
        <w:t>Gants</w:t>
      </w:r>
    </w:p>
    <w:p w:rsidR="00151BFB" w:rsidRDefault="00151BFB" w:rsidP="00151BFB">
      <w:pPr>
        <w:pStyle w:val="Sansinterligne"/>
        <w:ind w:firstLine="708"/>
      </w:pPr>
      <w:r>
        <w:t xml:space="preserve">Lunettes </w:t>
      </w:r>
    </w:p>
    <w:p w:rsidR="00151BFB" w:rsidRDefault="00151BFB" w:rsidP="00151BFB">
      <w:pPr>
        <w:pStyle w:val="Sansinterligne"/>
      </w:pPr>
    </w:p>
    <w:p w:rsidR="00151BFB" w:rsidRDefault="00151BFB" w:rsidP="00151BFB">
      <w:pPr>
        <w:pStyle w:val="Sansinterligne"/>
        <w:numPr>
          <w:ilvl w:val="1"/>
          <w:numId w:val="2"/>
        </w:numPr>
      </w:pPr>
      <w:r>
        <w:t>2 tubes à essais</w:t>
      </w:r>
    </w:p>
    <w:p w:rsidR="00151BFB" w:rsidRDefault="00151BFB" w:rsidP="00151BFB">
      <w:pPr>
        <w:pStyle w:val="Sansinterligne"/>
        <w:numPr>
          <w:ilvl w:val="1"/>
          <w:numId w:val="2"/>
        </w:numPr>
      </w:pPr>
      <w:r>
        <w:t>Porte-tubes</w:t>
      </w:r>
    </w:p>
    <w:p w:rsidR="00151BFB" w:rsidRDefault="00151BFB" w:rsidP="00151BFB">
      <w:pPr>
        <w:pStyle w:val="Sansinterligne"/>
        <w:numPr>
          <w:ilvl w:val="1"/>
          <w:numId w:val="2"/>
        </w:numPr>
      </w:pPr>
      <w:r>
        <w:t>2 béchers</w:t>
      </w:r>
    </w:p>
    <w:p w:rsidR="00151BFB" w:rsidRDefault="00151BFB" w:rsidP="00151BFB">
      <w:pPr>
        <w:pStyle w:val="Sansinterligne"/>
        <w:numPr>
          <w:ilvl w:val="1"/>
          <w:numId w:val="2"/>
        </w:numPr>
      </w:pPr>
      <w:r>
        <w:t>2 éprouvettes de 10 mL</w:t>
      </w:r>
    </w:p>
    <w:p w:rsidR="00151BFB" w:rsidRDefault="00151BFB" w:rsidP="00151BFB">
      <w:pPr>
        <w:pStyle w:val="Sansinterligne"/>
        <w:numPr>
          <w:ilvl w:val="1"/>
          <w:numId w:val="2"/>
        </w:numPr>
      </w:pPr>
      <w:r>
        <w:t>Décapeur thermique</w:t>
      </w:r>
    </w:p>
    <w:p w:rsidR="00151BFB" w:rsidRDefault="00151BFB" w:rsidP="00151BFB">
      <w:pPr>
        <w:pStyle w:val="Sansinterligne"/>
        <w:numPr>
          <w:ilvl w:val="1"/>
          <w:numId w:val="2"/>
        </w:numPr>
      </w:pPr>
      <w:r>
        <w:t>2 Pipettes plastiques</w:t>
      </w:r>
    </w:p>
    <w:p w:rsidR="00151BFB" w:rsidRDefault="00151BFB" w:rsidP="00151BFB">
      <w:pPr>
        <w:pStyle w:val="Sansinterligne"/>
        <w:numPr>
          <w:ilvl w:val="1"/>
          <w:numId w:val="2"/>
        </w:numPr>
      </w:pPr>
      <w:r>
        <w:t>Pince en bois</w:t>
      </w:r>
    </w:p>
    <w:p w:rsidR="00151BFB" w:rsidRDefault="00151BFB" w:rsidP="00151BFB">
      <w:pPr>
        <w:pStyle w:val="Sansinterligne"/>
        <w:rPr>
          <w:u w:val="single"/>
        </w:rPr>
      </w:pPr>
    </w:p>
    <w:p w:rsidR="00151BFB" w:rsidRDefault="00151BFB" w:rsidP="00151BFB">
      <w:pPr>
        <w:pStyle w:val="Sansinterligne"/>
        <w:rPr>
          <w:u w:val="single"/>
        </w:rPr>
      </w:pPr>
    </w:p>
    <w:p w:rsidR="00151BFB" w:rsidRDefault="00151BFB" w:rsidP="00151BFB">
      <w:pPr>
        <w:pStyle w:val="Sansinterligne"/>
        <w:rPr>
          <w:u w:val="single"/>
        </w:rPr>
      </w:pPr>
    </w:p>
    <w:p w:rsidR="00151BFB" w:rsidRDefault="00151BFB" w:rsidP="00151BFB">
      <w:pPr>
        <w:pStyle w:val="Sansinterligne"/>
      </w:pPr>
      <w:r>
        <w:rPr>
          <w:u w:val="single"/>
        </w:rPr>
        <w:t xml:space="preserve">Phase réalisée en préparation : </w:t>
      </w:r>
      <w:r>
        <w:t xml:space="preserve">introduction de 3 mL d’amidon dans 2 tubes à essais. Préparation de 3 mL d’eau et 3 mL d’amylase dans deux éprouvettes. </w:t>
      </w:r>
    </w:p>
    <w:p w:rsidR="00151BFB" w:rsidRDefault="00151BFB" w:rsidP="00151BFB">
      <w:pPr>
        <w:pStyle w:val="Sansinterligne"/>
        <w:rPr>
          <w:u w:val="single"/>
        </w:rPr>
      </w:pPr>
    </w:p>
    <w:p w:rsidR="00151BFB" w:rsidRDefault="00151BFB" w:rsidP="00151BFB">
      <w:pPr>
        <w:pStyle w:val="Sansinterligne"/>
      </w:pPr>
      <w:r w:rsidRPr="00265043">
        <w:rPr>
          <w:u w:val="single"/>
        </w:rPr>
        <w:t>Phase présentée au jury :</w:t>
      </w:r>
      <w:r>
        <w:rPr>
          <w:u w:val="single"/>
        </w:rPr>
        <w:t xml:space="preserve"> </w:t>
      </w:r>
      <w:r w:rsidRPr="00446D4B">
        <w:t xml:space="preserve">ajout de l’eau </w:t>
      </w:r>
      <w:r>
        <w:t>et de l’amylase dans les tubes d’amidon. Introduction de la liqueur de Fehling (test de présence de glucose) dans les tubes, les chauffer. PUIS y ajouter de l’eau iodée (test de présence d’amidon).</w:t>
      </w:r>
    </w:p>
    <w:p w:rsidR="00151BFB" w:rsidRDefault="00151BFB" w:rsidP="00151BFB">
      <w:pPr>
        <w:pStyle w:val="Sansinterligne"/>
      </w:pPr>
      <w:r w:rsidRPr="00726BEC">
        <w:t>Attention, même avec la catalyse, il restera de l’amidon dans la solution, donc le test à l’eau iodée sera positif.</w:t>
      </w:r>
    </w:p>
    <w:p w:rsidR="00151BFB" w:rsidRDefault="00151BFB" w:rsidP="00151BFB">
      <w:pPr>
        <w:pStyle w:val="Sansinterligne"/>
      </w:pPr>
    </w:p>
    <w:p w:rsidR="00151BFB" w:rsidRDefault="00151BFB" w:rsidP="00151BFB">
      <w:pPr>
        <w:pStyle w:val="Sansinterligne"/>
        <w:rPr>
          <w:u w:val="single"/>
        </w:rPr>
      </w:pPr>
      <w:r>
        <w:rPr>
          <w:u w:val="single"/>
        </w:rPr>
        <w:t>Ce que l’on doit observer :</w:t>
      </w:r>
    </w:p>
    <w:p w:rsidR="00151BFB" w:rsidRDefault="00151BFB" w:rsidP="00151BFB">
      <w:pPr>
        <w:pStyle w:val="Sansinterligne"/>
      </w:pPr>
      <w:r>
        <w:t>Le glucose et le maltose sont mis en évidence par la liqueur de Fehling -&gt; précipité rouge</w:t>
      </w:r>
    </w:p>
    <w:p w:rsidR="00151BFB" w:rsidRDefault="00151BFB" w:rsidP="00151BFB">
      <w:pPr>
        <w:pStyle w:val="Sansinterligne"/>
      </w:pPr>
      <w:r>
        <w:t>L’amidon est mis en évidence par l’eau iodée -&gt; coloration violette (voire noire si trop concentrée)</w:t>
      </w:r>
    </w:p>
    <w:p w:rsidR="00151BFB" w:rsidRDefault="00151BFB" w:rsidP="00151BFB">
      <w:pPr>
        <w:pStyle w:val="Sansinterligne"/>
      </w:pPr>
    </w:p>
    <w:p w:rsidR="00151BFB" w:rsidRDefault="00151BFB" w:rsidP="00151BFB">
      <w:pPr>
        <w:pStyle w:val="Sansinterligne"/>
      </w:pPr>
      <w:r>
        <w:t xml:space="preserve">La réaction et l’eau est inerte (même à 37°C) </w:t>
      </w:r>
    </w:p>
    <w:p w:rsidR="00151BFB" w:rsidRDefault="00151BFB" w:rsidP="00151BFB">
      <w:pPr>
        <w:pStyle w:val="Sansinterligne"/>
      </w:pPr>
    </w:p>
    <w:p w:rsidR="00151BFB" w:rsidRDefault="00151BFB" w:rsidP="00151BFB">
      <w:pPr>
        <w:pStyle w:val="Sansinterligne"/>
      </w:pPr>
      <w:r>
        <w:t>La solution contenant de l’acide chlorhydrique catalyse la réaction (catalyse acide)</w:t>
      </w:r>
    </w:p>
    <w:p w:rsidR="00151BFB" w:rsidRDefault="00151BFB" w:rsidP="00151BFB">
      <w:pPr>
        <w:pStyle w:val="Sansinterligne"/>
      </w:pPr>
      <w:r>
        <w:t>La solution contenant l’amylase catalyse également la réaction (catalyse enzymatique)</w:t>
      </w:r>
    </w:p>
    <w:p w:rsidR="00151BFB" w:rsidRDefault="00151BFB" w:rsidP="00151BFB">
      <w:pPr>
        <w:pStyle w:val="Sansinterligne"/>
      </w:pPr>
    </w:p>
    <w:p w:rsidR="00151BFB" w:rsidRPr="009C1C18" w:rsidRDefault="00151BFB" w:rsidP="00151BFB">
      <w:pPr>
        <w:pStyle w:val="Sansinterligne"/>
        <w:rPr>
          <w:u w:val="single"/>
        </w:rPr>
      </w:pPr>
      <w:r w:rsidRPr="009C1C18">
        <w:rPr>
          <w:u w:val="single"/>
        </w:rPr>
        <w:t>Pour la leçon 12 :</w:t>
      </w:r>
    </w:p>
    <w:p w:rsidR="00151BFB" w:rsidRDefault="00151BFB" w:rsidP="00151BFB">
      <w:pPr>
        <w:pStyle w:val="Sansinterligne"/>
      </w:pPr>
      <w:r>
        <w:tab/>
        <w:t xml:space="preserve">Dans un bain marie à 37°C (température corporelle) faire chauffer deux tubes contenant de l’amidon. </w:t>
      </w:r>
    </w:p>
    <w:p w:rsidR="00151BFB" w:rsidRDefault="00151BFB" w:rsidP="00151BFB">
      <w:pPr>
        <w:pStyle w:val="Sansinterligne"/>
      </w:pPr>
      <w:r>
        <w:tab/>
        <w:t>Ajouter dans un des tubes de l’amylase (l’autre servant de tube témoin)</w:t>
      </w:r>
    </w:p>
    <w:p w:rsidR="00151BFB" w:rsidRDefault="00151BFB" w:rsidP="00151BFB">
      <w:pPr>
        <w:pStyle w:val="Sansinterligne"/>
      </w:pPr>
      <w:r>
        <w:tab/>
        <w:t>Ajouter de la solution iodée dans les deux tubes dix minutes après – celui contenant de l’amylase ne doit pas être modifié</w:t>
      </w:r>
    </w:p>
    <w:p w:rsidR="00151BFB" w:rsidRDefault="00151BFB" w:rsidP="00151BFB">
      <w:pPr>
        <w:pStyle w:val="Sansinterligne"/>
      </w:pPr>
      <w:r>
        <w:lastRenderedPageBreak/>
        <w:tab/>
        <w:t>Faire chauffer un tube contenant uniquement de l’amylase à 87°C puis ajouter hors du bain marie de l’amidon ; laisser reposer et ajouter du diiode – ce tube doit réagir car il contient toujours de l’amidon</w:t>
      </w:r>
    </w:p>
    <w:p w:rsidR="008D721D" w:rsidRDefault="008D721D"/>
    <w:sectPr w:rsidR="008D72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C24D0"/>
    <w:multiLevelType w:val="hybridMultilevel"/>
    <w:tmpl w:val="85241BA2"/>
    <w:lvl w:ilvl="0" w:tplc="DC6A914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41E54"/>
    <w:multiLevelType w:val="hybridMultilevel"/>
    <w:tmpl w:val="4574D11A"/>
    <w:lvl w:ilvl="0" w:tplc="DC6A914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BFB"/>
    <w:rsid w:val="00151BFB"/>
    <w:rsid w:val="008D721D"/>
    <w:rsid w:val="00E4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A65E1"/>
  <w15:chartTrackingRefBased/>
  <w15:docId w15:val="{2C812338-0BDF-4B48-9F34-7A11C0B3A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1BF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51B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BONNEMORT</dc:creator>
  <cp:keywords/>
  <dc:description/>
  <cp:lastModifiedBy>Rémy BONNEMORT</cp:lastModifiedBy>
  <cp:revision>2</cp:revision>
  <dcterms:created xsi:type="dcterms:W3CDTF">2020-04-11T17:48:00Z</dcterms:created>
  <dcterms:modified xsi:type="dcterms:W3CDTF">2020-04-11T17:55:00Z</dcterms:modified>
</cp:coreProperties>
</file>