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CCD" w:rsidRDefault="004214CF" w:rsidP="00B73CCD">
      <w:pPr>
        <w:pStyle w:val="Sansinterligne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-80645</wp:posOffset>
                </wp:positionV>
                <wp:extent cx="1257300" cy="67627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762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4316" w:rsidRPr="00B73CCD" w:rsidRDefault="00F7431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73CCD"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LC 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6.85pt;margin-top:-6.35pt;width:99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" fillcolor="#0070c0" stroked="f" strokeweight=".5pt">
                <v:textbox>
                  <w:txbxContent>
                    <w:p w:rsidR="00F74316" w:rsidRPr="00B73CCD" w:rsidRDefault="00F74316">
                      <w:pPr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73CCD"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LC </w:t>
                      </w:r>
                      <w:r>
                        <w:rPr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B73CCD">
        <w:tab/>
      </w:r>
      <w:proofErr w:type="spellStart"/>
      <w:r w:rsidR="00B73CCD">
        <w:t>Sép</w:t>
      </w:r>
      <w:proofErr w:type="spellEnd"/>
      <w:r w:rsidR="00B73CCD">
        <w:tab/>
      </w:r>
      <w:r w:rsidR="00B73CCD">
        <w:tab/>
      </w:r>
    </w:p>
    <w:p w:rsidR="00A93F6B" w:rsidRDefault="00747602" w:rsidP="00D91081">
      <w:pPr>
        <w:pStyle w:val="Sansinterligne"/>
        <w:ind w:left="2124" w:firstLine="6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Détermination de constante d’équilibre</w:t>
      </w:r>
    </w:p>
    <w:p w:rsidR="00B73CCD" w:rsidRDefault="00B73CCD" w:rsidP="00B73CCD">
      <w:pPr>
        <w:pStyle w:val="Sansinterlig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B73CCD">
        <w:rPr>
          <w:i/>
          <w:iCs/>
        </w:rPr>
        <w:t xml:space="preserve">Niveau : </w:t>
      </w:r>
      <w:r w:rsidR="00704C19">
        <w:rPr>
          <w:i/>
          <w:iCs/>
        </w:rPr>
        <w:t>CPGE</w:t>
      </w:r>
    </w:p>
    <w:p w:rsidR="00B73CCD" w:rsidRPr="00B73CCD" w:rsidRDefault="00B73CCD" w:rsidP="00B73CCD"/>
    <w:p w:rsidR="00B73CCD" w:rsidRDefault="00B73CCD" w:rsidP="00B73CCD">
      <w:pPr>
        <w:tabs>
          <w:tab w:val="left" w:pos="1770"/>
        </w:tabs>
        <w:rPr>
          <w:b/>
          <w:bCs/>
          <w:sz w:val="24"/>
          <w:szCs w:val="24"/>
        </w:rPr>
      </w:pPr>
    </w:p>
    <w:p w:rsidR="00B73CCD" w:rsidRDefault="00B73CCD" w:rsidP="0045262E">
      <w:pPr>
        <w:pStyle w:val="Sansinterligne"/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Bibliographie : </w:t>
      </w:r>
    </w:p>
    <w:p w:rsidR="00C4012D" w:rsidRPr="00C4012D" w:rsidRDefault="00A27575" w:rsidP="0045262E">
      <w:pPr>
        <w:pStyle w:val="Sansinterligne"/>
        <w:rPr>
          <w:sz w:val="18"/>
          <w:szCs w:val="18"/>
        </w:rPr>
      </w:pPr>
      <w:r>
        <w:t>[</w:t>
      </w:r>
      <w:r w:rsidR="000F3D5A">
        <w:t>1</w:t>
      </w:r>
      <w:r>
        <w:t>]</w:t>
      </w:r>
      <w:r w:rsidR="00DB3AD7">
        <w:t xml:space="preserve"> </w:t>
      </w:r>
      <w:r w:rsidR="00C4012D" w:rsidRPr="00C4012D">
        <w:rPr>
          <w:sz w:val="18"/>
          <w:szCs w:val="18"/>
        </w:rPr>
        <w:t>Jean-François Le MARÉCHAL et Bénédicte NOWAK-LECLERCQ. La chimie expérimentale . Chimie générale. Dunod,2004.</w:t>
      </w:r>
    </w:p>
    <w:p w:rsidR="00DB3AD7" w:rsidRPr="00E51019" w:rsidRDefault="00AA5A6F" w:rsidP="0045262E">
      <w:pPr>
        <w:pStyle w:val="Sansinterligne"/>
      </w:pPr>
      <w:r>
        <w:t xml:space="preserve">[2] </w:t>
      </w:r>
      <w:r w:rsidR="00E51019">
        <w:t xml:space="preserve">Jean-François LE MARECHAL. </w:t>
      </w:r>
      <w:r w:rsidR="00E51019">
        <w:rPr>
          <w:i/>
          <w:iCs/>
        </w:rPr>
        <w:t>La chimie expérimentale : chimie générale.</w:t>
      </w:r>
      <w:r w:rsidR="00E51019">
        <w:t xml:space="preserve"> Dunod, 1999</w:t>
      </w:r>
    </w:p>
    <w:p w:rsidR="00AA5A6F" w:rsidRDefault="00AA5A6F" w:rsidP="0045262E">
      <w:pPr>
        <w:pStyle w:val="Sansinterligne"/>
      </w:pPr>
      <w:r>
        <w:t xml:space="preserve">[3] </w:t>
      </w:r>
      <w:r w:rsidR="00456087">
        <w:t xml:space="preserve">Florence </w:t>
      </w:r>
      <w:proofErr w:type="spellStart"/>
      <w:r w:rsidR="00456087">
        <w:t>Porteu</w:t>
      </w:r>
      <w:proofErr w:type="spellEnd"/>
      <w:r w:rsidR="00456087">
        <w:t xml:space="preserve"> de Buchères. </w:t>
      </w:r>
      <w:r w:rsidR="00456087">
        <w:rPr>
          <w:i/>
          <w:iCs/>
        </w:rPr>
        <w:t>Épreuve orale de chimie</w:t>
      </w:r>
      <w:r w:rsidR="00456087">
        <w:t xml:space="preserve">. </w:t>
      </w:r>
    </w:p>
    <w:p w:rsidR="00AA5A6F" w:rsidRDefault="00AA5A6F" w:rsidP="0045262E">
      <w:pPr>
        <w:pStyle w:val="Sansinterligne"/>
      </w:pPr>
      <w:r>
        <w:t xml:space="preserve">[4] </w:t>
      </w:r>
      <w:r w:rsidRPr="00AA5A6F">
        <w:t>Danielle CACHAU-HEREILLAT.DesexpériencesdelafamilleAcide-Base.deboeck,2005.</w:t>
      </w:r>
    </w:p>
    <w:p w:rsidR="00B73CCD" w:rsidRPr="0045262E" w:rsidRDefault="00B73CCD" w:rsidP="0045262E">
      <w:pPr>
        <w:pStyle w:val="Sansinterligne"/>
        <w:pBdr>
          <w:top w:val="single" w:sz="4" w:space="1" w:color="auto"/>
        </w:pBdr>
      </w:pPr>
      <w:r w:rsidRPr="005D1215">
        <w:rPr>
          <w:b/>
          <w:bCs/>
          <w:u w:val="single"/>
        </w:rPr>
        <w:t>Expériences</w:t>
      </w:r>
      <w:r w:rsidR="00480C50">
        <w:rPr>
          <w:b/>
          <w:bCs/>
          <w:u w:val="single"/>
        </w:rPr>
        <w:t> </w:t>
      </w:r>
      <w:r w:rsidRPr="005D1215">
        <w:rPr>
          <w:b/>
          <w:bCs/>
          <w:u w:val="single"/>
        </w:rPr>
        <w:t>:</w:t>
      </w:r>
    </w:p>
    <w:p w:rsidR="000F3D5A" w:rsidRDefault="00456087" w:rsidP="00C2172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Pile Daniell</w:t>
      </w:r>
    </w:p>
    <w:p w:rsidR="003639ED" w:rsidRDefault="003639ED" w:rsidP="00C2172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pKs</w:t>
      </w:r>
      <w:proofErr w:type="spellEnd"/>
      <w:r>
        <w:t xml:space="preserve"> de l’iodure de plomb</w:t>
      </w:r>
    </w:p>
    <w:p w:rsidR="00456087" w:rsidRDefault="00456087" w:rsidP="00C2172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Détermination du </w:t>
      </w:r>
      <w:proofErr w:type="spellStart"/>
      <w:r>
        <w:t>pKa</w:t>
      </w:r>
      <w:proofErr w:type="spellEnd"/>
      <w:r>
        <w:t xml:space="preserve"> du BBT [3]p.135</w:t>
      </w:r>
    </w:p>
    <w:p w:rsidR="00C4012D" w:rsidRDefault="00C4012D" w:rsidP="00C2172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Pluie d’or [1]p.229 </w:t>
      </w:r>
    </w:p>
    <w:p w:rsidR="00E51019" w:rsidRDefault="00E51019" w:rsidP="00E5101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</w:pPr>
      <w:r>
        <w:t>Acide acétique [4]p.259 ou [2]p.19</w:t>
      </w:r>
    </w:p>
    <w:p w:rsidR="00B73CCD" w:rsidRDefault="00B73CCD" w:rsidP="00B65F39">
      <w:pPr>
        <w:pStyle w:val="Sansinterligne"/>
        <w:pBdr>
          <w:top w:val="single" w:sz="4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>Prérequis</w:t>
      </w:r>
      <w:r w:rsidR="00480C50">
        <w:rPr>
          <w:b/>
          <w:bCs/>
          <w:u w:val="single"/>
        </w:rPr>
        <w:t> </w:t>
      </w:r>
      <w:r>
        <w:rPr>
          <w:b/>
          <w:bCs/>
          <w:u w:val="single"/>
        </w:rPr>
        <w:t>:</w:t>
      </w:r>
    </w:p>
    <w:p w:rsidR="006D1AC6" w:rsidRDefault="00490DFC" w:rsidP="00D94509">
      <w:pPr>
        <w:pStyle w:val="Sansinterligne"/>
        <w:numPr>
          <w:ilvl w:val="0"/>
          <w:numId w:val="1"/>
        </w:numPr>
      </w:pPr>
      <w:r>
        <w:t>Réaction acido-basique</w:t>
      </w:r>
    </w:p>
    <w:p w:rsidR="00CF3B10" w:rsidRDefault="00747602" w:rsidP="00D94509">
      <w:pPr>
        <w:pStyle w:val="Sansinterligne"/>
        <w:numPr>
          <w:ilvl w:val="0"/>
          <w:numId w:val="1"/>
        </w:numPr>
      </w:pPr>
      <w:r>
        <w:t>Réaction d’oxydo-réduction</w:t>
      </w:r>
    </w:p>
    <w:p w:rsidR="00C4012D" w:rsidRDefault="00C4012D" w:rsidP="00D94509">
      <w:pPr>
        <w:pStyle w:val="Sansinterligne"/>
        <w:numPr>
          <w:ilvl w:val="0"/>
          <w:numId w:val="1"/>
        </w:numPr>
      </w:pPr>
      <w:r>
        <w:t>Réaction de précipitation</w:t>
      </w:r>
    </w:p>
    <w:p w:rsidR="00747602" w:rsidRDefault="00747602" w:rsidP="00D94509">
      <w:pPr>
        <w:pStyle w:val="Sansinterligne"/>
        <w:numPr>
          <w:ilvl w:val="0"/>
          <w:numId w:val="1"/>
        </w:numPr>
      </w:pPr>
      <w:r>
        <w:t>Spectroscopie UV-Visible</w:t>
      </w:r>
    </w:p>
    <w:p w:rsidR="00C4012D" w:rsidRDefault="00747602" w:rsidP="00C4012D">
      <w:pPr>
        <w:pStyle w:val="Sansinterligne"/>
        <w:numPr>
          <w:ilvl w:val="0"/>
          <w:numId w:val="1"/>
        </w:numPr>
      </w:pPr>
      <w:r>
        <w:t>Thermochimie : état standard</w:t>
      </w:r>
    </w:p>
    <w:p w:rsidR="00384446" w:rsidRDefault="00EB5F2B" w:rsidP="00733EDB">
      <w:pPr>
        <w:pStyle w:val="Sansinterligne"/>
        <w:pBdr>
          <w:top w:val="single" w:sz="4" w:space="1" w:color="auto"/>
          <w:bottom w:val="single" w:sz="2" w:space="1" w:color="auto"/>
        </w:pBdr>
      </w:pPr>
      <w:r>
        <w:t>Attention à</w:t>
      </w:r>
      <w:r w:rsidR="0052616B">
        <w:t xml:space="preserve"> bien utiliser le « standard » et pas « zéro ».</w:t>
      </w:r>
    </w:p>
    <w:p w:rsidR="004822B2" w:rsidRDefault="004822B2" w:rsidP="00733EDB">
      <w:pPr>
        <w:pStyle w:val="Sansinterligne"/>
        <w:pBdr>
          <w:top w:val="single" w:sz="4" w:space="1" w:color="auto"/>
          <w:bottom w:val="single" w:sz="2" w:space="1" w:color="auto"/>
        </w:pBdr>
        <w:rPr>
          <w:rFonts w:eastAsiaTheme="minorEastAsia"/>
        </w:rPr>
      </w:pPr>
      <w:r>
        <w:t xml:space="preserve">Ne pas oublier les équilibres dans l’expression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>
        <w:rPr>
          <w:rFonts w:eastAsiaTheme="minorEastAsia"/>
        </w:rPr>
        <w:t xml:space="preserve"> et ne pas oublier la dépendance en température.</w:t>
      </w:r>
    </w:p>
    <w:p w:rsidR="000F7266" w:rsidRDefault="000F7266" w:rsidP="00733EDB">
      <w:pPr>
        <w:pStyle w:val="Sansinterligne"/>
        <w:pBdr>
          <w:top w:val="single" w:sz="4" w:space="1" w:color="auto"/>
          <w:bottom w:val="single" w:sz="2" w:space="1" w:color="auto"/>
        </w:pBdr>
      </w:pPr>
      <w:r>
        <w:rPr>
          <w:rFonts w:eastAsiaTheme="minorEastAsia"/>
        </w:rPr>
        <w:t>Réfléchir à baser peut-être toute la leçon sur l’acide benzoïque</w:t>
      </w:r>
      <w:r w:rsidR="00FD2EE3">
        <w:rPr>
          <w:rFonts w:eastAsiaTheme="minorEastAsia"/>
        </w:rPr>
        <w:t> : conservateur alimentaire</w:t>
      </w:r>
    </w:p>
    <w:p w:rsidR="000F3D5A" w:rsidRDefault="00733EDB" w:rsidP="00384446">
      <w:pPr>
        <w:pStyle w:val="Sansinterligne"/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In</w:t>
      </w:r>
      <w:r w:rsidR="000F3D5A">
        <w:rPr>
          <w:b/>
          <w:bCs/>
        </w:rPr>
        <w:t>troduction :</w:t>
      </w:r>
    </w:p>
    <w:p w:rsidR="00023909" w:rsidRDefault="00023909" w:rsidP="00023909">
      <w:pPr>
        <w:pStyle w:val="Sansinterligne"/>
      </w:pPr>
    </w:p>
    <w:p w:rsidR="00747602" w:rsidRDefault="00747602" w:rsidP="00023909">
      <w:pPr>
        <w:pStyle w:val="Sansinterligne"/>
      </w:pPr>
      <w:r>
        <w:tab/>
        <w:t>La détermination de constantes d’équilibre est importante en chimie pour connaitre la composition du système étudié à l’équilibre.</w:t>
      </w:r>
    </w:p>
    <w:p w:rsidR="00747602" w:rsidRDefault="00747602" w:rsidP="00023909">
      <w:pPr>
        <w:pStyle w:val="Sansinterligne"/>
      </w:pPr>
      <w:r>
        <w:tab/>
        <w:t>Au cours de cette leçon, nous allons voir comment déterminer expérimentalement la constante d’équilibre associée à une réaction.</w:t>
      </w:r>
    </w:p>
    <w:p w:rsidR="00747602" w:rsidRDefault="00747602" w:rsidP="00023909">
      <w:pPr>
        <w:pStyle w:val="Sansinterligne"/>
      </w:pPr>
    </w:p>
    <w:p w:rsidR="00747602" w:rsidRPr="00747602" w:rsidRDefault="00747602" w:rsidP="00747602">
      <w:pPr>
        <w:pStyle w:val="Sansinterligne"/>
        <w:numPr>
          <w:ilvl w:val="0"/>
          <w:numId w:val="15"/>
        </w:numPr>
        <w:rPr>
          <w:b/>
          <w:bCs/>
          <w:smallCaps/>
          <w:u w:val="single"/>
        </w:rPr>
      </w:pPr>
      <w:r>
        <w:rPr>
          <w:b/>
          <w:bCs/>
          <w:u w:val="single"/>
        </w:rPr>
        <w:t>Expressions de la constante d’équilibre</w:t>
      </w:r>
    </w:p>
    <w:p w:rsidR="00747602" w:rsidRDefault="00747602" w:rsidP="00747602">
      <w:pPr>
        <w:pStyle w:val="Sansinterligne"/>
        <w:rPr>
          <w:b/>
          <w:bCs/>
        </w:rPr>
      </w:pPr>
    </w:p>
    <w:p w:rsidR="00747602" w:rsidRDefault="00747602" w:rsidP="00747602">
      <w:pPr>
        <w:pStyle w:val="Sansinterligne"/>
      </w:pPr>
      <w:r>
        <w:t>Considérons l’expression de la différentielle de l’enthalpie libre :</w:t>
      </w:r>
    </w:p>
    <w:p w:rsidR="00747602" w:rsidRPr="006704C8" w:rsidRDefault="00747602" w:rsidP="00747602">
      <w:pPr>
        <w:pStyle w:val="Sansinterligne"/>
        <w:rPr>
          <w:rFonts w:eastAsiaTheme="minorEastAsia"/>
          <w:smallCaps/>
        </w:rPr>
      </w:pPr>
      <m:oMathPara>
        <m:oMath>
          <m:r>
            <w:rPr>
              <w:rFonts w:ascii="Cambria Math" w:hAnsi="Cambria Math"/>
              <w:smallCaps/>
            </w:rPr>
            <m:t>dG</m:t>
          </m:r>
          <m:d>
            <m:dPr>
              <m:ctrlPr>
                <w:rPr>
                  <w:rFonts w:ascii="Cambria Math" w:hAnsi="Cambria Math"/>
                  <w:i/>
                  <w:smallCaps/>
                </w:rPr>
              </m:ctrlPr>
            </m:dPr>
            <m:e>
              <m:r>
                <w:rPr>
                  <w:rFonts w:ascii="Cambria Math" w:hAnsi="Cambria Math"/>
                  <w:smallCaps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mallCaps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mallCaps/>
            </w:rPr>
            <m:t xml:space="preserve">=VdP-SdT+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mallCaps/>
                </w:rPr>
              </m:ctrlPr>
            </m:naryPr>
            <m:sub>
              <m:r>
                <w:rPr>
                  <w:rFonts w:ascii="Cambria Math" w:hAnsi="Cambria Math"/>
                  <w:smallCaps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mallCap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mallCap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mallCaps/>
                            </w:rPr>
                            <m:t>∂G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mallCaps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mallCap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mallCaps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mallCaps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smallCaps/>
                    </w:rPr>
                    <m:t xml:space="preserve">T,P,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mallCap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mallCaps/>
                        </w:rPr>
                        <m:t>j≠i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mallCaps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sSubPr>
                <m:e>
                  <m:r>
                    <w:rPr>
                      <w:rFonts w:ascii="Cambria Math" w:hAnsi="Cambria Math"/>
                      <w:smallCaps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mallCaps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mallCaps/>
                </w:rPr>
                <m:t xml:space="preserve">= VdP-SdT+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mallCaps/>
                    </w:rPr>
                  </m:ctrlPr>
                </m:naryPr>
                <m:sub>
                  <m:r>
                    <w:rPr>
                      <w:rFonts w:ascii="Cambria Math" w:hAnsi="Cambria Math"/>
                      <w:smallCaps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mallCap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mallCaps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mallCaps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mallCap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mallCaps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mallCaps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6704C8" w:rsidRDefault="006704C8" w:rsidP="00747602">
      <w:pPr>
        <w:pStyle w:val="Sansinterligne"/>
        <w:rPr>
          <w:rFonts w:eastAsiaTheme="minorEastAsia"/>
        </w:rPr>
      </w:pPr>
      <w:r>
        <w:rPr>
          <w:rFonts w:eastAsiaTheme="minorEastAsia"/>
          <w:smallCaps/>
        </w:rPr>
        <w:t>N</w:t>
      </w:r>
      <w:r>
        <w:rPr>
          <w:rFonts w:eastAsiaTheme="minorEastAsia"/>
        </w:rPr>
        <w:t>éanmoins, en considérant l’enthalpie libre comme une fonction des variables T,P et ξ,</w:t>
      </w:r>
    </w:p>
    <w:p w:rsidR="006704C8" w:rsidRPr="006704C8" w:rsidRDefault="006704C8" w:rsidP="00747602">
      <w:pPr>
        <w:pStyle w:val="Sansinterligne"/>
      </w:pPr>
      <m:oMathPara>
        <m:oMath>
          <m:r>
            <w:rPr>
              <w:rFonts w:ascii="Cambria Math" w:hAnsi="Cambria Math"/>
            </w:rPr>
            <m:t>dG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T,P,ξ</m:t>
              </m:r>
            </m:e>
          </m:d>
          <m:r>
            <w:rPr>
              <w:rFonts w:ascii="Cambria Math" w:hAnsi="Cambria Math"/>
            </w:rPr>
            <m:t>=VdP-SdT+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Gdξ</m:t>
          </m:r>
        </m:oMath>
      </m:oMathPara>
    </w:p>
    <w:p w:rsidR="00415417" w:rsidRDefault="006704C8" w:rsidP="002C40C4">
      <w:pPr>
        <w:pStyle w:val="Sansinterligne"/>
        <w:rPr>
          <w:rFonts w:eastAsiaTheme="minorEastAsia"/>
        </w:rPr>
      </w:pPr>
      <w:r>
        <w:t xml:space="preserve">Ainsi,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Gdξ=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et d’après l’expression de la variable de de Donder</w:t>
      </w:r>
      <w:r>
        <w:rPr>
          <w:rStyle w:val="Appelnotedebasdep"/>
          <w:rFonts w:eastAsiaTheme="minorEastAsia"/>
        </w:rPr>
        <w:footnoteReference w:id="1"/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dξ</m:t>
        </m:r>
      </m:oMath>
      <w:r>
        <w:rPr>
          <w:rFonts w:eastAsiaTheme="minorEastAsia"/>
        </w:rPr>
        <w:t xml:space="preserve">, on trouve </w:t>
      </w:r>
    </w:p>
    <w:p w:rsidR="006704C8" w:rsidRPr="0046669E" w:rsidRDefault="00F74316" w:rsidP="002C40C4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G=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6669E" w:rsidRDefault="0046669E" w:rsidP="002C40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De plus, on admet (hors programme CPGE – voir chapitre thermochimie sur les potentiels chimiques diapo 11/31 pour l’établissement dans le cas des gaz parfaits) que le potentiel chimique est donné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°</m:t>
            </m:r>
          </m:sup>
        </m:sSubSup>
        <m:r>
          <w:rPr>
            <w:rFonts w:ascii="Cambria Math" w:eastAsiaTheme="minorEastAsia" w:hAnsi="Cambria Math"/>
          </w:rPr>
          <m:t>(T)+RT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 où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est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activité.</m:t>
        </m:r>
      </m:oMath>
    </w:p>
    <w:p w:rsidR="0046669E" w:rsidRDefault="0046669E" w:rsidP="002C40C4">
      <w:pPr>
        <w:pStyle w:val="Sansinterligne"/>
        <w:rPr>
          <w:rFonts w:eastAsiaTheme="minorEastAsia"/>
        </w:rPr>
      </w:pPr>
    </w:p>
    <w:p w:rsidR="0046669E" w:rsidRDefault="0046669E" w:rsidP="002C40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G=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°</m:t>
                </m:r>
              </m:sup>
            </m:sSubSup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+RT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+RT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=RT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°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(T)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e>
            </m:func>
          </m:e>
        </m:nary>
        <m:r>
          <w:rPr>
            <w:rFonts w:ascii="Cambria Math" w:eastAsiaTheme="minorEastAsia" w:hAnsi="Cambria Math"/>
          </w:rPr>
          <m:t xml:space="preserve"> où Q=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</m:e>
        </m:nary>
      </m:oMath>
    </w:p>
    <w:p w:rsidR="0046669E" w:rsidRDefault="0046669E" w:rsidP="002C40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 -RT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C51D31">
        <w:rPr>
          <w:rFonts w:eastAsiaTheme="minorEastAsia"/>
        </w:rPr>
        <w:t xml:space="preserve"> et à l’équilibre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G=0⇒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eq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AA0EE0">
        <w:rPr>
          <w:rFonts w:eastAsiaTheme="minorEastAsia"/>
        </w:rPr>
        <w:t xml:space="preserve"> (Loi de Guldberg et Waage</w:t>
      </w:r>
      <w:r w:rsidR="00AA0EE0">
        <w:rPr>
          <w:rStyle w:val="Appelnotedebasdep"/>
          <w:rFonts w:eastAsiaTheme="minorEastAsia"/>
        </w:rPr>
        <w:footnoteReference w:id="2"/>
      </w:r>
      <w:r w:rsidR="00AA0EE0">
        <w:rPr>
          <w:rFonts w:eastAsiaTheme="minorEastAsia"/>
        </w:rPr>
        <w:t>)</w:t>
      </w:r>
    </w:p>
    <w:p w:rsidR="00F74316" w:rsidRDefault="00F74316" w:rsidP="002C40C4">
      <w:pPr>
        <w:pStyle w:val="Sansinterligne"/>
        <w:rPr>
          <w:rFonts w:eastAsiaTheme="minorEastAsia"/>
        </w:rPr>
      </w:pPr>
    </w:p>
    <w:p w:rsidR="00DF17CF" w:rsidRDefault="00DF17CF" w:rsidP="00DF17CF">
      <w:pPr>
        <w:pStyle w:val="Sansinterligne"/>
        <w:pBdr>
          <w:left w:val="thinThickSmallGap" w:sz="24" w:space="4" w:color="00B050"/>
        </w:pBdr>
        <w:rPr>
          <w:rFonts w:eastAsiaTheme="minorEastAsia"/>
          <w:b/>
          <w:bCs/>
          <w:smallCaps/>
        </w:rPr>
      </w:pPr>
      <w:r>
        <w:rPr>
          <w:rFonts w:eastAsiaTheme="minorEastAsia"/>
          <w:b/>
          <w:bCs/>
          <w:smallCaps/>
        </w:rPr>
        <w:t xml:space="preserve">Transition : Commençons par appliquer le plus simplement la formulation thermochimie permettant de remonter à la constante d’équilibre. </w:t>
      </w:r>
    </w:p>
    <w:p w:rsidR="00DF17CF" w:rsidRPr="00DF17CF" w:rsidRDefault="00DF17CF" w:rsidP="002C40C4">
      <w:pPr>
        <w:pStyle w:val="Sansinterligne"/>
        <w:rPr>
          <w:rFonts w:eastAsiaTheme="minorEastAsia"/>
          <w:b/>
          <w:bCs/>
          <w:smallCaps/>
        </w:rPr>
      </w:pPr>
    </w:p>
    <w:p w:rsidR="002344FB" w:rsidRDefault="007B1658" w:rsidP="007B1658">
      <w:pPr>
        <w:pStyle w:val="Sansinterligne"/>
        <w:numPr>
          <w:ilvl w:val="0"/>
          <w:numId w:val="15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Application de la définition thermodynamique</w:t>
      </w:r>
    </w:p>
    <w:p w:rsidR="007B1658" w:rsidRDefault="007B1658" w:rsidP="007B1658">
      <w:pPr>
        <w:pStyle w:val="Sansinterligne"/>
        <w:rPr>
          <w:rFonts w:eastAsiaTheme="minorEastAsia"/>
        </w:rPr>
      </w:pPr>
    </w:p>
    <w:p w:rsidR="007B1658" w:rsidRDefault="007B1658" w:rsidP="007B165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Dans cette partie, on va mesurer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  <w:r>
        <w:rPr>
          <w:rFonts w:eastAsiaTheme="minorEastAsia"/>
        </w:rPr>
        <w:t xml:space="preserve"> et en déduire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</m:oMath>
      <w:r>
        <w:rPr>
          <w:rFonts w:eastAsiaTheme="minorEastAsia"/>
        </w:rPr>
        <w:t>.</w:t>
      </w:r>
    </w:p>
    <w:p w:rsidR="007B1658" w:rsidRDefault="007B1658" w:rsidP="007B1658">
      <w:pPr>
        <w:pStyle w:val="Sansinterligne"/>
        <w:rPr>
          <w:rFonts w:eastAsiaTheme="minorEastAsia"/>
        </w:rPr>
      </w:pPr>
    </w:p>
    <w:p w:rsidR="007B1658" w:rsidRPr="002F2FAF" w:rsidRDefault="007B1658" w:rsidP="007B1658">
      <w:pPr>
        <w:pStyle w:val="Sansinterligne"/>
        <w:rPr>
          <w:rFonts w:eastAsiaTheme="minorEastAsia"/>
          <w:color w:val="7030A0"/>
        </w:rPr>
      </w:pPr>
      <w:r>
        <w:rPr>
          <w:rFonts w:eastAsiaTheme="minorEastAsia"/>
        </w:rPr>
        <w:t>Nous allons illustrer cette détermination de la constante d’équilibre sur un exemple d’oxydoréduction : la pile Daniell.</w:t>
      </w:r>
      <w:r w:rsidR="002F2FAF">
        <w:rPr>
          <w:rFonts w:eastAsiaTheme="minorEastAsia"/>
        </w:rPr>
        <w:t xml:space="preserve"> </w:t>
      </w:r>
      <w:r w:rsidR="002F2FAF">
        <w:rPr>
          <w:rFonts w:eastAsiaTheme="minorEastAsia"/>
          <w:color w:val="7030A0"/>
        </w:rPr>
        <w:t>(Diapo)</w:t>
      </w:r>
    </w:p>
    <w:p w:rsidR="007B1658" w:rsidRDefault="007B1658" w:rsidP="007B1658">
      <w:pPr>
        <w:pStyle w:val="Sansinterligne"/>
        <w:rPr>
          <w:rFonts w:eastAsiaTheme="minorEastAsia"/>
        </w:rPr>
      </w:pPr>
    </w:p>
    <w:p w:rsidR="007B1658" w:rsidRDefault="007B1658" w:rsidP="007B1658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On obtient la réaction bilan à partir de la règle du Gamma 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Cu</m:t>
            </m:r>
          </m:e>
          <m:sub>
            <m:r>
              <w:rPr>
                <w:rFonts w:ascii="Cambria Math" w:eastAsiaTheme="minorEastAsia" w:hAnsi="Cambria Math"/>
              </w:rPr>
              <m:t>(aq)</m:t>
            </m:r>
          </m:sub>
          <m:sup>
            <m:r>
              <w:rPr>
                <w:rFonts w:ascii="Cambria Math" w:eastAsiaTheme="minorEastAsia" w:hAnsi="Cambria Math"/>
              </w:rPr>
              <m:t>2+</m:t>
            </m:r>
          </m:sup>
        </m:sSubSup>
        <m:r>
          <w:rPr>
            <w:rFonts w:ascii="Cambria Math" w:eastAsiaTheme="minorEastAsia" w:hAnsi="Cambria Math"/>
          </w:rPr>
          <m:t>+Z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(s)</m:t>
            </m:r>
          </m:sub>
        </m:sSub>
        <m:r>
          <w:rPr>
            <w:rFonts w:ascii="Cambria Math" w:eastAsiaTheme="minorEastAsia" w:hAnsi="Cambria Math"/>
          </w:rPr>
          <m:t xml:space="preserve"> ⇄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Zn</m:t>
            </m:r>
          </m:e>
          <m:sub>
            <m:r>
              <w:rPr>
                <w:rFonts w:ascii="Cambria Math" w:eastAsiaTheme="minorEastAsia" w:hAnsi="Cambria Math"/>
              </w:rPr>
              <m:t>(aq)</m:t>
            </m:r>
          </m:sub>
          <m:sup>
            <m:r>
              <w:rPr>
                <w:rFonts w:ascii="Cambria Math" w:eastAsiaTheme="minorEastAsia" w:hAnsi="Cambria Math"/>
              </w:rPr>
              <m:t>2+</m:t>
            </m:r>
          </m:sup>
        </m:sSubSup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(s)</m:t>
            </m:r>
          </m:sub>
        </m:sSub>
      </m:oMath>
    </w:p>
    <w:p w:rsidR="007B1658" w:rsidRDefault="007B1658" w:rsidP="007B1658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>La plaque de zinc est l’anode (oxydation) alors que celle de cuivre est la cathode (réduction)</w:t>
      </w:r>
    </w:p>
    <w:p w:rsidR="002F2FAF" w:rsidRDefault="002F2FAF" w:rsidP="007B1658">
      <w:pPr>
        <w:pStyle w:val="Sansinterligne"/>
        <w:rPr>
          <w:rFonts w:eastAsiaTheme="minorEastAsia"/>
          <w:i/>
          <w:iCs/>
          <w:color w:val="00B0F0"/>
        </w:rPr>
      </w:pPr>
    </w:p>
    <w:p w:rsidR="002F2FAF" w:rsidRDefault="002F2FAF" w:rsidP="002F2FAF">
      <w:pPr>
        <w:pStyle w:val="Sansinterligne"/>
        <w:rPr>
          <w:rFonts w:eastAsiaTheme="minorEastAsia"/>
        </w:rPr>
      </w:pPr>
      <w:r>
        <w:t xml:space="preserve">Pour une réaction d’oxydoréduction,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G= -nFe où F est la constante de Farday</m:t>
        </m:r>
      </m:oMath>
      <w:r w:rsidR="00907E33">
        <w:rPr>
          <w:rFonts w:eastAsiaTheme="minorEastAsia"/>
        </w:rPr>
        <w:t xml:space="preserve"> pour une réaction isotherme et isobare et réversible où n est le nombre d’électron échangé au cours de la réaction. </w:t>
      </w:r>
    </w:p>
    <w:p w:rsidR="00907E33" w:rsidRDefault="00907E33" w:rsidP="002F2FAF">
      <w:pPr>
        <w:pStyle w:val="Sansinterligne"/>
        <w:rPr>
          <w:rFonts w:eastAsiaTheme="minorEastAsia"/>
        </w:rPr>
      </w:pPr>
    </w:p>
    <w:p w:rsidR="00907E33" w:rsidRDefault="00907E33" w:rsidP="002F2FAF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>Par application du premier principe de la thermodynamique,</w:t>
      </w:r>
    </w:p>
    <w:p w:rsidR="00907E33" w:rsidRPr="00907E33" w:rsidRDefault="00907E33" w:rsidP="002F2FAF">
      <w:pPr>
        <w:pStyle w:val="Sansinterligne"/>
        <w:rPr>
          <w:rFonts w:eastAsiaTheme="minorEastAsia"/>
          <w:i/>
          <w:iCs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dU=δQ+δ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W</m:t>
              </m:r>
            </m:e>
            <m:sub>
              <m:r>
                <w:rPr>
                  <w:rFonts w:ascii="Cambria Math" w:hAnsi="Cambria Math"/>
                  <w:color w:val="00B0F0"/>
                </w:rPr>
                <m:t>el</m:t>
              </m:r>
            </m:sub>
          </m:sSub>
          <m:r>
            <w:rPr>
              <w:rFonts w:ascii="Cambria Math" w:hAnsi="Cambria Math"/>
              <w:color w:val="00B0F0"/>
            </w:rPr>
            <m:t>-PdV</m:t>
          </m:r>
        </m:oMath>
      </m:oMathPara>
    </w:p>
    <w:p w:rsidR="00907E33" w:rsidRDefault="00907E33" w:rsidP="002F2FAF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Ainsi, </w:t>
      </w:r>
      <m:oMath>
        <m:r>
          <w:rPr>
            <w:rFonts w:ascii="Cambria Math" w:eastAsiaTheme="minorEastAsia" w:hAnsi="Cambria Math"/>
            <w:color w:val="00B0F0"/>
          </w:rPr>
          <m:t>dG=δQ+δ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el</m:t>
            </m:r>
          </m:sub>
        </m:sSub>
        <m:r>
          <w:rPr>
            <w:rFonts w:ascii="Cambria Math" w:eastAsiaTheme="minorEastAsia" w:hAnsi="Cambria Math"/>
            <w:color w:val="00B0F0"/>
          </w:rPr>
          <m:t>-PdV+VdP+PdV-SdT-TdS</m:t>
        </m:r>
      </m:oMath>
    </w:p>
    <w:p w:rsidR="00907E33" w:rsidRDefault="00907E33" w:rsidP="002F2FAF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Donc, </w:t>
      </w:r>
      <m:oMath>
        <m:r>
          <w:rPr>
            <w:rFonts w:ascii="Cambria Math" w:eastAsiaTheme="minorEastAsia" w:hAnsi="Cambria Math"/>
            <w:color w:val="00B0F0"/>
          </w:rPr>
          <m:t>dG=δQ+δ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el</m:t>
            </m:r>
          </m:sub>
        </m:sSub>
        <m:r>
          <w:rPr>
            <w:rFonts w:ascii="Cambria Math" w:eastAsiaTheme="minorEastAsia" w:hAnsi="Cambria Math"/>
            <w:color w:val="00B0F0"/>
          </w:rPr>
          <m:t>+VdP-SdT-T(δ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c</m:t>
            </m:r>
          </m:sub>
        </m:sSub>
        <m:r>
          <w:rPr>
            <w:rFonts w:ascii="Cambria Math" w:eastAsiaTheme="minorEastAsia" w:hAnsi="Cambria Math"/>
            <w:color w:val="00B0F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δQ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T</m:t>
            </m:r>
          </m:den>
        </m:f>
        <m:r>
          <w:rPr>
            <w:rFonts w:ascii="Cambria Math" w:eastAsiaTheme="minorEastAsia" w:hAnsi="Cambria Math"/>
            <w:color w:val="00B0F0"/>
          </w:rPr>
          <m:t>)</m:t>
        </m:r>
      </m:oMath>
    </w:p>
    <w:p w:rsidR="00907E33" w:rsidRDefault="00907E33" w:rsidP="002F2FAF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Donc, à température et pression constantes, </w:t>
      </w:r>
      <m:oMath>
        <m:r>
          <w:rPr>
            <w:rFonts w:ascii="Cambria Math" w:eastAsiaTheme="minorEastAsia" w:hAnsi="Cambria Math"/>
            <w:color w:val="00B0F0"/>
          </w:rPr>
          <m:t>dG=δ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el</m:t>
            </m:r>
          </m:sub>
        </m:sSub>
        <m:r>
          <w:rPr>
            <w:rFonts w:ascii="Cambria Math" w:eastAsiaTheme="minorEastAsia" w:hAnsi="Cambria Math"/>
            <w:color w:val="00B0F0"/>
          </w:rPr>
          <m:t>-Tδ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c</m:t>
            </m:r>
          </m:sub>
        </m:sSub>
      </m:oMath>
    </w:p>
    <w:p w:rsidR="00907E33" w:rsidRPr="00907E33" w:rsidRDefault="00907E33" w:rsidP="002F2FAF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Dans le cas réversible, </w:t>
      </w:r>
      <m:oMath>
        <m:r>
          <w:rPr>
            <w:rFonts w:ascii="Cambria Math" w:eastAsiaTheme="minorEastAsia" w:hAnsi="Cambria Math"/>
            <w:color w:val="00B0F0"/>
          </w:rPr>
          <m:t>dG=δ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el</m:t>
            </m:r>
          </m:sub>
        </m:sSub>
        <m:r>
          <w:rPr>
            <w:rFonts w:ascii="Cambria Math" w:eastAsiaTheme="minorEastAsia" w:hAnsi="Cambria Math"/>
            <w:color w:val="00B0F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pile</m:t>
            </m:r>
          </m:sub>
        </m:sSub>
        <m:r>
          <w:rPr>
            <w:rFonts w:ascii="Cambria Math" w:eastAsiaTheme="minorEastAsia" w:hAnsi="Cambria Math"/>
            <w:color w:val="00B0F0"/>
          </w:rPr>
          <m:t>dq= -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pile</m:t>
            </m:r>
          </m:sub>
        </m:sSub>
        <m:r>
          <w:rPr>
            <w:rFonts w:ascii="Cambria Math" w:eastAsiaTheme="minorEastAsia" w:hAnsi="Cambria Math"/>
            <w:color w:val="00B0F0"/>
          </w:rPr>
          <m:t>nF</m:t>
        </m:r>
      </m:oMath>
    </w:p>
    <w:p w:rsidR="00AA0EE0" w:rsidRDefault="00AA0EE0" w:rsidP="002C40C4">
      <w:pPr>
        <w:pStyle w:val="Sansinterligne"/>
        <w:rPr>
          <w:rFonts w:eastAsiaTheme="minorEastAsia"/>
        </w:rPr>
      </w:pPr>
    </w:p>
    <w:p w:rsidR="00DB5B5F" w:rsidRDefault="00D07D6C" w:rsidP="00D07D6C">
      <w:pPr>
        <w:pStyle w:val="Sansinterligne"/>
        <w:rPr>
          <w:rFonts w:eastAsiaTheme="minorEastAsia"/>
        </w:rPr>
      </w:pPr>
      <w:r>
        <w:t xml:space="preserve">On a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G= -2Fe=RT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°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 xml:space="preserve">. Or, ici, </w:t>
      </w:r>
      <m:oMath>
        <m:r>
          <w:rPr>
            <w:rFonts w:ascii="Cambria Math" w:eastAsiaTheme="minorEastAsia" w:hAnsi="Cambria Math"/>
          </w:rPr>
          <m:t xml:space="preserve">Q=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Cu(s)</m:t>
                </m:r>
              </m:sub>
            </m:sSub>
            <m:r>
              <w:rPr>
                <w:rFonts w:ascii="Cambria Math" w:eastAsiaTheme="minorEastAsia" w:hAnsi="Cambria Math"/>
              </w:rPr>
              <m:t>×[Z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</w:rPr>
              <m:t>]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Zn(s)</m:t>
                </m:r>
              </m:sub>
            </m:sSub>
            <m:r>
              <w:rPr>
                <w:rFonts w:ascii="Cambria Math" w:eastAsiaTheme="minorEastAsia" w:hAnsi="Cambria Math"/>
              </w:rPr>
              <m:t>×[C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</w:rPr>
              <m:t>]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B31BDC">
        <w:rPr>
          <w:rFonts w:eastAsiaTheme="minorEastAsia"/>
        </w:rPr>
        <w:t xml:space="preserve"> car le</w:t>
      </w:r>
      <w:r w:rsidR="005723B7">
        <w:rPr>
          <w:rFonts w:eastAsiaTheme="minorEastAsia"/>
        </w:rPr>
        <w:t>s</w:t>
      </w:r>
      <w:r w:rsidR="00B31BDC">
        <w:rPr>
          <w:rFonts w:eastAsiaTheme="minorEastAsia"/>
        </w:rPr>
        <w:t xml:space="preserve"> concentrations sont identiques.</w:t>
      </w:r>
    </w:p>
    <w:p w:rsidR="00DB5B5F" w:rsidRDefault="00DB5B5F" w:rsidP="00D07D6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Donc,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 xml:space="preserve">=RT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°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/>
              </w:rPr>
              <m:t>2F</m:t>
            </m:r>
          </m:den>
        </m:f>
        <m:r>
          <w:rPr>
            <w:rFonts w:ascii="Cambria Math" w:eastAsiaTheme="minorEastAsia" w:hAnsi="Cambria Math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°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>. Cette grandeur dépend uniquement de la température.</w:t>
      </w:r>
    </w:p>
    <w:p w:rsidR="00DB5B5F" w:rsidRPr="00DB5B5F" w:rsidRDefault="00DB5B5F" w:rsidP="00D07D6C">
      <w:pPr>
        <w:pStyle w:val="Sansinterligne"/>
        <w:rPr>
          <w:rFonts w:eastAsiaTheme="minorEastAsia"/>
        </w:rPr>
      </w:pPr>
    </w:p>
    <w:p w:rsidR="00907E33" w:rsidRDefault="00D07D6C" w:rsidP="00D07D6C">
      <w:pPr>
        <w:pStyle w:val="Sansinterligne"/>
        <w:pBdr>
          <w:left w:val="thinThickSmallGap" w:sz="24" w:space="4" w:color="FFC000"/>
        </w:pBdr>
        <w:rPr>
          <w:u w:val="single"/>
        </w:rPr>
      </w:pPr>
      <w:r>
        <w:rPr>
          <w:u w:val="single"/>
        </w:rPr>
        <w:t xml:space="preserve">Force électromotrice de la pile Daniell </w:t>
      </w:r>
    </w:p>
    <w:p w:rsidR="00C1551F" w:rsidRDefault="00C1551F" w:rsidP="00D07D6C">
      <w:pPr>
        <w:pStyle w:val="Sansinterligne"/>
        <w:pBdr>
          <w:left w:val="thinThickSmallGap" w:sz="24" w:space="4" w:color="FFC000"/>
        </w:pBdr>
        <w:rPr>
          <w:u w:val="single"/>
        </w:rPr>
      </w:pPr>
      <w:hyperlink r:id="rId8" w:history="1">
        <w:r w:rsidRPr="00C1551F">
          <w:rPr>
            <w:rStyle w:val="Lienhypertexte"/>
          </w:rPr>
          <w:t>https://youtu.be/dFdxfeuXPQ8?t=138</w:t>
        </w:r>
      </w:hyperlink>
    </w:p>
    <w:p w:rsidR="002A64EC" w:rsidRPr="002A64EC" w:rsidRDefault="002A64EC" w:rsidP="00D07D6C">
      <w:pPr>
        <w:pStyle w:val="Sansinterligne"/>
        <w:pBdr>
          <w:left w:val="thinThickSmallGap" w:sz="24" w:space="4" w:color="FFC000"/>
        </w:pBdr>
      </w:pPr>
      <w:r>
        <w:tab/>
        <w:t>Il peut être intéressant de monter la pile Daniell</w:t>
      </w:r>
    </w:p>
    <w:p w:rsidR="00DB5B5F" w:rsidRPr="00DB5B5F" w:rsidRDefault="00DB5B5F" w:rsidP="00D07D6C">
      <w:pPr>
        <w:pStyle w:val="Sansinterligne"/>
        <w:pBdr>
          <w:left w:val="thinThickSmallGap" w:sz="24" w:space="4" w:color="FFC000"/>
        </w:pBdr>
      </w:pPr>
      <w:r>
        <w:tab/>
        <w:t>Placer un thermomètre dans les solutions.</w:t>
      </w:r>
    </w:p>
    <w:p w:rsidR="00AA0EE0" w:rsidRDefault="00D07D6C" w:rsidP="00D07D6C">
      <w:pPr>
        <w:pStyle w:val="Sansinterligne"/>
        <w:pBdr>
          <w:left w:val="thinThickSmallGap" w:sz="24" w:space="4" w:color="FFC000"/>
        </w:pBdr>
        <w:rPr>
          <w:rFonts w:eastAsiaTheme="minorEastAsia"/>
        </w:rPr>
      </w:pPr>
      <w:r>
        <w:rPr>
          <w:rFonts w:eastAsiaTheme="minorEastAsia"/>
        </w:rPr>
        <w:tab/>
        <w:t>Avant l’explication théorique, relever la force électromotrice de la pile</w:t>
      </w:r>
    </w:p>
    <w:p w:rsidR="00D07D6C" w:rsidRPr="00C4012D" w:rsidRDefault="00D07D6C" w:rsidP="00D07D6C">
      <w:pPr>
        <w:pStyle w:val="Sansinterligne"/>
        <w:pBdr>
          <w:left w:val="thinThickSmallGap" w:sz="24" w:space="4" w:color="FFC000"/>
        </w:pBdr>
        <w:rPr>
          <w:rFonts w:eastAsiaTheme="minorEastAsia"/>
          <w:i/>
          <w:iCs/>
        </w:rPr>
      </w:pPr>
      <w:r>
        <w:rPr>
          <w:rFonts w:eastAsiaTheme="minorEastAsia"/>
        </w:rPr>
        <w:tab/>
      </w:r>
      <w:r w:rsidRPr="00C4012D">
        <w:rPr>
          <w:rFonts w:eastAsiaTheme="minorEastAsia"/>
          <w:i/>
          <w:iCs/>
        </w:rPr>
        <w:t>Chauffer de 10°C (ajouter quelques gouttes d’acide sulfurique pour éviter la formation d’hydroxyde)</w:t>
      </w:r>
    </w:p>
    <w:p w:rsidR="00D07D6C" w:rsidRPr="00D07D6C" w:rsidRDefault="00D07D6C" w:rsidP="00D07D6C">
      <w:pPr>
        <w:pStyle w:val="Sansinterligne"/>
        <w:pBdr>
          <w:left w:val="thinThickSmallGap" w:sz="24" w:space="4" w:color="FFC000"/>
        </w:pBdr>
        <w:rPr>
          <w:rFonts w:eastAsiaTheme="minorEastAsia"/>
        </w:rPr>
      </w:pPr>
      <w:r>
        <w:rPr>
          <w:rFonts w:eastAsiaTheme="minorEastAsia"/>
        </w:rPr>
        <w:tab/>
        <w:t>Observation attendue : fem d’environ 1,1 V.</w:t>
      </w:r>
    </w:p>
    <w:p w:rsidR="00AA0EE0" w:rsidRDefault="00AA0EE0" w:rsidP="002C40C4">
      <w:pPr>
        <w:pStyle w:val="Sansinterligne"/>
      </w:pPr>
    </w:p>
    <w:p w:rsidR="00D07D6C" w:rsidRDefault="00DF17CF" w:rsidP="00BF2AE2">
      <w:pPr>
        <w:pStyle w:val="Sansinterligne"/>
        <w:pBdr>
          <w:left w:val="thinThickSmallGap" w:sz="24" w:space="4" w:color="00B050"/>
        </w:pBdr>
        <w:rPr>
          <w:b/>
          <w:bCs/>
          <w:smallCaps/>
        </w:rPr>
      </w:pPr>
      <w:r>
        <w:rPr>
          <w:b/>
          <w:bCs/>
          <w:smallCaps/>
        </w:rPr>
        <w:t xml:space="preserve">Transition : </w:t>
      </w:r>
      <w:r w:rsidR="00BF2AE2">
        <w:rPr>
          <w:b/>
          <w:bCs/>
          <w:smallCaps/>
        </w:rPr>
        <w:t>La mesure directe de constante d’équilibre est souvent compliquée. On préfère donc remonter à la constante en mesurant le coefficient de réaction.</w:t>
      </w:r>
    </w:p>
    <w:p w:rsidR="00BF2AE2" w:rsidRDefault="00BF2AE2" w:rsidP="002C40C4">
      <w:pPr>
        <w:pStyle w:val="Sansinterligne"/>
        <w:rPr>
          <w:b/>
          <w:bCs/>
          <w:smallCaps/>
        </w:rPr>
      </w:pPr>
    </w:p>
    <w:p w:rsidR="00F74316" w:rsidRDefault="00F74316" w:rsidP="002C40C4">
      <w:pPr>
        <w:pStyle w:val="Sansinterligne"/>
        <w:rPr>
          <w:b/>
          <w:bCs/>
          <w:smallCaps/>
        </w:rPr>
      </w:pPr>
    </w:p>
    <w:p w:rsidR="00AD67F4" w:rsidRDefault="00AD67F4" w:rsidP="002C40C4">
      <w:pPr>
        <w:pStyle w:val="Sansinterligne"/>
        <w:rPr>
          <w:b/>
          <w:bCs/>
          <w:smallCaps/>
        </w:rPr>
      </w:pPr>
    </w:p>
    <w:p w:rsidR="00235B21" w:rsidRDefault="00235B21" w:rsidP="00235B21">
      <w:pPr>
        <w:pStyle w:val="Sansinterligne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Détermination de constante</w:t>
      </w:r>
      <w:r w:rsidR="00946249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d’équilibre par mesure de quotients réactionnels</w:t>
      </w:r>
    </w:p>
    <w:p w:rsidR="00B671E3" w:rsidRDefault="00B671E3" w:rsidP="00B671E3">
      <w:pPr>
        <w:pStyle w:val="Sansinterligne"/>
        <w:rPr>
          <w:i/>
          <w:iCs/>
          <w:color w:val="00B0F0"/>
        </w:rPr>
      </w:pPr>
      <w:r>
        <w:rPr>
          <w:i/>
          <w:iCs/>
          <w:color w:val="00B0F0"/>
        </w:rPr>
        <w:t>Dans cette partie, on utilise la relation de Henderson considérée comme connue dans les prérequis qui stipule que pour :</w:t>
      </w:r>
    </w:p>
    <w:p w:rsidR="00B671E3" w:rsidRPr="00B671E3" w:rsidRDefault="00B671E3" w:rsidP="00B671E3">
      <w:pPr>
        <w:pStyle w:val="Sansinterligne"/>
        <w:rPr>
          <w:rFonts w:eastAsiaTheme="minorEastAsia"/>
          <w:i/>
          <w:iCs/>
          <w:color w:val="00B0F0"/>
        </w:rPr>
      </w:pPr>
      <m:oMathPara>
        <m:oMath>
          <m:r>
            <w:rPr>
              <w:rFonts w:ascii="Cambria Math" w:hAnsi="Cambria Math"/>
              <w:color w:val="00B0F0"/>
            </w:rPr>
            <m:t>AH+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H</m:t>
              </m:r>
            </m:e>
            <m:sub>
              <m:r>
                <w:rPr>
                  <w:rFonts w:ascii="Cambria Math" w:hAnsi="Cambria Math"/>
                  <w:color w:val="00B0F0"/>
                </w:rPr>
                <m:t>2</m:t>
              </m:r>
            </m:sub>
          </m:sSub>
          <m:r>
            <w:rPr>
              <w:rFonts w:ascii="Cambria Math" w:hAnsi="Cambria Math"/>
              <w:color w:val="00B0F0"/>
            </w:rPr>
            <m:t>O=</m:t>
          </m:r>
          <m:sSup>
            <m:sSupPr>
              <m:ctrlPr>
                <w:rPr>
                  <w:rFonts w:ascii="Cambria Math" w:hAnsi="Cambria Math"/>
                  <w:i/>
                  <w:iCs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A</m:t>
              </m:r>
            </m:e>
            <m:sup>
              <m:r>
                <w:rPr>
                  <w:rFonts w:ascii="Cambria Math" w:hAnsi="Cambria Math"/>
                  <w:color w:val="00B0F0"/>
                </w:rPr>
                <m:t>-</m:t>
              </m:r>
            </m:sup>
          </m:sSup>
          <m:r>
            <w:rPr>
              <w:rFonts w:ascii="Cambria Math" w:hAnsi="Cambria Math"/>
              <w:color w:val="00B0F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B0F0"/>
                </w:rPr>
              </m:ctrlPr>
            </m:sSubPr>
            <m:e>
              <m:r>
                <w:rPr>
                  <w:rFonts w:ascii="Cambria Math" w:hAnsi="Cambria Math"/>
                  <w:color w:val="00B0F0"/>
                </w:rPr>
                <m:t>H</m:t>
              </m:r>
            </m:e>
            <m:sub>
              <m:r>
                <w:rPr>
                  <w:rFonts w:ascii="Cambria Math" w:hAnsi="Cambria Math"/>
                  <w:color w:val="00B0F0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O</m:t>
              </m:r>
            </m:e>
            <m:sup>
              <m:r>
                <w:rPr>
                  <w:rFonts w:ascii="Cambria Math" w:hAnsi="Cambria Math"/>
                  <w:color w:val="00B0F0"/>
                </w:rPr>
                <m:t>+</m:t>
              </m:r>
            </m:sup>
          </m:sSup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p w:rsidR="00B671E3" w:rsidRDefault="00B671E3" w:rsidP="00B671E3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a</m:t>
            </m:r>
          </m:sub>
        </m:sSub>
        <m:r>
          <w:rPr>
            <w:rFonts w:ascii="Cambria Math" w:eastAsiaTheme="minorEastAsia" w:hAnsi="Cambria Math"/>
            <w:color w:val="00B0F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-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00B0F0"/>
              </w:rPr>
              <m:t>×[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B0F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00B0F0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O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  <w:color w:val="00B0F0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B0F0"/>
                  </w:rPr>
                  <m:t>AH</m:t>
                </m:r>
              </m:e>
            </m:d>
          </m:den>
        </m:f>
        <m:r>
          <w:rPr>
            <w:rFonts w:ascii="Cambria Math" w:eastAsiaTheme="minorEastAsia" w:hAnsi="Cambria Math"/>
            <w:color w:val="00B0F0"/>
          </w:rPr>
          <m:t>⇒pKA= -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F0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O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+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00B0F0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B0F0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B0F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B0F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AH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color w:val="00B0F0"/>
                  </w:rPr>
                  <m:t>⇒pH=pKa+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B0F0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B0F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B0F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B0F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B0F0"/>
                              </w:rPr>
                              <m:t>-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]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B0F0"/>
                          </w:rPr>
                          <m:t>[AH]</m:t>
                        </m:r>
                      </m:den>
                    </m:f>
                  </m:e>
                </m:func>
              </m:e>
            </m:func>
          </m:e>
        </m:func>
      </m:oMath>
    </w:p>
    <w:p w:rsidR="00B671E3" w:rsidRPr="00B671E3" w:rsidRDefault="00B671E3" w:rsidP="00B671E3">
      <w:pPr>
        <w:pStyle w:val="Sansinterligne"/>
        <w:rPr>
          <w:i/>
          <w:iCs/>
          <w:color w:val="00B0F0"/>
        </w:rPr>
      </w:pPr>
    </w:p>
    <w:p w:rsidR="00BB5F0E" w:rsidRDefault="00BB5F0E" w:rsidP="00BB5F0E">
      <w:pPr>
        <w:pStyle w:val="Sansinterligne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Détermination de constantes d’équilibre par mesure de grandeurs liées aux concentrations</w:t>
      </w:r>
    </w:p>
    <w:p w:rsidR="00BB5F0E" w:rsidRDefault="00BB5F0E" w:rsidP="00BB5F0E">
      <w:pPr>
        <w:pStyle w:val="Sansinterligne"/>
      </w:pPr>
    </w:p>
    <w:p w:rsidR="00BB5F0E" w:rsidRDefault="00BB5F0E" w:rsidP="00BB5F0E">
      <w:pPr>
        <w:pStyle w:val="Sansinterligne"/>
        <w:ind w:firstLine="708"/>
      </w:pPr>
      <w:r>
        <w:t>Dans cette partie, nous allons chercher à déterminer la constante d’acidité d’un indicateur coloré : le bleu de bromothymol par utilisation de la spectroscopie UV-Visible.</w:t>
      </w:r>
    </w:p>
    <w:p w:rsidR="00BB5F0E" w:rsidRDefault="00BB5F0E" w:rsidP="00BB5F0E">
      <w:pPr>
        <w:pStyle w:val="Sansinterligne"/>
        <w:ind w:firstLine="708"/>
      </w:pPr>
    </w:p>
    <w:p w:rsidR="00BB5F0E" w:rsidRDefault="00BB5F0E" w:rsidP="00BB5F0E">
      <w:pPr>
        <w:pStyle w:val="Sansinterligne"/>
        <w:ind w:firstLine="708"/>
        <w:rPr>
          <w:color w:val="7030A0"/>
        </w:rPr>
      </w:pPr>
      <w:r>
        <w:rPr>
          <w:color w:val="7030A0"/>
        </w:rPr>
        <w:t>(Diapo) Les deux formes du BBT</w:t>
      </w:r>
    </w:p>
    <w:p w:rsidR="00BB5F0E" w:rsidRDefault="00BB5F0E" w:rsidP="00BB5F0E">
      <w:pPr>
        <w:pStyle w:val="Sansinterligne"/>
        <w:ind w:firstLine="708"/>
        <w:rPr>
          <w:color w:val="7030A0"/>
        </w:rPr>
      </w:pPr>
    </w:p>
    <w:p w:rsidR="00BB5F0E" w:rsidRDefault="00BB5F0E" w:rsidP="00BB5F0E">
      <w:pPr>
        <w:pStyle w:val="Sansinterligne"/>
      </w:pPr>
      <w:r>
        <w:t>On étudie la réaction pour pH = 7 c’est-à-dire :</w:t>
      </w:r>
    </w:p>
    <w:bookmarkStart w:id="0" w:name="OLE_LINK1"/>
    <w:bookmarkStart w:id="1" w:name="OLE_LINK2"/>
    <w:p w:rsidR="00BB5F0E" w:rsidRPr="00235B21" w:rsidRDefault="00F74316" w:rsidP="00BB5F0E">
      <w:pPr>
        <w:pStyle w:val="Sansinterligne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HBBT</m:t>
              </m:r>
            </m:e>
            <m:sub>
              <m:r>
                <w:rPr>
                  <w:rFonts w:ascii="Cambria Math" w:hAnsi="Cambria Math"/>
                </w:rPr>
                <m:t>(aq)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(l)</m:t>
              </m:r>
            </m:sub>
          </m:sSub>
          <m:r>
            <w:rPr>
              <w:rFonts w:ascii="Cambria Math" w:hAnsi="Cambria Math"/>
            </w:rPr>
            <m:t xml:space="preserve"> ⇄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BBT</m:t>
              </m:r>
            </m:e>
            <m:sub>
              <m:r>
                <w:rPr>
                  <w:rFonts w:ascii="Cambria Math" w:hAnsi="Cambria Math"/>
                </w:rPr>
                <m:t>(aq)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</m:oMath>
      </m:oMathPara>
      <w:bookmarkEnd w:id="0"/>
      <w:bookmarkEnd w:id="1"/>
    </w:p>
    <w:p w:rsidR="00BB5F0E" w:rsidRDefault="00BB5F0E" w:rsidP="00BB5F0E">
      <w:pPr>
        <w:pStyle w:val="Sansinterligne"/>
        <w:rPr>
          <w:b/>
          <w:bCs/>
        </w:rPr>
      </w:pPr>
    </w:p>
    <w:p w:rsidR="00BB5F0E" w:rsidRDefault="00BB5F0E" w:rsidP="00BB5F0E">
      <w:pPr>
        <w:pStyle w:val="Sansinterligne"/>
      </w:pPr>
      <w:r>
        <w:t>Les solutions étant colorées, on peut remonter aux concentrations des différentes espèces par spectroscopie UV-Visible en utilisant la loi de Beer-Lambert.</w:t>
      </w:r>
    </w:p>
    <w:p w:rsidR="00BB5F0E" w:rsidRPr="009932FD" w:rsidRDefault="00BB5F0E" w:rsidP="00BB5F0E">
      <w:pPr>
        <w:pStyle w:val="Sansinterligne"/>
      </w:pPr>
    </w:p>
    <w:p w:rsidR="00BB5F0E" w:rsidRPr="000A758C" w:rsidRDefault="00BB5F0E" w:rsidP="00BB5F0E">
      <w:pPr>
        <w:pStyle w:val="Sansinterligne"/>
        <w:pBdr>
          <w:left w:val="thinThickSmallGap" w:sz="24" w:space="4" w:color="FFC000"/>
        </w:pBdr>
        <w:rPr>
          <w:color w:val="7030A0"/>
        </w:rPr>
      </w:pPr>
      <w:r>
        <w:rPr>
          <w:u w:val="single"/>
        </w:rPr>
        <w:t>Détermination de la constante d’acidité du bleu de bromothymol par méthode spectroscopique :</w:t>
      </w:r>
      <w:r>
        <w:t xml:space="preserve"> [3]p.135 </w:t>
      </w:r>
      <w:r>
        <w:rPr>
          <w:color w:val="7030A0"/>
        </w:rPr>
        <w:t>(Diapo + Excel)</w:t>
      </w: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  <w:r>
        <w:t xml:space="preserve">Préparation de trois fioles de 50 </w:t>
      </w:r>
      <w:proofErr w:type="spellStart"/>
      <w:r>
        <w:t>mL</w:t>
      </w:r>
      <w:proofErr w:type="spellEnd"/>
      <w:r>
        <w:t xml:space="preserve"> contenant :</w:t>
      </w: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  <w:r>
        <w:tab/>
        <w:t xml:space="preserve">1 </w:t>
      </w:r>
      <w:proofErr w:type="spellStart"/>
      <w:r>
        <w:t>mL</w:t>
      </w:r>
      <w:proofErr w:type="spellEnd"/>
      <w:r>
        <w:t xml:space="preserve"> de BBT à 0,04% (pipette jaugée), 10 </w:t>
      </w:r>
      <w:proofErr w:type="spellStart"/>
      <w:r>
        <w:t>mL</w:t>
      </w:r>
      <w:proofErr w:type="spellEnd"/>
      <w:r>
        <w:t xml:space="preserve"> de </w:t>
      </w:r>
      <w:proofErr w:type="spellStart"/>
      <w:r>
        <w:t>HCl</w:t>
      </w:r>
      <w:proofErr w:type="spellEnd"/>
      <w:r>
        <w:t xml:space="preserve"> (0,1 M) </w:t>
      </w:r>
    </w:p>
    <w:p w:rsidR="00BB5F0E" w:rsidRDefault="00BB5F0E" w:rsidP="00BB5F0E">
      <w:pPr>
        <w:pStyle w:val="Sansinterligne"/>
        <w:pBdr>
          <w:left w:val="thinThickSmallGap" w:sz="24" w:space="4" w:color="FFC000"/>
        </w:pBdr>
        <w:ind w:firstLine="708"/>
      </w:pPr>
      <w:r>
        <w:t xml:space="preserve">1 </w:t>
      </w:r>
      <w:proofErr w:type="spellStart"/>
      <w:r>
        <w:t>mL</w:t>
      </w:r>
      <w:proofErr w:type="spellEnd"/>
      <w:r>
        <w:t xml:space="preserve"> de BBT à 0,04% (pipette jaugée), 10 </w:t>
      </w:r>
      <w:proofErr w:type="spellStart"/>
      <w:r>
        <w:t>mL</w:t>
      </w:r>
      <w:proofErr w:type="spellEnd"/>
      <w:r>
        <w:t xml:space="preserve"> de </w:t>
      </w:r>
      <w:proofErr w:type="spellStart"/>
      <w:r>
        <w:t>NaOH</w:t>
      </w:r>
      <w:proofErr w:type="spellEnd"/>
      <w:r>
        <w:t xml:space="preserve"> (01,M)</w:t>
      </w: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  <w:r>
        <w:tab/>
        <w:t xml:space="preserve">1 </w:t>
      </w:r>
      <w:proofErr w:type="spellStart"/>
      <w:r>
        <w:t>mL</w:t>
      </w:r>
      <w:proofErr w:type="spellEnd"/>
      <w:r>
        <w:t xml:space="preserve"> de BBT à 0,04% (pipette jaugée), 10 </w:t>
      </w:r>
      <w:proofErr w:type="spellStart"/>
      <w:r>
        <w:t>mL</w:t>
      </w:r>
      <w:proofErr w:type="spellEnd"/>
      <w:r>
        <w:t xml:space="preserve"> de solution tampon pH = 7</w:t>
      </w: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  <w:r>
        <w:t>Ajuster au trait de jauge avec de l’eau</w:t>
      </w: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  <w:r>
        <w:t>Vérifier le pH de la solution 2 à l’aide d’un pH-mètre étalonné.</w:t>
      </w: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</w:p>
    <w:p w:rsidR="00BB5F0E" w:rsidRDefault="00BB5F0E" w:rsidP="00BB5F0E">
      <w:pPr>
        <w:pStyle w:val="Sansinterligne"/>
        <w:pBdr>
          <w:left w:val="thinThickSmallGap" w:sz="24" w:space="4" w:color="FFC000"/>
        </w:pBdr>
      </w:pPr>
      <w:r>
        <w:t>Tracé les trois spectres d’absorption pour les trois solutions.</w:t>
      </w:r>
    </w:p>
    <w:p w:rsidR="00BB5F0E" w:rsidRDefault="00BB5F0E" w:rsidP="00BB5F0E">
      <w:pPr>
        <w:pStyle w:val="Sansinterligne"/>
        <w:pBdr>
          <w:left w:val="thinThickSmallGap" w:sz="24" w:space="4" w:color="FFC000"/>
        </w:pBdr>
        <w:rPr>
          <w:rFonts w:eastAsiaTheme="minorEastAsia"/>
        </w:rPr>
      </w:pPr>
      <w:r>
        <w:t xml:space="preserve">Mesure de l’absorbance pour les trois solutions et pour </w:t>
      </w:r>
      <m:oMath>
        <m:r>
          <w:rPr>
            <w:rFonts w:ascii="Cambria Math" w:hAnsi="Cambria Math"/>
          </w:rPr>
          <m:t>λ=450 nm</m:t>
        </m:r>
      </m:oMath>
      <w:r>
        <w:rPr>
          <w:rFonts w:eastAsiaTheme="minorEastAsia"/>
        </w:rPr>
        <w:t>. Le choix de cette longueur doit se faire ailleurs qu’au niveau du point isobestique et proche d’un maximum d’absorption pour toutes les solutions.</w:t>
      </w:r>
    </w:p>
    <w:p w:rsidR="00BB5F0E" w:rsidRPr="00214B75" w:rsidRDefault="00BB5F0E" w:rsidP="00BB5F0E">
      <w:pPr>
        <w:pStyle w:val="Sansinterligne"/>
        <w:pBdr>
          <w:left w:val="thinThickSmallGap" w:sz="24" w:space="4" w:color="FFC000"/>
        </w:pBdr>
      </w:pPr>
      <w:r>
        <w:rPr>
          <w:rFonts w:eastAsiaTheme="minorEastAsia"/>
        </w:rPr>
        <w:t>Sur le tableur les incertitudes n’apparaissent pas car elles sont négligeables, il faut penser à le mentionner.</w:t>
      </w:r>
    </w:p>
    <w:p w:rsidR="00BB5F0E" w:rsidRPr="00581595" w:rsidRDefault="00BB5F0E" w:rsidP="00BB5F0E">
      <w:pPr>
        <w:pStyle w:val="Sansinterligne"/>
        <w:ind w:left="720"/>
        <w:rPr>
          <w:b/>
          <w:bCs/>
          <w:u w:val="single"/>
        </w:rPr>
      </w:pPr>
    </w:p>
    <w:p w:rsidR="00581595" w:rsidRDefault="00581595" w:rsidP="00C3374C">
      <w:pPr>
        <w:pStyle w:val="Sansinterligne"/>
        <w:numPr>
          <w:ilvl w:val="0"/>
          <w:numId w:val="18"/>
        </w:numPr>
        <w:rPr>
          <w:b/>
          <w:bCs/>
        </w:rPr>
      </w:pPr>
      <w:r w:rsidRPr="00581595">
        <w:rPr>
          <w:b/>
          <w:bCs/>
        </w:rPr>
        <w:t xml:space="preserve">Détermination d’une constante d’équilibre par titrage. </w:t>
      </w:r>
    </w:p>
    <w:p w:rsidR="00042B70" w:rsidRDefault="00042B70" w:rsidP="00042B70">
      <w:pPr>
        <w:pStyle w:val="Sansinterligne"/>
        <w:rPr>
          <w:b/>
          <w:bCs/>
        </w:rPr>
      </w:pPr>
    </w:p>
    <w:p w:rsidR="001A5A58" w:rsidRDefault="001A5A58" w:rsidP="00042B70">
      <w:pPr>
        <w:pStyle w:val="Sansinterligne"/>
      </w:pPr>
      <w:r>
        <w:t>Réaction permettant de remonter à la constante d’acidité :</w:t>
      </w:r>
    </w:p>
    <w:p w:rsidR="001A5A58" w:rsidRPr="001A5A58" w:rsidRDefault="001A5A58" w:rsidP="00042B70">
      <w:pPr>
        <w:pStyle w:val="Sansinterligne"/>
      </w:pPr>
      <w:bookmarkStart w:id="2" w:name="OLE_LINK5"/>
      <w:bookmarkStart w:id="3" w:name="OLE_LINK6"/>
      <w:r>
        <w:t xml:space="preserve">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COO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(aq)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(l)</m:t>
            </m:r>
          </m:sub>
        </m:sSub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CO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(aq)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(aq)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</w:p>
    <w:bookmarkEnd w:id="2"/>
    <w:bookmarkEnd w:id="3"/>
    <w:p w:rsidR="00042B70" w:rsidRPr="00042B70" w:rsidRDefault="00042B70" w:rsidP="00042B70">
      <w:pPr>
        <w:pStyle w:val="Sansinterligne"/>
        <w:rPr>
          <w:color w:val="7030A0"/>
        </w:rPr>
      </w:pPr>
      <w:r>
        <w:t>On étudie la r</w:t>
      </w:r>
      <w:r w:rsidR="00B671E3">
        <w:t>éaction support de titrage</w:t>
      </w:r>
      <w:r>
        <w:t xml:space="preserve"> : </w:t>
      </w:r>
      <w:r>
        <w:rPr>
          <w:color w:val="7030A0"/>
        </w:rPr>
        <w:t>(Diapo)</w:t>
      </w:r>
    </w:p>
    <w:p w:rsidR="00C3374C" w:rsidRPr="000F7266" w:rsidRDefault="00042B70" w:rsidP="00C3374C">
      <w:pPr>
        <w:pStyle w:val="Sansinterligne"/>
      </w:pPr>
      <w:bookmarkStart w:id="4" w:name="OLE_LINK3"/>
      <w:bookmarkStart w:id="5" w:name="OLE_LINK4"/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COO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(aq)</m:t>
              </m:r>
            </m:sub>
          </m:sSub>
          <m:r>
            <w:rPr>
              <w:rFonts w:ascii="Cambria Math" w:hAnsi="Cambria Math"/>
            </w:rPr>
            <m:t>+H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(aq)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CO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(aq)</m:t>
              </m:r>
            </m:sub>
            <m:sup>
              <m:r>
                <w:rPr>
                  <w:rFonts w:ascii="Cambria Math" w:hAnsi="Cambria Math"/>
                </w:rPr>
                <m:t xml:space="preserve"> -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(l)</m:t>
              </m:r>
            </m:sub>
          </m:sSub>
        </m:oMath>
      </m:oMathPara>
      <w:bookmarkEnd w:id="4"/>
      <w:bookmarkEnd w:id="5"/>
    </w:p>
    <w:p w:rsidR="00C3374C" w:rsidRDefault="00C3374C" w:rsidP="005723B7">
      <w:pPr>
        <w:pStyle w:val="Sansinterligne"/>
        <w:pBdr>
          <w:left w:val="thinThickSmallGap" w:sz="24" w:space="4" w:color="FFC000"/>
        </w:pBdr>
      </w:pPr>
      <w:r w:rsidRPr="00C3374C">
        <w:t xml:space="preserve">Détermination du </w:t>
      </w:r>
      <w:proofErr w:type="spellStart"/>
      <w:r w:rsidRPr="00C3374C">
        <w:t>pKa</w:t>
      </w:r>
      <w:proofErr w:type="spellEnd"/>
      <w:r w:rsidRPr="00C3374C">
        <w:t xml:space="preserve"> de l’acide éthanoïque dans le vinaigre</w:t>
      </w:r>
      <w:r>
        <w:t xml:space="preserve"> avec remplacement de la phénolph</w:t>
      </w:r>
      <w:r w:rsidR="00B836BE">
        <w:t>taléine (suivi pH-métrique)</w:t>
      </w:r>
    </w:p>
    <w:p w:rsidR="006E2A97" w:rsidRDefault="006E2A97" w:rsidP="005723B7">
      <w:pPr>
        <w:pStyle w:val="Sansinterligne"/>
        <w:pBdr>
          <w:left w:val="thinThickSmallGap" w:sz="24" w:space="4" w:color="FFC000"/>
        </w:pBdr>
        <w:ind w:firstLine="708"/>
      </w:pPr>
      <w:r>
        <w:t>Préparation : pH-métrique</w:t>
      </w:r>
      <w:r w:rsidR="00042B70">
        <w:t xml:space="preserve"> (si pas le temps, on peut utiliser </w:t>
      </w:r>
      <w:proofErr w:type="spellStart"/>
      <w:r w:rsidR="00042B70">
        <w:t>dozzaqueux</w:t>
      </w:r>
      <w:proofErr w:type="spellEnd"/>
      <w:r w:rsidR="00042B70">
        <w:t xml:space="preserve"> mais ça serait dommage</w:t>
      </w:r>
      <w:r w:rsidR="005B4775">
        <w:t> : mettre une concentration en acide éthanoïque à 0,06 mol/L).</w:t>
      </w:r>
    </w:p>
    <w:p w:rsidR="006E2A97" w:rsidRDefault="006E2A97" w:rsidP="005723B7">
      <w:pPr>
        <w:pStyle w:val="Sansinterligne"/>
        <w:pBdr>
          <w:left w:val="thinThickSmallGap" w:sz="24" w:space="4" w:color="FFC000"/>
        </w:pBdr>
        <w:ind w:firstLine="708"/>
      </w:pPr>
      <w:r>
        <w:t>Jury : colorimétrique : remplacement phénolphtaléine</w:t>
      </w:r>
      <w:r w:rsidR="0072481C">
        <w:t xml:space="preserve"> par rouge de phénol</w:t>
      </w:r>
    </w:p>
    <w:p w:rsidR="00AD67F4" w:rsidRPr="00C3374C" w:rsidRDefault="00AD67F4" w:rsidP="005723B7">
      <w:pPr>
        <w:pStyle w:val="Sansinterligne"/>
        <w:pBdr>
          <w:left w:val="thinThickSmallGap" w:sz="24" w:space="4" w:color="FFC000"/>
        </w:pBdr>
        <w:ind w:firstLine="708"/>
      </w:pPr>
      <w:r>
        <w:t xml:space="preserve">Détermination du </w:t>
      </w:r>
      <w:proofErr w:type="spellStart"/>
      <w:r>
        <w:t>pKa</w:t>
      </w:r>
      <w:proofErr w:type="spellEnd"/>
      <w:r>
        <w:t xml:space="preserve"> avec incertitudes, valeur attendue autour de 4,8</w:t>
      </w:r>
      <w:r w:rsidR="00DB788C">
        <w:t xml:space="preserve"> (à la demi-équivalence : voir diapo)</w:t>
      </w:r>
    </w:p>
    <w:p w:rsidR="00581595" w:rsidRDefault="00581595" w:rsidP="00581595">
      <w:pPr>
        <w:pStyle w:val="Sansinterligne"/>
        <w:rPr>
          <w:b/>
          <w:bCs/>
        </w:rPr>
      </w:pPr>
    </w:p>
    <w:p w:rsidR="00581595" w:rsidRPr="00581595" w:rsidRDefault="00581595" w:rsidP="00581595">
      <w:pPr>
        <w:pStyle w:val="Sansinterligne"/>
        <w:pBdr>
          <w:left w:val="thinThickSmallGap" w:sz="24" w:space="4" w:color="00B050"/>
        </w:pBdr>
        <w:rPr>
          <w:b/>
          <w:bCs/>
          <w:smallCaps/>
        </w:rPr>
      </w:pPr>
      <w:r>
        <w:rPr>
          <w:b/>
          <w:bCs/>
          <w:smallCaps/>
        </w:rPr>
        <w:t>Transition : L’état standard est défini à une pression donnée, la pression standard P</w:t>
      </w:r>
      <w:r>
        <w:rPr>
          <w:b/>
          <w:bCs/>
          <w:smallCaps/>
          <w:vertAlign w:val="superscript"/>
        </w:rPr>
        <w:t>°</w:t>
      </w:r>
      <w:r>
        <w:rPr>
          <w:b/>
          <w:bCs/>
          <w:smallCaps/>
        </w:rPr>
        <w:t xml:space="preserve"> = 1 bar. Cependant, cette constante dépend de la température à laquelle la réaction est étudiée. Nous allons chercher à étudier la variation de cette constante en fonction de la température. </w:t>
      </w:r>
    </w:p>
    <w:p w:rsidR="00235B21" w:rsidRDefault="00235B21" w:rsidP="00235B21">
      <w:pPr>
        <w:pStyle w:val="Sansinterligne"/>
        <w:rPr>
          <w:b/>
          <w:bCs/>
        </w:rPr>
      </w:pPr>
    </w:p>
    <w:p w:rsidR="001F2C29" w:rsidRDefault="00581595" w:rsidP="00581595">
      <w:pPr>
        <w:pStyle w:val="Sansinterligne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t>Constante d’équilibre : variation avec la température</w:t>
      </w:r>
    </w:p>
    <w:p w:rsidR="00581595" w:rsidRDefault="00581595" w:rsidP="00581595">
      <w:pPr>
        <w:pStyle w:val="Sansinterligne"/>
        <w:rPr>
          <w:b/>
          <w:bCs/>
        </w:rPr>
      </w:pPr>
    </w:p>
    <w:p w:rsidR="00581595" w:rsidRDefault="00581595" w:rsidP="00581595">
      <w:pPr>
        <w:pStyle w:val="Sansinterligne"/>
      </w:pPr>
      <w:r>
        <w:t>Nous allons étudier une réaction de précipitation de l’iodure de plomb (pluie d’or).</w:t>
      </w:r>
    </w:p>
    <w:p w:rsidR="00581595" w:rsidRDefault="00581595" w:rsidP="00581595">
      <w:pPr>
        <w:pStyle w:val="Sansinterligne"/>
      </w:pPr>
    </w:p>
    <w:p w:rsidR="00581595" w:rsidRDefault="00581595" w:rsidP="00C4012D">
      <w:pPr>
        <w:pStyle w:val="Sansinterligne"/>
        <w:pBdr>
          <w:left w:val="thinThickSmallGap" w:sz="24" w:space="4" w:color="FFC000"/>
        </w:pBdr>
      </w:pPr>
      <w:r>
        <w:rPr>
          <w:u w:val="single"/>
        </w:rPr>
        <w:t xml:space="preserve">Pluie d’or : </w:t>
      </w:r>
      <w:r w:rsidR="00C4012D">
        <w:t>[1]p.229</w:t>
      </w:r>
    </w:p>
    <w:p w:rsidR="00E23ABA" w:rsidRPr="00E23ABA" w:rsidRDefault="00E23ABA" w:rsidP="00C4012D">
      <w:pPr>
        <w:pStyle w:val="Sansinterligne"/>
        <w:pBdr>
          <w:left w:val="thinThickSmallGap" w:sz="24" w:space="4" w:color="FFC000"/>
        </w:pBdr>
      </w:pPr>
      <w:r>
        <w:tab/>
        <w:t xml:space="preserve">L’iodure de plomb est cancérogène, irritant et écotoxique. </w:t>
      </w:r>
    </w:p>
    <w:p w:rsidR="00C4012D" w:rsidRDefault="00C4012D" w:rsidP="00C4012D">
      <w:pPr>
        <w:pStyle w:val="Sansinterligne"/>
        <w:pBdr>
          <w:left w:val="thinThickSmallGap" w:sz="24" w:space="4" w:color="FFC000"/>
        </w:pBdr>
      </w:pPr>
      <w:r>
        <w:tab/>
        <w:t>Po</w:t>
      </w:r>
      <w:r w:rsidR="00D7238A">
        <w:t>r</w:t>
      </w:r>
      <w:r>
        <w:t>ter l’extrémité du tube vers le fond de la hotte (en cas de projections)</w:t>
      </w:r>
    </w:p>
    <w:p w:rsidR="00F72B9E" w:rsidRPr="00F72B9E" w:rsidRDefault="00F72B9E" w:rsidP="00C4012D">
      <w:pPr>
        <w:pStyle w:val="Sansinterligne"/>
        <w:pBdr>
          <w:left w:val="thinThickSmallGap" w:sz="24" w:space="4" w:color="FFC000"/>
        </w:pBdr>
      </w:pPr>
      <w:hyperlink r:id="rId9" w:history="1">
        <w:r w:rsidRPr="00F72B9E">
          <w:rPr>
            <w:rStyle w:val="Lienhypertexte"/>
          </w:rPr>
          <w:t>https://www.youtube.com/watch?v=AO67MnZaAvQ</w:t>
        </w:r>
      </w:hyperlink>
      <w:r w:rsidRPr="00F72B9E">
        <w:t> : ajuste</w:t>
      </w:r>
      <w:r>
        <w:t xml:space="preserve">r le moment à montrer </w:t>
      </w:r>
    </w:p>
    <w:p w:rsidR="00BF2AE2" w:rsidRPr="00F72B9E" w:rsidRDefault="00BF2AE2" w:rsidP="002C40C4">
      <w:pPr>
        <w:pStyle w:val="Sansinterligne"/>
        <w:rPr>
          <w:b/>
          <w:bCs/>
          <w:smallCaps/>
        </w:rPr>
      </w:pPr>
    </w:p>
    <w:p w:rsidR="00C4012D" w:rsidRDefault="00C4012D" w:rsidP="002C40C4">
      <w:pPr>
        <w:pStyle w:val="Sansinterligne"/>
      </w:pPr>
      <w:r>
        <w:t>À l’aide de cette réaction, on constate une modification de la solubilité (quantité maximale de solide que l’on peut dissoudre dans un litre de solution (ici eau), elle s’exprime en g.L</w:t>
      </w:r>
      <w:r>
        <w:rPr>
          <w:vertAlign w:val="superscript"/>
        </w:rPr>
        <w:t>-1</w:t>
      </w:r>
      <w:r>
        <w:t xml:space="preserve"> ou mol.L</w:t>
      </w:r>
      <w:r>
        <w:rPr>
          <w:vertAlign w:val="superscript"/>
        </w:rPr>
        <w:t>-1</w:t>
      </w:r>
      <w:r>
        <w:t xml:space="preserve">) du solide d’iodure de plomb. </w:t>
      </w:r>
    </w:p>
    <w:p w:rsidR="00C4012D" w:rsidRDefault="00C4012D" w:rsidP="002C40C4">
      <w:pPr>
        <w:pStyle w:val="Sansinterligne"/>
      </w:pPr>
    </w:p>
    <w:p w:rsidR="004822B2" w:rsidRDefault="00C4012D" w:rsidP="002C40C4">
      <w:pPr>
        <w:pStyle w:val="Sansinterligne"/>
        <w:rPr>
          <w:rFonts w:eastAsiaTheme="minorEastAsia"/>
        </w:rPr>
      </w:pPr>
      <w:r>
        <w:t xml:space="preserve">La réaction étudiée est la suivante : </w:t>
      </w:r>
      <m:oMath>
        <m:r>
          <w:rPr>
            <w:rFonts w:ascii="Cambria Math" w:hAnsi="Cambria Math"/>
          </w:rPr>
          <m:t>Pb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</w:rPr>
              <m:t>(s)</m:t>
            </m:r>
          </m:sub>
        </m:sSub>
        <m:r>
          <w:rPr>
            <w:rFonts w:ascii="Cambria Math" w:hAnsi="Cambria Math"/>
          </w:rPr>
          <m:t>=P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(aq)</m:t>
            </m:r>
          </m:sub>
          <m:sup>
            <m:r>
              <w:rPr>
                <w:rFonts w:ascii="Cambria Math" w:hAnsi="Cambria Math"/>
              </w:rPr>
              <m:t xml:space="preserve"> 2+</m:t>
            </m:r>
          </m:sup>
        </m:sSubSup>
        <m:r>
          <w:rPr>
            <w:rFonts w:ascii="Cambria Math" w:eastAsiaTheme="minorEastAsia" w:hAnsi="Cambria Math"/>
          </w:rPr>
          <m:t xml:space="preserve">+2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(aq)</m:t>
            </m:r>
          </m:sub>
          <m:sup>
            <m:r>
              <w:rPr>
                <w:rFonts w:ascii="Cambria Math" w:eastAsiaTheme="minorEastAsia" w:hAnsi="Cambria Math"/>
              </w:rPr>
              <m:t>-</m:t>
            </m:r>
          </m:sup>
        </m:sSubSup>
      </m:oMath>
      <w:r>
        <w:rPr>
          <w:rFonts w:eastAsiaTheme="minorEastAsia"/>
        </w:rPr>
        <w:t xml:space="preserve"> .</w:t>
      </w:r>
    </w:p>
    <w:p w:rsidR="00042B70" w:rsidRPr="00042B70" w:rsidRDefault="00042B70" w:rsidP="002C40C4">
      <w:pPr>
        <w:pStyle w:val="Sansinterligne"/>
        <w:rPr>
          <w:rFonts w:eastAsiaTheme="minorEastAsia"/>
        </w:rPr>
      </w:pPr>
    </w:p>
    <w:p w:rsidR="00C4012D" w:rsidRDefault="00C4012D" w:rsidP="002C40C4">
      <w:pPr>
        <w:pStyle w:val="Sansinterligne"/>
      </w:pPr>
      <w:r>
        <w:t>Dressons un tableau d’avancement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4012D" w:rsidTr="00C4012D">
        <w:tc>
          <w:tcPr>
            <w:tcW w:w="1812" w:type="dxa"/>
          </w:tcPr>
          <w:p w:rsidR="00C4012D" w:rsidRDefault="00C4012D" w:rsidP="004822B2">
            <w:pPr>
              <w:pStyle w:val="Sansinterligne"/>
              <w:jc w:val="center"/>
            </w:pPr>
          </w:p>
        </w:tc>
        <w:tc>
          <w:tcPr>
            <w:tcW w:w="1812" w:type="dxa"/>
          </w:tcPr>
          <w:p w:rsidR="00C4012D" w:rsidRDefault="00C4012D" w:rsidP="004822B2">
            <w:pPr>
              <w:pStyle w:val="Sansinterlign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1812" w:type="dxa"/>
          </w:tcPr>
          <w:p w:rsidR="00C4012D" w:rsidRDefault="00C4012D" w:rsidP="004822B2">
            <w:pPr>
              <w:pStyle w:val="Sansinterlign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813" w:type="dxa"/>
          </w:tcPr>
          <w:p w:rsidR="00C4012D" w:rsidRDefault="00F74316" w:rsidP="004822B2">
            <w:pPr>
              <w:pStyle w:val="Sansinterligne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(aq)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bSup>
              </m:oMath>
            </m:oMathPara>
          </w:p>
        </w:tc>
        <w:tc>
          <w:tcPr>
            <w:tcW w:w="1813" w:type="dxa"/>
          </w:tcPr>
          <w:p w:rsidR="00C4012D" w:rsidRDefault="00C4012D" w:rsidP="004822B2">
            <w:pPr>
              <w:pStyle w:val="Sansinterlign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2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(aq)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</w:tr>
      <w:tr w:rsidR="00C4012D" w:rsidTr="00C4012D">
        <w:tc>
          <w:tcPr>
            <w:tcW w:w="1812" w:type="dxa"/>
          </w:tcPr>
          <w:p w:rsidR="00C4012D" w:rsidRDefault="00C4012D" w:rsidP="004822B2">
            <w:pPr>
              <w:pStyle w:val="Sansinterligne"/>
              <w:jc w:val="center"/>
            </w:pPr>
            <w:r>
              <w:t>Etat initial</w:t>
            </w:r>
          </w:p>
        </w:tc>
        <w:tc>
          <w:tcPr>
            <w:tcW w:w="1812" w:type="dxa"/>
          </w:tcPr>
          <w:p w:rsidR="00C4012D" w:rsidRDefault="004822B2" w:rsidP="004822B2">
            <w:pPr>
              <w:pStyle w:val="Sansinterligne"/>
              <w:jc w:val="center"/>
            </w:pPr>
            <w:r>
              <w:t>Excès</w:t>
            </w:r>
          </w:p>
        </w:tc>
        <w:tc>
          <w:tcPr>
            <w:tcW w:w="1812" w:type="dxa"/>
          </w:tcPr>
          <w:p w:rsidR="00C4012D" w:rsidRDefault="00C4012D" w:rsidP="004822B2">
            <w:pPr>
              <w:pStyle w:val="Sansinterligne"/>
              <w:jc w:val="center"/>
            </w:pPr>
          </w:p>
        </w:tc>
        <w:tc>
          <w:tcPr>
            <w:tcW w:w="1813" w:type="dxa"/>
          </w:tcPr>
          <w:p w:rsidR="00C4012D" w:rsidRDefault="004822B2" w:rsidP="004822B2">
            <w:pPr>
              <w:pStyle w:val="Sansinterligne"/>
              <w:jc w:val="center"/>
            </w:pPr>
            <w:r>
              <w:t>0</w:t>
            </w:r>
          </w:p>
        </w:tc>
        <w:tc>
          <w:tcPr>
            <w:tcW w:w="1813" w:type="dxa"/>
          </w:tcPr>
          <w:p w:rsidR="00C4012D" w:rsidRDefault="004822B2" w:rsidP="004822B2">
            <w:pPr>
              <w:pStyle w:val="Sansinterligne"/>
              <w:jc w:val="center"/>
            </w:pPr>
            <w:r>
              <w:t>0</w:t>
            </w:r>
          </w:p>
        </w:tc>
      </w:tr>
      <w:tr w:rsidR="00C4012D" w:rsidTr="004822B2">
        <w:trPr>
          <w:trHeight w:val="70"/>
        </w:trPr>
        <w:tc>
          <w:tcPr>
            <w:tcW w:w="1812" w:type="dxa"/>
          </w:tcPr>
          <w:p w:rsidR="00C4012D" w:rsidRDefault="004822B2" w:rsidP="004822B2">
            <w:pPr>
              <w:pStyle w:val="Sansinterligne"/>
              <w:jc w:val="center"/>
            </w:pPr>
            <w:r>
              <w:t>Etat final (équilibre)</w:t>
            </w:r>
          </w:p>
        </w:tc>
        <w:tc>
          <w:tcPr>
            <w:tcW w:w="1812" w:type="dxa"/>
          </w:tcPr>
          <w:p w:rsidR="00C4012D" w:rsidRDefault="004822B2" w:rsidP="004822B2">
            <w:pPr>
              <w:pStyle w:val="Sansinterligne"/>
              <w:jc w:val="center"/>
            </w:pPr>
            <w:r>
              <w:t>Excès</w:t>
            </w:r>
          </w:p>
        </w:tc>
        <w:tc>
          <w:tcPr>
            <w:tcW w:w="1812" w:type="dxa"/>
          </w:tcPr>
          <w:p w:rsidR="00C4012D" w:rsidRDefault="00C4012D" w:rsidP="004822B2">
            <w:pPr>
              <w:pStyle w:val="Sansinterligne"/>
              <w:jc w:val="center"/>
            </w:pPr>
          </w:p>
        </w:tc>
        <w:tc>
          <w:tcPr>
            <w:tcW w:w="1813" w:type="dxa"/>
          </w:tcPr>
          <w:p w:rsidR="00C4012D" w:rsidRDefault="004822B2" w:rsidP="004822B2">
            <w:pPr>
              <w:pStyle w:val="Sansinterligne"/>
              <w:jc w:val="center"/>
            </w:pPr>
            <w:r>
              <w:t>s</w:t>
            </w:r>
          </w:p>
        </w:tc>
        <w:tc>
          <w:tcPr>
            <w:tcW w:w="1813" w:type="dxa"/>
          </w:tcPr>
          <w:p w:rsidR="00C4012D" w:rsidRDefault="004822B2" w:rsidP="004822B2">
            <w:pPr>
              <w:pStyle w:val="Sansinterligne"/>
              <w:jc w:val="center"/>
            </w:pPr>
            <w:r>
              <w:t>2s</w:t>
            </w:r>
          </w:p>
        </w:tc>
      </w:tr>
    </w:tbl>
    <w:p w:rsidR="00C4012D" w:rsidRDefault="00C4012D" w:rsidP="002C40C4">
      <w:pPr>
        <w:pStyle w:val="Sansinterligne"/>
      </w:pPr>
    </w:p>
    <w:p w:rsidR="004822B2" w:rsidRDefault="004822B2" w:rsidP="002C40C4">
      <w:pPr>
        <w:pStyle w:val="Sansinterligne"/>
        <w:rPr>
          <w:rFonts w:eastAsiaTheme="minorEastAsia"/>
        </w:rPr>
      </w:pPr>
      <w:r>
        <w:t xml:space="preserve">Ainsi, la constante d’équilibre associée est 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eq</m:t>
                </m:r>
              </m:sub>
            </m:sSub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=s×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2s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4822B2" w:rsidRDefault="004822B2" w:rsidP="002C40C4">
      <w:pPr>
        <w:pStyle w:val="Sansinterligne"/>
        <w:rPr>
          <w:rFonts w:eastAsiaTheme="minorEastAsia"/>
        </w:rPr>
      </w:pPr>
    </w:p>
    <w:p w:rsidR="004822B2" w:rsidRDefault="004822B2" w:rsidP="002C40C4">
      <w:pPr>
        <w:pStyle w:val="Sansinterligne"/>
        <w:rPr>
          <w:rFonts w:eastAsiaTheme="minorEastAsia"/>
        </w:rPr>
      </w:pPr>
      <w:r>
        <w:rPr>
          <w:rFonts w:eastAsiaTheme="minorEastAsia"/>
        </w:rPr>
        <w:t>Comment déterminer les concentrations à l’équilibre ?</w:t>
      </w:r>
    </w:p>
    <w:p w:rsidR="004822B2" w:rsidRDefault="004822B2" w:rsidP="002C40C4">
      <w:pPr>
        <w:pStyle w:val="Sansinterligne"/>
        <w:rPr>
          <w:rFonts w:eastAsiaTheme="minorEastAsia"/>
        </w:rPr>
      </w:pPr>
      <w:r>
        <w:rPr>
          <w:rFonts w:eastAsiaTheme="minorEastAsia"/>
        </w:rPr>
        <w:t>Pour ce faire, nous allons utiliser la loi de Kohlrausch qui donne à l’équilibre :</w:t>
      </w:r>
    </w:p>
    <w:p w:rsidR="004822B2" w:rsidRPr="004822B2" w:rsidRDefault="004822B2" w:rsidP="002C40C4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σ(T)=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2+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s(T) </m:t>
          </m:r>
          <m:r>
            <w:rPr>
              <w:rFonts w:ascii="Cambria Math" w:eastAsiaTheme="minorEastAsia" w:hAnsi="Cambria Math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bSup>
          <m:r>
            <w:rPr>
              <w:rFonts w:ascii="Cambria Math" w:eastAsiaTheme="minorEastAsia" w:hAnsi="Cambria Math"/>
            </w:rPr>
            <m:t xml:space="preserve">×2s(T)=2s(T)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2+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(T)+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(T)</m:t>
              </m:r>
            </m:e>
          </m:d>
        </m:oMath>
      </m:oMathPara>
    </w:p>
    <w:p w:rsidR="004822B2" w:rsidRDefault="004822B2" w:rsidP="002C40C4">
      <w:pPr>
        <w:pStyle w:val="Sansinterligne"/>
        <w:rPr>
          <w:rFonts w:eastAsiaTheme="minorEastAsia"/>
        </w:rPr>
      </w:pPr>
    </w:p>
    <w:p w:rsidR="004822B2" w:rsidRDefault="004822B2" w:rsidP="002C40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Ainsi, la mesure de la conductivité une fois l’équilibre atteint nous permet de remonter à la valeur de la solubilité et donc à la constante d’équilibre : </w:t>
      </w:r>
    </w:p>
    <w:p w:rsidR="004822B2" w:rsidRDefault="004822B2" w:rsidP="002C40C4">
      <w:pPr>
        <w:pStyle w:val="Sansinterligne"/>
        <w:rPr>
          <w:rFonts w:eastAsiaTheme="minorEastAsia"/>
        </w:rPr>
      </w:pPr>
    </w:p>
    <w:p w:rsidR="004822B2" w:rsidRPr="004822B2" w:rsidRDefault="00F74316" w:rsidP="002C40C4">
      <w:pPr>
        <w:pStyle w:val="Sansinterlign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=4×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2×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2+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°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(T)+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°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(T)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822B2" w:rsidRDefault="004822B2" w:rsidP="002C40C4">
      <w:pPr>
        <w:pStyle w:val="Sansinterligne"/>
        <w:rPr>
          <w:rFonts w:eastAsiaTheme="minorEastAsia"/>
        </w:rPr>
      </w:pPr>
    </w:p>
    <w:p w:rsidR="004822B2" w:rsidRDefault="004822B2" w:rsidP="00BE0673">
      <w:pPr>
        <w:pStyle w:val="Sansinterligne"/>
        <w:pBdr>
          <w:left w:val="thinThickSmallGap" w:sz="24" w:space="4" w:color="FFC000"/>
        </w:pBdr>
        <w:rPr>
          <w:rFonts w:eastAsiaTheme="minorEastAsia"/>
        </w:rPr>
      </w:pPr>
      <w:r>
        <w:rPr>
          <w:rFonts w:eastAsiaTheme="minorEastAsia"/>
        </w:rPr>
        <w:t xml:space="preserve">On peut donc chercher à déterminer la différence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dans un bain de glace et à température ambiante.</w:t>
      </w:r>
    </w:p>
    <w:p w:rsidR="00BE0673" w:rsidRDefault="00BE0673" w:rsidP="00BE0673">
      <w:pPr>
        <w:pStyle w:val="Sansinterligne"/>
        <w:pBdr>
          <w:left w:val="thinThickSmallGap" w:sz="24" w:space="4" w:color="FFC000"/>
        </w:pBdr>
        <w:rPr>
          <w:rFonts w:eastAsiaTheme="minorEastAsia"/>
        </w:rPr>
      </w:pPr>
      <w:r>
        <w:rPr>
          <w:rFonts w:eastAsiaTheme="minorEastAsia"/>
        </w:rPr>
        <w:tab/>
        <w:t>En préparation, il faut étalonner le conductimètre</w:t>
      </w:r>
    </w:p>
    <w:p w:rsidR="002D7777" w:rsidRDefault="00BE0673" w:rsidP="00BE0673">
      <w:pPr>
        <w:pStyle w:val="Sansinterligne"/>
        <w:pBdr>
          <w:left w:val="thinThickSmallGap" w:sz="24" w:space="4" w:color="FFC000"/>
        </w:pBdr>
        <w:rPr>
          <w:rFonts w:eastAsiaTheme="minorEastAsia"/>
        </w:rPr>
      </w:pPr>
      <w:r>
        <w:rPr>
          <w:rFonts w:eastAsiaTheme="minorEastAsia"/>
        </w:rPr>
        <w:tab/>
        <w:t>On mesure la conductivité de la solution pour différente température.</w:t>
      </w:r>
    </w:p>
    <w:p w:rsidR="002D7777" w:rsidRPr="002D7777" w:rsidRDefault="002D7777" w:rsidP="00BE0673">
      <w:pPr>
        <w:pStyle w:val="Sansinterligne"/>
        <w:pBdr>
          <w:left w:val="thinThickSmallGap" w:sz="24" w:space="4" w:color="FFC000"/>
        </w:pBdr>
        <w:rPr>
          <w:rFonts w:eastAsiaTheme="minorEastAsia"/>
          <w:i/>
          <w:iCs/>
          <w:color w:val="FFC000"/>
        </w:rPr>
      </w:pPr>
      <w:r>
        <w:rPr>
          <w:rFonts w:eastAsiaTheme="minorEastAsia"/>
          <w:i/>
          <w:iCs/>
          <w:color w:val="FFC000"/>
        </w:rPr>
        <w:t xml:space="preserve">Essayer de montrer pour différente température la relation de </w:t>
      </w:r>
      <w:proofErr w:type="spellStart"/>
      <w:r>
        <w:rPr>
          <w:rFonts w:eastAsiaTheme="minorEastAsia"/>
          <w:i/>
          <w:iCs/>
          <w:color w:val="FFC000"/>
        </w:rPr>
        <w:t>van’t</w:t>
      </w:r>
      <w:proofErr w:type="spellEnd"/>
      <w:r>
        <w:rPr>
          <w:rFonts w:eastAsiaTheme="minorEastAsia"/>
          <w:i/>
          <w:iCs/>
          <w:color w:val="FFC000"/>
        </w:rPr>
        <w:t xml:space="preserve"> Hoff.</w:t>
      </w:r>
    </w:p>
    <w:p w:rsidR="004822B2" w:rsidRDefault="004822B2" w:rsidP="002C40C4">
      <w:pPr>
        <w:pStyle w:val="Sansinterligne"/>
        <w:rPr>
          <w:rFonts w:eastAsiaTheme="minorEastAsia"/>
        </w:rPr>
      </w:pPr>
    </w:p>
    <w:p w:rsidR="00BE0673" w:rsidRDefault="00BE0673" w:rsidP="002C40C4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De façon générale, on peut montrer que : </w:t>
      </w:r>
    </w:p>
    <w:p w:rsidR="00BE0673" w:rsidRPr="00BE0673" w:rsidRDefault="00F74316" w:rsidP="002C40C4">
      <w:pPr>
        <w:pStyle w:val="Sansinterligne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°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(T)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BE0673" w:rsidRDefault="00BE0673" w:rsidP="002C40C4">
      <w:pPr>
        <w:pStyle w:val="Sansinterligne"/>
        <w:rPr>
          <w:rFonts w:eastAsiaTheme="minorEastAsia"/>
        </w:rPr>
      </w:pPr>
      <w:r>
        <w:rPr>
          <w:rFonts w:eastAsiaTheme="minorEastAsia"/>
        </w:rPr>
        <w:lastRenderedPageBreak/>
        <w:t xml:space="preserve">Ce résultat est appelé relation de </w:t>
      </w:r>
      <w:proofErr w:type="spellStart"/>
      <w:r>
        <w:rPr>
          <w:rFonts w:eastAsiaTheme="minorEastAsia"/>
        </w:rPr>
        <w:t>van’t</w:t>
      </w:r>
      <w:proofErr w:type="spellEnd"/>
      <w:r>
        <w:rPr>
          <w:rFonts w:eastAsiaTheme="minorEastAsia"/>
        </w:rPr>
        <w:t xml:space="preserve"> Hoff</w:t>
      </w:r>
      <w:r w:rsidR="007F5697">
        <w:rPr>
          <w:rFonts w:eastAsiaTheme="minorEastAsia"/>
        </w:rPr>
        <w:t xml:space="preserve"> (approximation d’</w:t>
      </w:r>
      <w:proofErr w:type="spellStart"/>
      <w:r w:rsidR="007F5697">
        <w:rPr>
          <w:rFonts w:eastAsiaTheme="minorEastAsia"/>
        </w:rPr>
        <w:t>Ellingham</w:t>
      </w:r>
      <w:proofErr w:type="spellEnd"/>
      <w:r w:rsidR="007F5697">
        <w:rPr>
          <w:rFonts w:eastAsiaTheme="minorEastAsia"/>
        </w:rPr>
        <w:t xml:space="preserve"> nécessaire)</w:t>
      </w:r>
      <w:r>
        <w:rPr>
          <w:rFonts w:eastAsiaTheme="minorEastAsia"/>
        </w:rPr>
        <w:t xml:space="preserve">. </w:t>
      </w:r>
    </w:p>
    <w:p w:rsidR="00BE0673" w:rsidRDefault="00BE0673" w:rsidP="002C40C4">
      <w:pPr>
        <w:pStyle w:val="Sansinterligne"/>
        <w:rPr>
          <w:rFonts w:eastAsiaTheme="minorEastAsia"/>
        </w:rPr>
      </w:pPr>
    </w:p>
    <w:p w:rsidR="002D7777" w:rsidRPr="002D7777" w:rsidRDefault="002D7777" w:rsidP="002C40C4">
      <w:pPr>
        <w:pStyle w:val="Sansinterligne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Pour la manipulation précédente, on attend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>=63,4 kJ.mo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i/>
          <w:iCs/>
        </w:rPr>
        <w:t>.</w:t>
      </w:r>
    </w:p>
    <w:p w:rsidR="00BE0673" w:rsidRDefault="00BE0673" w:rsidP="002C40C4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>Démonstration :</w:t>
      </w:r>
    </w:p>
    <w:p w:rsidR="00BE0673" w:rsidRDefault="00BE0673" w:rsidP="002C40C4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F0"/>
              </w:rPr>
              <m:t>Δ</m:t>
            </m:r>
            <m:ctrlPr>
              <w:rPr>
                <w:rFonts w:ascii="Cambria Math" w:eastAsiaTheme="minorEastAsia" w:hAnsi="Cambria Math"/>
                <w:iCs/>
                <w:color w:val="00B0F0"/>
              </w:rPr>
            </m:ctrlPr>
          </m:e>
          <m:sub>
            <m:r>
              <w:rPr>
                <w:rFonts w:ascii="Cambria Math" w:eastAsiaTheme="minorEastAsia" w:hAnsi="Cambria Math"/>
                <w:color w:val="00B0F0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</w:rPr>
              <m:t>G</m:t>
            </m:r>
          </m:e>
          <m:sup>
            <m:r>
              <w:rPr>
                <w:rFonts w:ascii="Cambria Math" w:eastAsiaTheme="minorEastAsia" w:hAnsi="Cambria Math"/>
                <w:color w:val="00B0F0"/>
              </w:rPr>
              <m:t>°</m:t>
            </m:r>
          </m:sup>
        </m:sSup>
        <m:r>
          <w:rPr>
            <w:rFonts w:ascii="Cambria Math" w:eastAsiaTheme="minorEastAsia" w:hAnsi="Cambria Math"/>
            <w:color w:val="00B0F0"/>
          </w:rPr>
          <m:t>= -RT</m:t>
        </m:r>
        <m:func>
          <m:func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B0F0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°</m:t>
                </m:r>
              </m:sup>
            </m:sSup>
          </m:e>
        </m:func>
      </m:oMath>
    </w:p>
    <w:p w:rsidR="00BE0673" w:rsidRDefault="00BE0673" w:rsidP="002C40C4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Relation de Gibbs-Helmholtz 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dT</m:t>
            </m:r>
          </m:den>
        </m:f>
        <m:r>
          <w:rPr>
            <w:rFonts w:ascii="Cambria Math" w:eastAsiaTheme="minorEastAsia" w:hAnsi="Cambria Math"/>
            <w:color w:val="00B0F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B0F0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iCs/>
                        <w:color w:val="00B0F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°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B0F0"/>
                  </w:rPr>
                  <m:t>T</m:t>
                </m:r>
              </m:den>
            </m:f>
          </m:e>
        </m:d>
        <m:r>
          <w:rPr>
            <w:rFonts w:ascii="Cambria Math" w:eastAsiaTheme="minorEastAsia" w:hAnsi="Cambria Math"/>
            <w:color w:val="00B0F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T</m:t>
            </m:r>
          </m:den>
        </m:f>
        <m:r>
          <w:rPr>
            <w:rFonts w:ascii="Cambria Math" w:eastAsiaTheme="minorEastAsia" w:hAnsi="Cambria Math"/>
            <w:color w:val="00B0F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dT</m:t>
            </m:r>
          </m:den>
        </m:f>
        <m:r>
          <w:rPr>
            <w:rFonts w:ascii="Cambria Math" w:eastAsiaTheme="minorEastAsia" w:hAnsi="Cambria Math"/>
            <w:color w:val="00B0F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B0F0"/>
                  </w:rPr>
                  <m:t>Δ</m:t>
                </m:r>
                <m:ctrlPr>
                  <w:rPr>
                    <w:rFonts w:ascii="Cambria Math" w:eastAsiaTheme="minorEastAsia" w:hAnsi="Cambria Math"/>
                    <w:iCs/>
                    <w:color w:val="00B0F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B0F0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°</m:t>
                </m:r>
              </m:sup>
            </m:sSup>
          </m:e>
        </m:d>
        <m:r>
          <w:rPr>
            <w:rFonts w:ascii="Cambria Math" w:eastAsiaTheme="minorEastAsia" w:hAnsi="Cambria Math"/>
            <w:color w:val="00B0F0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B0F0"/>
                  </w:rPr>
                  <m:t>Δ</m:t>
                </m:r>
                <m:ctrlPr>
                  <w:rPr>
                    <w:rFonts w:ascii="Cambria Math" w:eastAsiaTheme="minorEastAsia" w:hAnsi="Cambria Math"/>
                    <w:iCs/>
                    <w:color w:val="00B0F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B0F0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°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B0F0"/>
          </w:rPr>
          <m:t xml:space="preserve"> et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F0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</w:rPr>
              <m:t>G</m:t>
            </m:r>
          </m:e>
          <m:sup>
            <m:r>
              <w:rPr>
                <w:rFonts w:ascii="Cambria Math" w:eastAsiaTheme="minorEastAsia" w:hAnsi="Cambria Math"/>
                <w:color w:val="00B0F0"/>
              </w:rPr>
              <m:t>°</m:t>
            </m:r>
          </m:sup>
        </m:sSup>
        <m:r>
          <w:rPr>
            <w:rFonts w:ascii="Cambria Math" w:eastAsiaTheme="minorEastAsia" w:hAnsi="Cambria Math"/>
            <w:color w:val="00B0F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F0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</w:rPr>
              <m:t>H</m:t>
            </m:r>
          </m:e>
          <m:sup>
            <m:r>
              <w:rPr>
                <w:rFonts w:ascii="Cambria Math" w:eastAsiaTheme="minorEastAsia" w:hAnsi="Cambria Math"/>
                <w:color w:val="00B0F0"/>
              </w:rPr>
              <m:t>°</m:t>
            </m:r>
          </m:sup>
        </m:sSup>
        <m:r>
          <w:rPr>
            <w:rFonts w:ascii="Cambria Math" w:eastAsiaTheme="minorEastAsia" w:hAnsi="Cambria Math"/>
            <w:color w:val="00B0F0"/>
          </w:rPr>
          <m:t>-T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F0"/>
              </w:rPr>
              <m:t>Δ</m:t>
            </m:r>
            <m:ctrlPr>
              <w:rPr>
                <w:rFonts w:ascii="Cambria Math" w:eastAsiaTheme="minorEastAsia" w:hAnsi="Cambria Math"/>
                <w:iCs/>
                <w:color w:val="00B0F0"/>
              </w:rPr>
            </m:ctrlPr>
          </m:e>
          <m:sub>
            <m:r>
              <w:rPr>
                <w:rFonts w:ascii="Cambria Math" w:eastAsiaTheme="minorEastAsia" w:hAnsi="Cambria Math"/>
                <w:color w:val="00B0F0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B0F0"/>
              </w:rPr>
              <m:t>°</m:t>
            </m:r>
          </m:sup>
        </m:sSup>
      </m:oMath>
    </w:p>
    <w:p w:rsidR="002D7777" w:rsidRDefault="002D7777" w:rsidP="002C40C4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Donc,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r>
              <w:rPr>
                <w:rFonts w:ascii="Cambria Math" w:eastAsiaTheme="minorEastAsia" w:hAnsi="Cambria Math"/>
                <w:color w:val="00B0F0"/>
              </w:rPr>
              <m:t>d</m:t>
            </m:r>
          </m:num>
          <m:den>
            <m:r>
              <w:rPr>
                <w:rFonts w:ascii="Cambria Math" w:eastAsiaTheme="minorEastAsia" w:hAnsi="Cambria Math"/>
                <w:color w:val="00B0F0"/>
              </w:rPr>
              <m:t>dT</m:t>
            </m:r>
          </m:den>
        </m:f>
        <m:r>
          <w:rPr>
            <w:rFonts w:ascii="Cambria Math" w:eastAsiaTheme="minorEastAsia" w:hAnsi="Cambria Math"/>
            <w:color w:val="00B0F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B0F0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iCs/>
                        <w:color w:val="00B0F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B0F0"/>
                      </w:rPr>
                      <m:t>°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B0F0"/>
                  </w:rPr>
                  <m:t>T</m:t>
                </m:r>
              </m:den>
            </m:f>
          </m:e>
        </m:d>
        <m:r>
          <w:rPr>
            <w:rFonts w:ascii="Cambria Math" w:eastAsiaTheme="minorEastAsia" w:hAnsi="Cambria Math"/>
            <w:color w:val="00B0F0"/>
          </w:rPr>
          <m:t xml:space="preserve">= -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Cs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B0F0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B0F0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°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B0F0"/>
              </w:rPr>
              <m:t>T</m:t>
            </m:r>
          </m:den>
        </m:f>
        <m:r>
          <w:rPr>
            <w:rFonts w:ascii="Cambria Math" w:eastAsiaTheme="minorEastAsia" w:hAnsi="Cambria Math"/>
            <w:color w:val="00B0F0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B0F0"/>
                  </w:rPr>
                  <m:t>Δ</m:t>
                </m:r>
                <m:ctrlPr>
                  <w:rPr>
                    <w:rFonts w:ascii="Cambria Math" w:eastAsiaTheme="minorEastAsia" w:hAnsi="Cambria Math"/>
                    <w:iCs/>
                    <w:color w:val="00B0F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B0F0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°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B0F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B0F0"/>
                  </w:rPr>
                  <m:t>Δ</m:t>
                </m:r>
                <m:ctrlPr>
                  <w:rPr>
                    <w:rFonts w:ascii="Cambria Math" w:eastAsiaTheme="minorEastAsia" w:hAnsi="Cambria Math"/>
                    <w:iCs/>
                    <w:color w:val="00B0F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B0F0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°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B0F0"/>
              </w:rPr>
              <m:t>T</m:t>
            </m:r>
          </m:den>
        </m:f>
        <m:r>
          <w:rPr>
            <w:rFonts w:ascii="Cambria Math" w:eastAsiaTheme="minorEastAsia" w:hAnsi="Cambria Math"/>
            <w:color w:val="00B0F0"/>
          </w:rPr>
          <m:t xml:space="preserve">= -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B0F0"/>
                  </w:rPr>
                  <m:t>Δ</m:t>
                </m:r>
                <m:ctrlPr>
                  <w:rPr>
                    <w:rFonts w:ascii="Cambria Math" w:eastAsiaTheme="minorEastAsia" w:hAnsi="Cambria Math"/>
                    <w:iCs/>
                    <w:color w:val="00B0F0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00B0F0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°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B0F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B0F0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color w:val="00B0F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B0F0"/>
          </w:rPr>
          <m:t xml:space="preserve"> </m:t>
        </m:r>
      </m:oMath>
    </w:p>
    <w:p w:rsidR="002D7777" w:rsidRDefault="002D7777" w:rsidP="002C40C4">
      <w:pPr>
        <w:pStyle w:val="Sansinterligne"/>
        <w:rPr>
          <w:rFonts w:eastAsiaTheme="minorEastAsia"/>
          <w:i/>
          <w:iCs/>
          <w:color w:val="00B0F0"/>
        </w:rPr>
      </w:pPr>
    </w:p>
    <w:p w:rsidR="002D7777" w:rsidRDefault="002D7777" w:rsidP="002C40C4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Ainsi, en réinjectant l’expression 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B0F0"/>
              </w:rPr>
              <m:t>Δ</m:t>
            </m:r>
            <m:ctrlPr>
              <w:rPr>
                <w:rFonts w:ascii="Cambria Math" w:eastAsiaTheme="minorEastAsia" w:hAnsi="Cambria Math"/>
                <w:iCs/>
                <w:color w:val="00B0F0"/>
              </w:rPr>
            </m:ctrlPr>
          </m:e>
          <m:sub>
            <m:r>
              <w:rPr>
                <w:rFonts w:ascii="Cambria Math" w:eastAsiaTheme="minorEastAsia" w:hAnsi="Cambria Math"/>
                <w:color w:val="00B0F0"/>
              </w:rPr>
              <m:t>r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color w:val="00B0F0"/>
              </w:rPr>
            </m:ctrlPr>
          </m:sSupPr>
          <m:e>
            <m:r>
              <w:rPr>
                <w:rFonts w:ascii="Cambria Math" w:eastAsiaTheme="minorEastAsia" w:hAnsi="Cambria Math"/>
                <w:color w:val="00B0F0"/>
              </w:rPr>
              <m:t>G</m:t>
            </m:r>
          </m:e>
          <m:sup>
            <m:r>
              <w:rPr>
                <w:rFonts w:ascii="Cambria Math" w:eastAsiaTheme="minorEastAsia" w:hAnsi="Cambria Math"/>
                <w:color w:val="00B0F0"/>
              </w:rPr>
              <m:t>°</m:t>
            </m:r>
          </m:sup>
        </m:sSup>
        <m:r>
          <w:rPr>
            <w:rFonts w:ascii="Cambria Math" w:eastAsiaTheme="minorEastAsia" w:hAnsi="Cambria Math"/>
            <w:color w:val="00B0F0"/>
          </w:rPr>
          <m:t>,</m:t>
        </m:r>
      </m:oMath>
      <w:r>
        <w:rPr>
          <w:rFonts w:eastAsiaTheme="minorEastAsia"/>
          <w:i/>
          <w:iCs/>
          <w:color w:val="00B0F0"/>
        </w:rPr>
        <w:t xml:space="preserve"> on retrouve la relation de van’t Hoff.</w:t>
      </w:r>
    </w:p>
    <w:p w:rsidR="002D7777" w:rsidRDefault="002D7777" w:rsidP="002C40C4">
      <w:pPr>
        <w:pStyle w:val="Sansinterligne"/>
        <w:rPr>
          <w:rFonts w:eastAsiaTheme="minorEastAsia"/>
          <w:i/>
          <w:iCs/>
          <w:color w:val="00B0F0"/>
        </w:rPr>
      </w:pPr>
    </w:p>
    <w:p w:rsidR="002D7777" w:rsidRDefault="002D7777" w:rsidP="002C40C4">
      <w:pPr>
        <w:pStyle w:val="Sansinterligne"/>
        <w:rPr>
          <w:rFonts w:eastAsiaTheme="minorEastAsia"/>
          <w:i/>
          <w:iCs/>
          <w:color w:val="00B0F0"/>
        </w:rPr>
      </w:pPr>
      <w:r>
        <w:rPr>
          <w:rFonts w:eastAsiaTheme="minorEastAsia"/>
          <w:i/>
          <w:iCs/>
          <w:color w:val="00B0F0"/>
        </w:rPr>
        <w:t xml:space="preserve">Attention, il ne faut pas confondre cette relation avec la loi de </w:t>
      </w:r>
      <w:proofErr w:type="spellStart"/>
      <w:r>
        <w:rPr>
          <w:rFonts w:eastAsiaTheme="minorEastAsia"/>
          <w:i/>
          <w:iCs/>
          <w:color w:val="00B0F0"/>
        </w:rPr>
        <w:t>van’t</w:t>
      </w:r>
      <w:proofErr w:type="spellEnd"/>
      <w:r>
        <w:rPr>
          <w:rFonts w:eastAsiaTheme="minorEastAsia"/>
          <w:i/>
          <w:iCs/>
          <w:color w:val="00B0F0"/>
        </w:rPr>
        <w:t xml:space="preserve"> Hoff (cinétique) : pour un acte élémentaire, les ordres partiels sont égaux aux coefficients stœchiométriques.</w:t>
      </w:r>
    </w:p>
    <w:p w:rsidR="002D7777" w:rsidRDefault="002D7777" w:rsidP="002D7777">
      <w:pPr>
        <w:pStyle w:val="Sansinterligne"/>
      </w:pPr>
    </w:p>
    <w:p w:rsidR="006D257B" w:rsidRDefault="006D257B" w:rsidP="002D7777">
      <w:pPr>
        <w:pStyle w:val="Sansinterligne"/>
        <w:rPr>
          <w:b/>
          <w:bCs/>
          <w:smallCaps/>
          <w:color w:val="FF0000"/>
        </w:rPr>
      </w:pPr>
      <w:r>
        <w:rPr>
          <w:b/>
          <w:bCs/>
          <w:smallCaps/>
          <w:color w:val="FF0000"/>
        </w:rPr>
        <w:t xml:space="preserve">Conclusion : Au cours de cette leçon, nous avons vu que les constantes </w:t>
      </w:r>
      <w:r w:rsidR="005723B7">
        <w:rPr>
          <w:b/>
          <w:bCs/>
          <w:smallCaps/>
          <w:color w:val="FF0000"/>
        </w:rPr>
        <w:t xml:space="preserve">d’équilibre varient en fonction de la température en suivant la relation de </w:t>
      </w:r>
      <w:proofErr w:type="spellStart"/>
      <w:r w:rsidR="005723B7">
        <w:rPr>
          <w:b/>
          <w:bCs/>
          <w:smallCaps/>
          <w:color w:val="FF0000"/>
        </w:rPr>
        <w:t>van’t</w:t>
      </w:r>
      <w:proofErr w:type="spellEnd"/>
      <w:r w:rsidR="005723B7">
        <w:rPr>
          <w:b/>
          <w:bCs/>
          <w:smallCaps/>
          <w:color w:val="FF0000"/>
        </w:rPr>
        <w:t xml:space="preserve"> Hoff. </w:t>
      </w:r>
    </w:p>
    <w:p w:rsidR="005723B7" w:rsidRDefault="005723B7" w:rsidP="002D7777">
      <w:pPr>
        <w:pStyle w:val="Sansinterligne"/>
        <w:rPr>
          <w:b/>
          <w:bCs/>
          <w:smallCaps/>
          <w:color w:val="FF0000"/>
        </w:rPr>
      </w:pPr>
      <w:r>
        <w:rPr>
          <w:b/>
          <w:bCs/>
          <w:smallCaps/>
          <w:color w:val="FF0000"/>
        </w:rPr>
        <w:t xml:space="preserve">Celle-ci permet de voir l’impact de la température sur un éventuel déplacement d’équilibre. </w:t>
      </w:r>
    </w:p>
    <w:p w:rsidR="005723B7" w:rsidRDefault="005723B7" w:rsidP="002D7777">
      <w:pPr>
        <w:pStyle w:val="Sansinterligne"/>
        <w:rPr>
          <w:b/>
          <w:bCs/>
          <w:smallCaps/>
          <w:color w:val="FF0000"/>
        </w:rPr>
      </w:pPr>
      <w:r>
        <w:rPr>
          <w:b/>
          <w:bCs/>
          <w:smallCaps/>
          <w:color w:val="FF0000"/>
        </w:rPr>
        <w:t>De plus, dans cette leçon, nous avons donné les outils pour déterminer la composition à l’équilibre d’un système mais nous n’avons pas discuté de la vitesse à laquelle cet équilibre serait atteint.</w:t>
      </w:r>
    </w:p>
    <w:p w:rsidR="00BC1AB7" w:rsidRDefault="00BC1AB7" w:rsidP="002D7777">
      <w:pPr>
        <w:pStyle w:val="Sansinterligne"/>
        <w:rPr>
          <w:b/>
          <w:bCs/>
          <w:smallCaps/>
          <w:color w:val="FF0000"/>
        </w:rPr>
      </w:pPr>
    </w:p>
    <w:p w:rsidR="00BC1AB7" w:rsidRDefault="00BC1AB7" w:rsidP="002D7777">
      <w:pPr>
        <w:pStyle w:val="Sansinterligne"/>
        <w:rPr>
          <w:i/>
          <w:iCs/>
          <w:color w:val="00B0F0"/>
        </w:rPr>
      </w:pPr>
      <w:r>
        <w:rPr>
          <w:i/>
          <w:iCs/>
          <w:color w:val="00B0F0"/>
        </w:rPr>
        <w:t>Exemples de constante d’équilibre récompensée par des prix Nobels. Celle du procédé du Ha</w:t>
      </w:r>
      <w:r w:rsidR="00F72B9E">
        <w:rPr>
          <w:i/>
          <w:iCs/>
          <w:color w:val="00B0F0"/>
        </w:rPr>
        <w:t>b</w:t>
      </w:r>
      <w:r>
        <w:rPr>
          <w:i/>
          <w:iCs/>
          <w:color w:val="00B0F0"/>
        </w:rPr>
        <w:t xml:space="preserve">er-Bosch pour la synthèse de l’ammoniac (voir LC </w:t>
      </w:r>
      <w:r w:rsidR="00990EED">
        <w:rPr>
          <w:i/>
          <w:iCs/>
          <w:color w:val="00B0F0"/>
        </w:rPr>
        <w:t>4</w:t>
      </w:r>
      <w:r>
        <w:rPr>
          <w:i/>
          <w:iCs/>
          <w:color w:val="00B0F0"/>
        </w:rPr>
        <w:t>).</w:t>
      </w:r>
    </w:p>
    <w:p w:rsidR="00BC1AB7" w:rsidRPr="00BC1AB7" w:rsidRDefault="00BC1AB7" w:rsidP="002D7777">
      <w:pPr>
        <w:pStyle w:val="Sansinterligne"/>
        <w:rPr>
          <w:i/>
          <w:iCs/>
          <w:color w:val="00B0F0"/>
        </w:rPr>
      </w:pPr>
      <w:bookmarkStart w:id="6" w:name="_GoBack"/>
      <w:bookmarkEnd w:id="6"/>
    </w:p>
    <w:sectPr w:rsidR="00BC1AB7" w:rsidRPr="00BC1A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4A5" w:rsidRDefault="003124A5" w:rsidP="00A06968">
      <w:pPr>
        <w:spacing w:after="0" w:line="240" w:lineRule="auto"/>
      </w:pPr>
      <w:r>
        <w:separator/>
      </w:r>
    </w:p>
  </w:endnote>
  <w:endnote w:type="continuationSeparator" w:id="0">
    <w:p w:rsidR="003124A5" w:rsidRDefault="003124A5" w:rsidP="00A0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4A5" w:rsidRDefault="003124A5" w:rsidP="00A06968">
      <w:pPr>
        <w:spacing w:after="0" w:line="240" w:lineRule="auto"/>
      </w:pPr>
      <w:r>
        <w:separator/>
      </w:r>
    </w:p>
  </w:footnote>
  <w:footnote w:type="continuationSeparator" w:id="0">
    <w:p w:rsidR="003124A5" w:rsidRDefault="003124A5" w:rsidP="00A06968">
      <w:pPr>
        <w:spacing w:after="0" w:line="240" w:lineRule="auto"/>
      </w:pPr>
      <w:r>
        <w:continuationSeparator/>
      </w:r>
    </w:p>
  </w:footnote>
  <w:footnote w:id="1">
    <w:p w:rsidR="00F74316" w:rsidRDefault="00F74316">
      <w:pPr>
        <w:pStyle w:val="Notedebasdepage"/>
      </w:pPr>
      <w:r>
        <w:rPr>
          <w:rStyle w:val="Appelnotedebasdep"/>
        </w:rPr>
        <w:footnoteRef/>
      </w:r>
      <w:r>
        <w:t xml:space="preserve"> Mathématicien, physicien et chimiste belge né 1872 et mort en 1957</w:t>
      </w:r>
    </w:p>
  </w:footnote>
  <w:footnote w:id="2">
    <w:p w:rsidR="00F74316" w:rsidRDefault="00F74316">
      <w:pPr>
        <w:pStyle w:val="Notedebasdepage"/>
      </w:pPr>
      <w:r>
        <w:rPr>
          <w:rStyle w:val="Appelnotedebasdep"/>
        </w:rPr>
        <w:footnoteRef/>
      </w:r>
      <w:r>
        <w:t xml:space="preserve"> Guldberg : chimiste-math norvégien (1836-1902) et Waage : chimiste-phys norvégien (1833-1900)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4AA1"/>
    <w:multiLevelType w:val="hybridMultilevel"/>
    <w:tmpl w:val="2B42CE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EE4"/>
    <w:multiLevelType w:val="hybridMultilevel"/>
    <w:tmpl w:val="29C26D64"/>
    <w:lvl w:ilvl="0" w:tplc="D338C74C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F409C9"/>
    <w:multiLevelType w:val="hybridMultilevel"/>
    <w:tmpl w:val="86F6EC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85CC9"/>
    <w:multiLevelType w:val="hybridMultilevel"/>
    <w:tmpl w:val="4CD27460"/>
    <w:lvl w:ilvl="0" w:tplc="F90CEA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DD285C"/>
    <w:multiLevelType w:val="hybridMultilevel"/>
    <w:tmpl w:val="F21E2F34"/>
    <w:lvl w:ilvl="0" w:tplc="12F46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1F1FEE"/>
    <w:multiLevelType w:val="hybridMultilevel"/>
    <w:tmpl w:val="6D6E7CF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00AA6"/>
    <w:multiLevelType w:val="hybridMultilevel"/>
    <w:tmpl w:val="F8C40E0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97DCC"/>
    <w:multiLevelType w:val="hybridMultilevel"/>
    <w:tmpl w:val="C92AF75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131A7"/>
    <w:multiLevelType w:val="hybridMultilevel"/>
    <w:tmpl w:val="1EA03AE2"/>
    <w:lvl w:ilvl="0" w:tplc="AFF87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D405D3"/>
    <w:multiLevelType w:val="hybridMultilevel"/>
    <w:tmpl w:val="C512E306"/>
    <w:lvl w:ilvl="0" w:tplc="B7AA6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53251E"/>
    <w:multiLevelType w:val="hybridMultilevel"/>
    <w:tmpl w:val="0F78BE9C"/>
    <w:lvl w:ilvl="0" w:tplc="0A3E7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C82597"/>
    <w:multiLevelType w:val="hybridMultilevel"/>
    <w:tmpl w:val="6292EC5E"/>
    <w:lvl w:ilvl="0" w:tplc="A52AC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43587"/>
    <w:multiLevelType w:val="hybridMultilevel"/>
    <w:tmpl w:val="84B813F8"/>
    <w:lvl w:ilvl="0" w:tplc="C4162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B4AC8"/>
    <w:multiLevelType w:val="hybridMultilevel"/>
    <w:tmpl w:val="47E6D97C"/>
    <w:lvl w:ilvl="0" w:tplc="A8EE4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41B1"/>
    <w:multiLevelType w:val="hybridMultilevel"/>
    <w:tmpl w:val="424EFFE4"/>
    <w:lvl w:ilvl="0" w:tplc="D6F64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2977D4"/>
    <w:multiLevelType w:val="hybridMultilevel"/>
    <w:tmpl w:val="EC64394E"/>
    <w:lvl w:ilvl="0" w:tplc="D49C01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601D28"/>
    <w:multiLevelType w:val="hybridMultilevel"/>
    <w:tmpl w:val="176A832A"/>
    <w:lvl w:ilvl="0" w:tplc="711221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B60F1D"/>
    <w:multiLevelType w:val="hybridMultilevel"/>
    <w:tmpl w:val="824E49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C2EF7"/>
    <w:multiLevelType w:val="hybridMultilevel"/>
    <w:tmpl w:val="3E06FAC2"/>
    <w:lvl w:ilvl="0" w:tplc="140437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11"/>
  </w:num>
  <w:num w:numId="9">
    <w:abstractNumId w:val="14"/>
  </w:num>
  <w:num w:numId="10">
    <w:abstractNumId w:val="6"/>
  </w:num>
  <w:num w:numId="11">
    <w:abstractNumId w:val="12"/>
  </w:num>
  <w:num w:numId="12">
    <w:abstractNumId w:val="7"/>
  </w:num>
  <w:num w:numId="13">
    <w:abstractNumId w:val="8"/>
  </w:num>
  <w:num w:numId="14">
    <w:abstractNumId w:val="16"/>
  </w:num>
  <w:num w:numId="15">
    <w:abstractNumId w:val="17"/>
  </w:num>
  <w:num w:numId="16">
    <w:abstractNumId w:val="10"/>
  </w:num>
  <w:num w:numId="17">
    <w:abstractNumId w:val="15"/>
  </w:num>
  <w:num w:numId="18">
    <w:abstractNumId w:val="9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CF"/>
    <w:rsid w:val="000000B4"/>
    <w:rsid w:val="0001064F"/>
    <w:rsid w:val="000115F6"/>
    <w:rsid w:val="00012601"/>
    <w:rsid w:val="000134FE"/>
    <w:rsid w:val="0001481E"/>
    <w:rsid w:val="00016977"/>
    <w:rsid w:val="00017335"/>
    <w:rsid w:val="000173F7"/>
    <w:rsid w:val="00022B75"/>
    <w:rsid w:val="00023909"/>
    <w:rsid w:val="00023AE4"/>
    <w:rsid w:val="00024DEC"/>
    <w:rsid w:val="00033801"/>
    <w:rsid w:val="00034414"/>
    <w:rsid w:val="0003781D"/>
    <w:rsid w:val="00041BF6"/>
    <w:rsid w:val="00042B70"/>
    <w:rsid w:val="000473AD"/>
    <w:rsid w:val="0005225A"/>
    <w:rsid w:val="00057E0C"/>
    <w:rsid w:val="00061875"/>
    <w:rsid w:val="000652C5"/>
    <w:rsid w:val="00065C19"/>
    <w:rsid w:val="0006651F"/>
    <w:rsid w:val="00066D69"/>
    <w:rsid w:val="0007304E"/>
    <w:rsid w:val="00073F91"/>
    <w:rsid w:val="00081460"/>
    <w:rsid w:val="00081D21"/>
    <w:rsid w:val="00082752"/>
    <w:rsid w:val="00093D37"/>
    <w:rsid w:val="00094625"/>
    <w:rsid w:val="000948D4"/>
    <w:rsid w:val="000A3F8B"/>
    <w:rsid w:val="000A5834"/>
    <w:rsid w:val="000A758C"/>
    <w:rsid w:val="000A7AC8"/>
    <w:rsid w:val="000B6C12"/>
    <w:rsid w:val="000C01B5"/>
    <w:rsid w:val="000C0D39"/>
    <w:rsid w:val="000C188A"/>
    <w:rsid w:val="000C77A9"/>
    <w:rsid w:val="000C7C08"/>
    <w:rsid w:val="000D165D"/>
    <w:rsid w:val="000D1A5D"/>
    <w:rsid w:val="000D1CA2"/>
    <w:rsid w:val="000D1FB2"/>
    <w:rsid w:val="000D2476"/>
    <w:rsid w:val="000D4731"/>
    <w:rsid w:val="000D7D61"/>
    <w:rsid w:val="000E00CF"/>
    <w:rsid w:val="000E1A27"/>
    <w:rsid w:val="000E234D"/>
    <w:rsid w:val="000F3D5A"/>
    <w:rsid w:val="000F3EE6"/>
    <w:rsid w:val="000F58C8"/>
    <w:rsid w:val="000F59BF"/>
    <w:rsid w:val="000F5D77"/>
    <w:rsid w:val="000F7266"/>
    <w:rsid w:val="001003E6"/>
    <w:rsid w:val="001013BA"/>
    <w:rsid w:val="0010158E"/>
    <w:rsid w:val="001037A3"/>
    <w:rsid w:val="00103E1F"/>
    <w:rsid w:val="001040CD"/>
    <w:rsid w:val="00104588"/>
    <w:rsid w:val="001045C2"/>
    <w:rsid w:val="001061B1"/>
    <w:rsid w:val="00107AF0"/>
    <w:rsid w:val="001126C7"/>
    <w:rsid w:val="00122226"/>
    <w:rsid w:val="001230F6"/>
    <w:rsid w:val="001269FA"/>
    <w:rsid w:val="001319A7"/>
    <w:rsid w:val="00131AA1"/>
    <w:rsid w:val="00132791"/>
    <w:rsid w:val="00132AD0"/>
    <w:rsid w:val="00135493"/>
    <w:rsid w:val="00143595"/>
    <w:rsid w:val="00143A40"/>
    <w:rsid w:val="00144A30"/>
    <w:rsid w:val="00146398"/>
    <w:rsid w:val="00150C8E"/>
    <w:rsid w:val="00151F76"/>
    <w:rsid w:val="00154310"/>
    <w:rsid w:val="00164527"/>
    <w:rsid w:val="001664B0"/>
    <w:rsid w:val="00173D9D"/>
    <w:rsid w:val="00174A06"/>
    <w:rsid w:val="001773BF"/>
    <w:rsid w:val="00177EBE"/>
    <w:rsid w:val="00191F3D"/>
    <w:rsid w:val="001959E4"/>
    <w:rsid w:val="001A47CE"/>
    <w:rsid w:val="001A5A58"/>
    <w:rsid w:val="001A73EF"/>
    <w:rsid w:val="001B248F"/>
    <w:rsid w:val="001B3CA7"/>
    <w:rsid w:val="001C1A47"/>
    <w:rsid w:val="001C41D7"/>
    <w:rsid w:val="001C491B"/>
    <w:rsid w:val="001C5136"/>
    <w:rsid w:val="001C5E23"/>
    <w:rsid w:val="001C78BB"/>
    <w:rsid w:val="001C7E3E"/>
    <w:rsid w:val="001D4532"/>
    <w:rsid w:val="001D6424"/>
    <w:rsid w:val="001D7E1C"/>
    <w:rsid w:val="001E3A19"/>
    <w:rsid w:val="001E7D3C"/>
    <w:rsid w:val="001F2C29"/>
    <w:rsid w:val="001F6F61"/>
    <w:rsid w:val="001F7C8C"/>
    <w:rsid w:val="002017C6"/>
    <w:rsid w:val="00201AFD"/>
    <w:rsid w:val="00201BBC"/>
    <w:rsid w:val="00201FB3"/>
    <w:rsid w:val="0020275E"/>
    <w:rsid w:val="002137EE"/>
    <w:rsid w:val="00214B75"/>
    <w:rsid w:val="0022289B"/>
    <w:rsid w:val="002236B5"/>
    <w:rsid w:val="00223B8D"/>
    <w:rsid w:val="00224BED"/>
    <w:rsid w:val="002310FB"/>
    <w:rsid w:val="002344FB"/>
    <w:rsid w:val="00234AD4"/>
    <w:rsid w:val="0023546E"/>
    <w:rsid w:val="00235B21"/>
    <w:rsid w:val="00235BA6"/>
    <w:rsid w:val="002371B4"/>
    <w:rsid w:val="0024152D"/>
    <w:rsid w:val="00243CE4"/>
    <w:rsid w:val="002454C1"/>
    <w:rsid w:val="00255EF8"/>
    <w:rsid w:val="00262694"/>
    <w:rsid w:val="00271EA3"/>
    <w:rsid w:val="00275F0C"/>
    <w:rsid w:val="00276575"/>
    <w:rsid w:val="00281EE7"/>
    <w:rsid w:val="0028202F"/>
    <w:rsid w:val="00284536"/>
    <w:rsid w:val="002928D6"/>
    <w:rsid w:val="002953D6"/>
    <w:rsid w:val="002A64EC"/>
    <w:rsid w:val="002A685B"/>
    <w:rsid w:val="002B0CDC"/>
    <w:rsid w:val="002B3633"/>
    <w:rsid w:val="002B4F31"/>
    <w:rsid w:val="002C3750"/>
    <w:rsid w:val="002C40C4"/>
    <w:rsid w:val="002C4B4D"/>
    <w:rsid w:val="002C6171"/>
    <w:rsid w:val="002C7747"/>
    <w:rsid w:val="002D0C32"/>
    <w:rsid w:val="002D162C"/>
    <w:rsid w:val="002D6EF0"/>
    <w:rsid w:val="002D6F0F"/>
    <w:rsid w:val="002D7777"/>
    <w:rsid w:val="002D7D3A"/>
    <w:rsid w:val="002E3D67"/>
    <w:rsid w:val="002E52DA"/>
    <w:rsid w:val="002E7388"/>
    <w:rsid w:val="002F11EE"/>
    <w:rsid w:val="002F2FAF"/>
    <w:rsid w:val="002F67AE"/>
    <w:rsid w:val="003019F5"/>
    <w:rsid w:val="00303CAD"/>
    <w:rsid w:val="00312058"/>
    <w:rsid w:val="003124A5"/>
    <w:rsid w:val="003132FB"/>
    <w:rsid w:val="00316A07"/>
    <w:rsid w:val="00322BA8"/>
    <w:rsid w:val="00325F0B"/>
    <w:rsid w:val="003268A5"/>
    <w:rsid w:val="00327864"/>
    <w:rsid w:val="00331A2B"/>
    <w:rsid w:val="00331C57"/>
    <w:rsid w:val="00333DAF"/>
    <w:rsid w:val="00336811"/>
    <w:rsid w:val="00337E24"/>
    <w:rsid w:val="003420A2"/>
    <w:rsid w:val="00343926"/>
    <w:rsid w:val="00346DD1"/>
    <w:rsid w:val="0034700F"/>
    <w:rsid w:val="00347B53"/>
    <w:rsid w:val="00353B0E"/>
    <w:rsid w:val="003568A7"/>
    <w:rsid w:val="00362383"/>
    <w:rsid w:val="003639ED"/>
    <w:rsid w:val="00364858"/>
    <w:rsid w:val="00364ACF"/>
    <w:rsid w:val="00365C14"/>
    <w:rsid w:val="00365F03"/>
    <w:rsid w:val="003661B7"/>
    <w:rsid w:val="00372E4B"/>
    <w:rsid w:val="003749EE"/>
    <w:rsid w:val="00380C12"/>
    <w:rsid w:val="00382EC4"/>
    <w:rsid w:val="00384446"/>
    <w:rsid w:val="00391852"/>
    <w:rsid w:val="00394708"/>
    <w:rsid w:val="0039588D"/>
    <w:rsid w:val="00397DD1"/>
    <w:rsid w:val="003A0755"/>
    <w:rsid w:val="003A11A8"/>
    <w:rsid w:val="003A41D4"/>
    <w:rsid w:val="003A5853"/>
    <w:rsid w:val="003A66C8"/>
    <w:rsid w:val="003B1033"/>
    <w:rsid w:val="003B10D7"/>
    <w:rsid w:val="003B1452"/>
    <w:rsid w:val="003B53FE"/>
    <w:rsid w:val="003C3C6C"/>
    <w:rsid w:val="003C58FC"/>
    <w:rsid w:val="003C5C63"/>
    <w:rsid w:val="003C684E"/>
    <w:rsid w:val="003C7AB0"/>
    <w:rsid w:val="003D0FFB"/>
    <w:rsid w:val="003D2915"/>
    <w:rsid w:val="003D6276"/>
    <w:rsid w:val="003D64C9"/>
    <w:rsid w:val="003D7B08"/>
    <w:rsid w:val="003E4BA1"/>
    <w:rsid w:val="003F45E6"/>
    <w:rsid w:val="003F6819"/>
    <w:rsid w:val="003F701A"/>
    <w:rsid w:val="003F7BEB"/>
    <w:rsid w:val="00404A13"/>
    <w:rsid w:val="00410CBA"/>
    <w:rsid w:val="00410D01"/>
    <w:rsid w:val="00414F6D"/>
    <w:rsid w:val="00415417"/>
    <w:rsid w:val="004155F8"/>
    <w:rsid w:val="00415A6B"/>
    <w:rsid w:val="00415E7E"/>
    <w:rsid w:val="00415EA2"/>
    <w:rsid w:val="004214CF"/>
    <w:rsid w:val="00423622"/>
    <w:rsid w:val="00424073"/>
    <w:rsid w:val="0042492A"/>
    <w:rsid w:val="00424DAA"/>
    <w:rsid w:val="0043131D"/>
    <w:rsid w:val="00432B9B"/>
    <w:rsid w:val="0043486F"/>
    <w:rsid w:val="00434FBE"/>
    <w:rsid w:val="0044076E"/>
    <w:rsid w:val="004412FC"/>
    <w:rsid w:val="00446529"/>
    <w:rsid w:val="0044673E"/>
    <w:rsid w:val="00450B76"/>
    <w:rsid w:val="0045118E"/>
    <w:rsid w:val="0045262E"/>
    <w:rsid w:val="004546BC"/>
    <w:rsid w:val="00455327"/>
    <w:rsid w:val="00456087"/>
    <w:rsid w:val="004566A8"/>
    <w:rsid w:val="0046144E"/>
    <w:rsid w:val="00462B7C"/>
    <w:rsid w:val="0046669E"/>
    <w:rsid w:val="004668DD"/>
    <w:rsid w:val="004706DE"/>
    <w:rsid w:val="004739E4"/>
    <w:rsid w:val="00473A59"/>
    <w:rsid w:val="00480139"/>
    <w:rsid w:val="00480C50"/>
    <w:rsid w:val="004822B2"/>
    <w:rsid w:val="00485038"/>
    <w:rsid w:val="00486264"/>
    <w:rsid w:val="00490DFC"/>
    <w:rsid w:val="004923C1"/>
    <w:rsid w:val="004923CE"/>
    <w:rsid w:val="0049264A"/>
    <w:rsid w:val="004A0174"/>
    <w:rsid w:val="004A09D4"/>
    <w:rsid w:val="004A2568"/>
    <w:rsid w:val="004A4892"/>
    <w:rsid w:val="004A7863"/>
    <w:rsid w:val="004C0448"/>
    <w:rsid w:val="004D0305"/>
    <w:rsid w:val="004D3FBD"/>
    <w:rsid w:val="004E1A8E"/>
    <w:rsid w:val="004E4543"/>
    <w:rsid w:val="004E57F4"/>
    <w:rsid w:val="004E6099"/>
    <w:rsid w:val="004F4174"/>
    <w:rsid w:val="004F4BD2"/>
    <w:rsid w:val="004F7221"/>
    <w:rsid w:val="004F7224"/>
    <w:rsid w:val="004F7246"/>
    <w:rsid w:val="00501FD8"/>
    <w:rsid w:val="00502D5A"/>
    <w:rsid w:val="005113F8"/>
    <w:rsid w:val="00513BAD"/>
    <w:rsid w:val="005163D0"/>
    <w:rsid w:val="0052245C"/>
    <w:rsid w:val="00522873"/>
    <w:rsid w:val="00523F00"/>
    <w:rsid w:val="005254B2"/>
    <w:rsid w:val="0052616B"/>
    <w:rsid w:val="005269AD"/>
    <w:rsid w:val="005271A3"/>
    <w:rsid w:val="00531010"/>
    <w:rsid w:val="005405A1"/>
    <w:rsid w:val="0054320B"/>
    <w:rsid w:val="005435AB"/>
    <w:rsid w:val="005520AF"/>
    <w:rsid w:val="005540D3"/>
    <w:rsid w:val="00556386"/>
    <w:rsid w:val="00563D57"/>
    <w:rsid w:val="00565EC7"/>
    <w:rsid w:val="00566C06"/>
    <w:rsid w:val="005675EA"/>
    <w:rsid w:val="00567F55"/>
    <w:rsid w:val="00571565"/>
    <w:rsid w:val="005723B7"/>
    <w:rsid w:val="00572DC9"/>
    <w:rsid w:val="005733C0"/>
    <w:rsid w:val="00573DA2"/>
    <w:rsid w:val="00574A95"/>
    <w:rsid w:val="005763BF"/>
    <w:rsid w:val="00577C64"/>
    <w:rsid w:val="00580015"/>
    <w:rsid w:val="00581595"/>
    <w:rsid w:val="00583083"/>
    <w:rsid w:val="00585E31"/>
    <w:rsid w:val="00586FE5"/>
    <w:rsid w:val="005902F2"/>
    <w:rsid w:val="00590A52"/>
    <w:rsid w:val="0059281F"/>
    <w:rsid w:val="00595CBE"/>
    <w:rsid w:val="00596FED"/>
    <w:rsid w:val="00597AAF"/>
    <w:rsid w:val="005A3332"/>
    <w:rsid w:val="005A7039"/>
    <w:rsid w:val="005A7BFD"/>
    <w:rsid w:val="005A7EB9"/>
    <w:rsid w:val="005B22F4"/>
    <w:rsid w:val="005B4775"/>
    <w:rsid w:val="005B6C6D"/>
    <w:rsid w:val="005C01F8"/>
    <w:rsid w:val="005C2121"/>
    <w:rsid w:val="005C5C7D"/>
    <w:rsid w:val="005D10E8"/>
    <w:rsid w:val="005D1215"/>
    <w:rsid w:val="005D475F"/>
    <w:rsid w:val="005D4D1D"/>
    <w:rsid w:val="005E75F4"/>
    <w:rsid w:val="005F6079"/>
    <w:rsid w:val="005F60DF"/>
    <w:rsid w:val="006017E7"/>
    <w:rsid w:val="0060391D"/>
    <w:rsid w:val="00603B2A"/>
    <w:rsid w:val="006054B6"/>
    <w:rsid w:val="006058B6"/>
    <w:rsid w:val="00606A80"/>
    <w:rsid w:val="00610A89"/>
    <w:rsid w:val="00611ACD"/>
    <w:rsid w:val="00612D94"/>
    <w:rsid w:val="00615239"/>
    <w:rsid w:val="006156EA"/>
    <w:rsid w:val="00616DF9"/>
    <w:rsid w:val="0062291D"/>
    <w:rsid w:val="00623708"/>
    <w:rsid w:val="0062394A"/>
    <w:rsid w:val="00625E1D"/>
    <w:rsid w:val="00626898"/>
    <w:rsid w:val="006312BA"/>
    <w:rsid w:val="006365A1"/>
    <w:rsid w:val="00636E43"/>
    <w:rsid w:val="006446DB"/>
    <w:rsid w:val="006467C7"/>
    <w:rsid w:val="006530EC"/>
    <w:rsid w:val="00661E0D"/>
    <w:rsid w:val="00661F5B"/>
    <w:rsid w:val="006641FA"/>
    <w:rsid w:val="006704C8"/>
    <w:rsid w:val="0067448A"/>
    <w:rsid w:val="00676E9D"/>
    <w:rsid w:val="00677B15"/>
    <w:rsid w:val="00680A79"/>
    <w:rsid w:val="00687027"/>
    <w:rsid w:val="006873A5"/>
    <w:rsid w:val="00691B68"/>
    <w:rsid w:val="006A3317"/>
    <w:rsid w:val="006A3CF6"/>
    <w:rsid w:val="006A3F21"/>
    <w:rsid w:val="006A5CF0"/>
    <w:rsid w:val="006B0D7E"/>
    <w:rsid w:val="006B4A1A"/>
    <w:rsid w:val="006B6180"/>
    <w:rsid w:val="006B61B8"/>
    <w:rsid w:val="006C4EDF"/>
    <w:rsid w:val="006C6E21"/>
    <w:rsid w:val="006D17AC"/>
    <w:rsid w:val="006D1AC6"/>
    <w:rsid w:val="006D257B"/>
    <w:rsid w:val="006D384C"/>
    <w:rsid w:val="006D67AB"/>
    <w:rsid w:val="006E25ED"/>
    <w:rsid w:val="006E2A97"/>
    <w:rsid w:val="006E3E10"/>
    <w:rsid w:val="006E4DA0"/>
    <w:rsid w:val="006E77CE"/>
    <w:rsid w:val="006F0B13"/>
    <w:rsid w:val="006F3382"/>
    <w:rsid w:val="00702DB7"/>
    <w:rsid w:val="007035BF"/>
    <w:rsid w:val="00703ED7"/>
    <w:rsid w:val="00704C0C"/>
    <w:rsid w:val="00704C19"/>
    <w:rsid w:val="00705066"/>
    <w:rsid w:val="00706389"/>
    <w:rsid w:val="007069BE"/>
    <w:rsid w:val="00711C2C"/>
    <w:rsid w:val="00711E27"/>
    <w:rsid w:val="00713F5C"/>
    <w:rsid w:val="00714497"/>
    <w:rsid w:val="00715594"/>
    <w:rsid w:val="007226DF"/>
    <w:rsid w:val="007232F7"/>
    <w:rsid w:val="0072481C"/>
    <w:rsid w:val="00725AC1"/>
    <w:rsid w:val="00727C7E"/>
    <w:rsid w:val="0073045B"/>
    <w:rsid w:val="007320CA"/>
    <w:rsid w:val="00732327"/>
    <w:rsid w:val="0073353F"/>
    <w:rsid w:val="00733EDB"/>
    <w:rsid w:val="00735F1E"/>
    <w:rsid w:val="00736405"/>
    <w:rsid w:val="00740838"/>
    <w:rsid w:val="00747602"/>
    <w:rsid w:val="00750363"/>
    <w:rsid w:val="0075075D"/>
    <w:rsid w:val="00751138"/>
    <w:rsid w:val="0075642B"/>
    <w:rsid w:val="00761A31"/>
    <w:rsid w:val="0076223C"/>
    <w:rsid w:val="00763F20"/>
    <w:rsid w:val="007671C0"/>
    <w:rsid w:val="00767647"/>
    <w:rsid w:val="007721EA"/>
    <w:rsid w:val="0077595D"/>
    <w:rsid w:val="00777AD5"/>
    <w:rsid w:val="00777B95"/>
    <w:rsid w:val="00777E66"/>
    <w:rsid w:val="00784621"/>
    <w:rsid w:val="00787B1B"/>
    <w:rsid w:val="007908D7"/>
    <w:rsid w:val="00795797"/>
    <w:rsid w:val="00796489"/>
    <w:rsid w:val="007A1289"/>
    <w:rsid w:val="007A12FA"/>
    <w:rsid w:val="007A3F09"/>
    <w:rsid w:val="007A4BC0"/>
    <w:rsid w:val="007B1658"/>
    <w:rsid w:val="007B21F3"/>
    <w:rsid w:val="007B5DA2"/>
    <w:rsid w:val="007B7213"/>
    <w:rsid w:val="007B749F"/>
    <w:rsid w:val="007C077C"/>
    <w:rsid w:val="007D101A"/>
    <w:rsid w:val="007D3491"/>
    <w:rsid w:val="007E3221"/>
    <w:rsid w:val="007E4AAA"/>
    <w:rsid w:val="007F30DC"/>
    <w:rsid w:val="007F5697"/>
    <w:rsid w:val="007F67C6"/>
    <w:rsid w:val="00803021"/>
    <w:rsid w:val="00810A1C"/>
    <w:rsid w:val="00812C4E"/>
    <w:rsid w:val="0081434B"/>
    <w:rsid w:val="00815F9F"/>
    <w:rsid w:val="00817A2A"/>
    <w:rsid w:val="008217A3"/>
    <w:rsid w:val="008220D6"/>
    <w:rsid w:val="00822B6A"/>
    <w:rsid w:val="00822BD8"/>
    <w:rsid w:val="00825271"/>
    <w:rsid w:val="00826E0A"/>
    <w:rsid w:val="008276EC"/>
    <w:rsid w:val="00835122"/>
    <w:rsid w:val="008379EC"/>
    <w:rsid w:val="008424D6"/>
    <w:rsid w:val="00843FF9"/>
    <w:rsid w:val="0084427E"/>
    <w:rsid w:val="00853C47"/>
    <w:rsid w:val="008563F1"/>
    <w:rsid w:val="008616EF"/>
    <w:rsid w:val="00865677"/>
    <w:rsid w:val="00867CE1"/>
    <w:rsid w:val="008762FE"/>
    <w:rsid w:val="008764D9"/>
    <w:rsid w:val="00882A17"/>
    <w:rsid w:val="008868B5"/>
    <w:rsid w:val="008920C0"/>
    <w:rsid w:val="00894402"/>
    <w:rsid w:val="0089464B"/>
    <w:rsid w:val="00895B0D"/>
    <w:rsid w:val="0089608E"/>
    <w:rsid w:val="008A42ED"/>
    <w:rsid w:val="008B3CAE"/>
    <w:rsid w:val="008C3C9F"/>
    <w:rsid w:val="008E035E"/>
    <w:rsid w:val="008E198C"/>
    <w:rsid w:val="008E2DC5"/>
    <w:rsid w:val="008E2E7A"/>
    <w:rsid w:val="008E30BB"/>
    <w:rsid w:val="008E3BDD"/>
    <w:rsid w:val="008E5663"/>
    <w:rsid w:val="008E64D2"/>
    <w:rsid w:val="008E678A"/>
    <w:rsid w:val="008F1EBF"/>
    <w:rsid w:val="008F75C7"/>
    <w:rsid w:val="009016E0"/>
    <w:rsid w:val="00901CF4"/>
    <w:rsid w:val="00904622"/>
    <w:rsid w:val="0090604C"/>
    <w:rsid w:val="00906625"/>
    <w:rsid w:val="00906D7D"/>
    <w:rsid w:val="00907E33"/>
    <w:rsid w:val="00913DE0"/>
    <w:rsid w:val="00914C9A"/>
    <w:rsid w:val="0092180E"/>
    <w:rsid w:val="00925227"/>
    <w:rsid w:val="00927509"/>
    <w:rsid w:val="00931B4B"/>
    <w:rsid w:val="00934FED"/>
    <w:rsid w:val="00935470"/>
    <w:rsid w:val="00936624"/>
    <w:rsid w:val="009367CB"/>
    <w:rsid w:val="00937013"/>
    <w:rsid w:val="00937E62"/>
    <w:rsid w:val="009407DC"/>
    <w:rsid w:val="009411DF"/>
    <w:rsid w:val="0094221C"/>
    <w:rsid w:val="00943ECF"/>
    <w:rsid w:val="00944154"/>
    <w:rsid w:val="00946249"/>
    <w:rsid w:val="00947486"/>
    <w:rsid w:val="00955301"/>
    <w:rsid w:val="00955600"/>
    <w:rsid w:val="00955DA4"/>
    <w:rsid w:val="009568BA"/>
    <w:rsid w:val="00957974"/>
    <w:rsid w:val="00961670"/>
    <w:rsid w:val="0096666F"/>
    <w:rsid w:val="0096671B"/>
    <w:rsid w:val="00967F13"/>
    <w:rsid w:val="00973284"/>
    <w:rsid w:val="00973B26"/>
    <w:rsid w:val="00977E46"/>
    <w:rsid w:val="00983D50"/>
    <w:rsid w:val="00986918"/>
    <w:rsid w:val="00990EED"/>
    <w:rsid w:val="009932FD"/>
    <w:rsid w:val="0099797E"/>
    <w:rsid w:val="00997D51"/>
    <w:rsid w:val="009A0292"/>
    <w:rsid w:val="009A21F6"/>
    <w:rsid w:val="009A39EA"/>
    <w:rsid w:val="009A7D39"/>
    <w:rsid w:val="009B3A3E"/>
    <w:rsid w:val="009B481C"/>
    <w:rsid w:val="009B6084"/>
    <w:rsid w:val="009B74DF"/>
    <w:rsid w:val="009C1E24"/>
    <w:rsid w:val="009C397F"/>
    <w:rsid w:val="009D381E"/>
    <w:rsid w:val="009D5F3A"/>
    <w:rsid w:val="009D6D66"/>
    <w:rsid w:val="009E0E46"/>
    <w:rsid w:val="009E6E05"/>
    <w:rsid w:val="009E7162"/>
    <w:rsid w:val="009E7DB8"/>
    <w:rsid w:val="009F1021"/>
    <w:rsid w:val="009F3FB8"/>
    <w:rsid w:val="009F6B32"/>
    <w:rsid w:val="00A0202C"/>
    <w:rsid w:val="00A0266A"/>
    <w:rsid w:val="00A02749"/>
    <w:rsid w:val="00A028B3"/>
    <w:rsid w:val="00A04532"/>
    <w:rsid w:val="00A046A0"/>
    <w:rsid w:val="00A046F7"/>
    <w:rsid w:val="00A06968"/>
    <w:rsid w:val="00A07174"/>
    <w:rsid w:val="00A16433"/>
    <w:rsid w:val="00A27575"/>
    <w:rsid w:val="00A3207E"/>
    <w:rsid w:val="00A32C9F"/>
    <w:rsid w:val="00A3629A"/>
    <w:rsid w:val="00A37009"/>
    <w:rsid w:val="00A4122F"/>
    <w:rsid w:val="00A432F4"/>
    <w:rsid w:val="00A455A2"/>
    <w:rsid w:val="00A53AFE"/>
    <w:rsid w:val="00A570E4"/>
    <w:rsid w:val="00A625F4"/>
    <w:rsid w:val="00A6361F"/>
    <w:rsid w:val="00A63CAF"/>
    <w:rsid w:val="00A6497D"/>
    <w:rsid w:val="00A677CD"/>
    <w:rsid w:val="00A70AEC"/>
    <w:rsid w:val="00A744F7"/>
    <w:rsid w:val="00A77BD3"/>
    <w:rsid w:val="00A83C2D"/>
    <w:rsid w:val="00A83EBD"/>
    <w:rsid w:val="00A86EE2"/>
    <w:rsid w:val="00A91D7D"/>
    <w:rsid w:val="00A93F6B"/>
    <w:rsid w:val="00A942C1"/>
    <w:rsid w:val="00A9541D"/>
    <w:rsid w:val="00A95741"/>
    <w:rsid w:val="00AA0EE0"/>
    <w:rsid w:val="00AA497F"/>
    <w:rsid w:val="00AA4B52"/>
    <w:rsid w:val="00AA5A6F"/>
    <w:rsid w:val="00AA5F0C"/>
    <w:rsid w:val="00AA7063"/>
    <w:rsid w:val="00AB0E25"/>
    <w:rsid w:val="00AB324D"/>
    <w:rsid w:val="00AB4D3A"/>
    <w:rsid w:val="00AC2AFB"/>
    <w:rsid w:val="00AC65F2"/>
    <w:rsid w:val="00AC7B2D"/>
    <w:rsid w:val="00AC7D3F"/>
    <w:rsid w:val="00AD1B0F"/>
    <w:rsid w:val="00AD67F4"/>
    <w:rsid w:val="00AE6DE8"/>
    <w:rsid w:val="00AF1CE8"/>
    <w:rsid w:val="00AF6892"/>
    <w:rsid w:val="00AF7FB2"/>
    <w:rsid w:val="00B000DD"/>
    <w:rsid w:val="00B01C67"/>
    <w:rsid w:val="00B077AC"/>
    <w:rsid w:val="00B170E9"/>
    <w:rsid w:val="00B21D0D"/>
    <w:rsid w:val="00B30344"/>
    <w:rsid w:val="00B31BDC"/>
    <w:rsid w:val="00B36D33"/>
    <w:rsid w:val="00B371AA"/>
    <w:rsid w:val="00B375A4"/>
    <w:rsid w:val="00B50FC9"/>
    <w:rsid w:val="00B53226"/>
    <w:rsid w:val="00B5405F"/>
    <w:rsid w:val="00B54FC9"/>
    <w:rsid w:val="00B563E0"/>
    <w:rsid w:val="00B60143"/>
    <w:rsid w:val="00B65F39"/>
    <w:rsid w:val="00B671E3"/>
    <w:rsid w:val="00B67BC0"/>
    <w:rsid w:val="00B71C3B"/>
    <w:rsid w:val="00B72BC5"/>
    <w:rsid w:val="00B73CCD"/>
    <w:rsid w:val="00B746FC"/>
    <w:rsid w:val="00B760BB"/>
    <w:rsid w:val="00B836BE"/>
    <w:rsid w:val="00B83E2D"/>
    <w:rsid w:val="00B875FB"/>
    <w:rsid w:val="00B91169"/>
    <w:rsid w:val="00B91F81"/>
    <w:rsid w:val="00BA11A1"/>
    <w:rsid w:val="00BA5778"/>
    <w:rsid w:val="00BB121A"/>
    <w:rsid w:val="00BB5F0E"/>
    <w:rsid w:val="00BC1AAE"/>
    <w:rsid w:val="00BC1AB7"/>
    <w:rsid w:val="00BC25A6"/>
    <w:rsid w:val="00BC4191"/>
    <w:rsid w:val="00BC4E24"/>
    <w:rsid w:val="00BC6B85"/>
    <w:rsid w:val="00BD0A9A"/>
    <w:rsid w:val="00BD1272"/>
    <w:rsid w:val="00BD2A4B"/>
    <w:rsid w:val="00BD418D"/>
    <w:rsid w:val="00BD52A9"/>
    <w:rsid w:val="00BD5B03"/>
    <w:rsid w:val="00BE047C"/>
    <w:rsid w:val="00BE0673"/>
    <w:rsid w:val="00BE0F62"/>
    <w:rsid w:val="00BE5F7F"/>
    <w:rsid w:val="00BE77E6"/>
    <w:rsid w:val="00BF2417"/>
    <w:rsid w:val="00BF2AE2"/>
    <w:rsid w:val="00BF2FF3"/>
    <w:rsid w:val="00BF35AB"/>
    <w:rsid w:val="00BF484B"/>
    <w:rsid w:val="00BF5339"/>
    <w:rsid w:val="00BF7261"/>
    <w:rsid w:val="00BF79E2"/>
    <w:rsid w:val="00C03C8B"/>
    <w:rsid w:val="00C10DB8"/>
    <w:rsid w:val="00C11BB8"/>
    <w:rsid w:val="00C14B73"/>
    <w:rsid w:val="00C1551F"/>
    <w:rsid w:val="00C21721"/>
    <w:rsid w:val="00C219DF"/>
    <w:rsid w:val="00C23EF1"/>
    <w:rsid w:val="00C24BB9"/>
    <w:rsid w:val="00C27105"/>
    <w:rsid w:val="00C3006D"/>
    <w:rsid w:val="00C3374C"/>
    <w:rsid w:val="00C4012D"/>
    <w:rsid w:val="00C40282"/>
    <w:rsid w:val="00C44461"/>
    <w:rsid w:val="00C51D31"/>
    <w:rsid w:val="00C52A29"/>
    <w:rsid w:val="00C5522B"/>
    <w:rsid w:val="00C57081"/>
    <w:rsid w:val="00C606BE"/>
    <w:rsid w:val="00C634AC"/>
    <w:rsid w:val="00C66547"/>
    <w:rsid w:val="00C711C8"/>
    <w:rsid w:val="00C7127F"/>
    <w:rsid w:val="00C921F1"/>
    <w:rsid w:val="00C94886"/>
    <w:rsid w:val="00C95BE0"/>
    <w:rsid w:val="00CA211B"/>
    <w:rsid w:val="00CA31DC"/>
    <w:rsid w:val="00CA35C4"/>
    <w:rsid w:val="00CA50B8"/>
    <w:rsid w:val="00CA60C3"/>
    <w:rsid w:val="00CA7DC9"/>
    <w:rsid w:val="00CB131B"/>
    <w:rsid w:val="00CB19B5"/>
    <w:rsid w:val="00CB5BF8"/>
    <w:rsid w:val="00CC292E"/>
    <w:rsid w:val="00CC4FED"/>
    <w:rsid w:val="00CD0C76"/>
    <w:rsid w:val="00CD1BB3"/>
    <w:rsid w:val="00CD5194"/>
    <w:rsid w:val="00CD7D15"/>
    <w:rsid w:val="00CE0300"/>
    <w:rsid w:val="00CE0314"/>
    <w:rsid w:val="00CE5191"/>
    <w:rsid w:val="00CF1944"/>
    <w:rsid w:val="00CF3B10"/>
    <w:rsid w:val="00CF5A80"/>
    <w:rsid w:val="00CF7603"/>
    <w:rsid w:val="00D00208"/>
    <w:rsid w:val="00D01835"/>
    <w:rsid w:val="00D032E9"/>
    <w:rsid w:val="00D057E7"/>
    <w:rsid w:val="00D0584B"/>
    <w:rsid w:val="00D07D6C"/>
    <w:rsid w:val="00D10B3A"/>
    <w:rsid w:val="00D13DF6"/>
    <w:rsid w:val="00D22E9A"/>
    <w:rsid w:val="00D23EF2"/>
    <w:rsid w:val="00D24F3E"/>
    <w:rsid w:val="00D27564"/>
    <w:rsid w:val="00D27B17"/>
    <w:rsid w:val="00D34A2D"/>
    <w:rsid w:val="00D34DAF"/>
    <w:rsid w:val="00D401A1"/>
    <w:rsid w:val="00D408D1"/>
    <w:rsid w:val="00D4260A"/>
    <w:rsid w:val="00D428C3"/>
    <w:rsid w:val="00D42BBD"/>
    <w:rsid w:val="00D45EE5"/>
    <w:rsid w:val="00D50270"/>
    <w:rsid w:val="00D5137C"/>
    <w:rsid w:val="00D51752"/>
    <w:rsid w:val="00D53EA2"/>
    <w:rsid w:val="00D5422F"/>
    <w:rsid w:val="00D56655"/>
    <w:rsid w:val="00D56C6A"/>
    <w:rsid w:val="00D577F3"/>
    <w:rsid w:val="00D63A28"/>
    <w:rsid w:val="00D642E3"/>
    <w:rsid w:val="00D65606"/>
    <w:rsid w:val="00D71276"/>
    <w:rsid w:val="00D7238A"/>
    <w:rsid w:val="00D74BC6"/>
    <w:rsid w:val="00D75FCC"/>
    <w:rsid w:val="00D8117E"/>
    <w:rsid w:val="00D83904"/>
    <w:rsid w:val="00D869FD"/>
    <w:rsid w:val="00D86E21"/>
    <w:rsid w:val="00D91081"/>
    <w:rsid w:val="00D94509"/>
    <w:rsid w:val="00D9761E"/>
    <w:rsid w:val="00DA1F43"/>
    <w:rsid w:val="00DA404B"/>
    <w:rsid w:val="00DB12DF"/>
    <w:rsid w:val="00DB324B"/>
    <w:rsid w:val="00DB3AD7"/>
    <w:rsid w:val="00DB3DBB"/>
    <w:rsid w:val="00DB46A5"/>
    <w:rsid w:val="00DB5478"/>
    <w:rsid w:val="00DB5B5F"/>
    <w:rsid w:val="00DB788C"/>
    <w:rsid w:val="00DB7AF3"/>
    <w:rsid w:val="00DC141B"/>
    <w:rsid w:val="00DC2696"/>
    <w:rsid w:val="00DC3B55"/>
    <w:rsid w:val="00DC3CEB"/>
    <w:rsid w:val="00DC59F6"/>
    <w:rsid w:val="00DE0CE6"/>
    <w:rsid w:val="00DE6DEE"/>
    <w:rsid w:val="00DE7CAB"/>
    <w:rsid w:val="00DF17CF"/>
    <w:rsid w:val="00DF2253"/>
    <w:rsid w:val="00DF228E"/>
    <w:rsid w:val="00DF39F8"/>
    <w:rsid w:val="00DF4D4E"/>
    <w:rsid w:val="00E0185A"/>
    <w:rsid w:val="00E041CB"/>
    <w:rsid w:val="00E05BA5"/>
    <w:rsid w:val="00E07A1A"/>
    <w:rsid w:val="00E11454"/>
    <w:rsid w:val="00E11A46"/>
    <w:rsid w:val="00E23ABA"/>
    <w:rsid w:val="00E248DE"/>
    <w:rsid w:val="00E357E9"/>
    <w:rsid w:val="00E35ED8"/>
    <w:rsid w:val="00E36FA0"/>
    <w:rsid w:val="00E40B81"/>
    <w:rsid w:val="00E43396"/>
    <w:rsid w:val="00E51019"/>
    <w:rsid w:val="00E5418F"/>
    <w:rsid w:val="00E621E3"/>
    <w:rsid w:val="00E63AA7"/>
    <w:rsid w:val="00E67CFF"/>
    <w:rsid w:val="00E71A0B"/>
    <w:rsid w:val="00E84457"/>
    <w:rsid w:val="00E879DC"/>
    <w:rsid w:val="00E91A36"/>
    <w:rsid w:val="00E924D9"/>
    <w:rsid w:val="00E93520"/>
    <w:rsid w:val="00E94F16"/>
    <w:rsid w:val="00EA086B"/>
    <w:rsid w:val="00EA0BC5"/>
    <w:rsid w:val="00EA2097"/>
    <w:rsid w:val="00EA2509"/>
    <w:rsid w:val="00EA2620"/>
    <w:rsid w:val="00EA3B03"/>
    <w:rsid w:val="00EB2660"/>
    <w:rsid w:val="00EB3182"/>
    <w:rsid w:val="00EB3E8F"/>
    <w:rsid w:val="00EB5F2B"/>
    <w:rsid w:val="00EC0F98"/>
    <w:rsid w:val="00EC7112"/>
    <w:rsid w:val="00ED7DF2"/>
    <w:rsid w:val="00EE4570"/>
    <w:rsid w:val="00EE4583"/>
    <w:rsid w:val="00EE611E"/>
    <w:rsid w:val="00EE6273"/>
    <w:rsid w:val="00EF2337"/>
    <w:rsid w:val="00EF4DC5"/>
    <w:rsid w:val="00EF6134"/>
    <w:rsid w:val="00F00A62"/>
    <w:rsid w:val="00F014FD"/>
    <w:rsid w:val="00F11818"/>
    <w:rsid w:val="00F22DE9"/>
    <w:rsid w:val="00F22F8A"/>
    <w:rsid w:val="00F23204"/>
    <w:rsid w:val="00F261BC"/>
    <w:rsid w:val="00F3172E"/>
    <w:rsid w:val="00F31FF5"/>
    <w:rsid w:val="00F32760"/>
    <w:rsid w:val="00F33901"/>
    <w:rsid w:val="00F42309"/>
    <w:rsid w:val="00F4371F"/>
    <w:rsid w:val="00F47A2A"/>
    <w:rsid w:val="00F51AB5"/>
    <w:rsid w:val="00F5318B"/>
    <w:rsid w:val="00F55E05"/>
    <w:rsid w:val="00F564E1"/>
    <w:rsid w:val="00F63A78"/>
    <w:rsid w:val="00F72A36"/>
    <w:rsid w:val="00F72B9E"/>
    <w:rsid w:val="00F73571"/>
    <w:rsid w:val="00F74316"/>
    <w:rsid w:val="00F75763"/>
    <w:rsid w:val="00F773FB"/>
    <w:rsid w:val="00F823B3"/>
    <w:rsid w:val="00F904AF"/>
    <w:rsid w:val="00F935A7"/>
    <w:rsid w:val="00F944C6"/>
    <w:rsid w:val="00F94D8E"/>
    <w:rsid w:val="00F95E62"/>
    <w:rsid w:val="00FA28F7"/>
    <w:rsid w:val="00FB1997"/>
    <w:rsid w:val="00FB54AC"/>
    <w:rsid w:val="00FB7042"/>
    <w:rsid w:val="00FC01EF"/>
    <w:rsid w:val="00FC115C"/>
    <w:rsid w:val="00FC3565"/>
    <w:rsid w:val="00FC481E"/>
    <w:rsid w:val="00FC7637"/>
    <w:rsid w:val="00FC7E11"/>
    <w:rsid w:val="00FD0C66"/>
    <w:rsid w:val="00FD2A5C"/>
    <w:rsid w:val="00FD2EE3"/>
    <w:rsid w:val="00FD5869"/>
    <w:rsid w:val="00FE238F"/>
    <w:rsid w:val="00FF14D8"/>
    <w:rsid w:val="00FF371E"/>
    <w:rsid w:val="00FF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1B02"/>
  <w15:chartTrackingRefBased/>
  <w15:docId w15:val="{D8E3876B-50E6-4030-A1A0-717FE0C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73CCD"/>
    <w:pPr>
      <w:spacing w:after="0" w:line="240" w:lineRule="auto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06968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0696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06968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6671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D51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7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224"/>
  </w:style>
  <w:style w:type="paragraph" w:styleId="Pieddepage">
    <w:name w:val="footer"/>
    <w:basedOn w:val="Normal"/>
    <w:link w:val="PieddepageCar"/>
    <w:uiPriority w:val="99"/>
    <w:unhideWhenUsed/>
    <w:rsid w:val="004F7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224"/>
  </w:style>
  <w:style w:type="character" w:styleId="Mentionnonrsolue">
    <w:name w:val="Unresolved Mention"/>
    <w:basedOn w:val="Policepardfaut"/>
    <w:uiPriority w:val="99"/>
    <w:semiHidden/>
    <w:unhideWhenUsed/>
    <w:rsid w:val="00777E66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F31FF5"/>
    <w:rPr>
      <w:color w:val="808080"/>
    </w:rPr>
  </w:style>
  <w:style w:type="character" w:styleId="Lienhypertextesuivivisit">
    <w:name w:val="FollowedHyperlink"/>
    <w:basedOn w:val="Policepardfaut"/>
    <w:uiPriority w:val="99"/>
    <w:semiHidden/>
    <w:unhideWhenUsed/>
    <w:rsid w:val="00CA31DC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6F3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22BA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2BA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2BA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2BA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2BA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2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2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FdxfeuXPQ8?t=1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O67MnZaAvQ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F1A5C-5E84-4AE3-9916-5B278FF42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10295</TotalTime>
  <Pages>5</Pages>
  <Words>1642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BONNEMORT</dc:creator>
  <cp:keywords/>
  <dc:description/>
  <cp:lastModifiedBy>Rémy BONNEMORT</cp:lastModifiedBy>
  <cp:revision>429</cp:revision>
  <dcterms:created xsi:type="dcterms:W3CDTF">2020-03-15T12:13:00Z</dcterms:created>
  <dcterms:modified xsi:type="dcterms:W3CDTF">2020-06-16T10:12:00Z</dcterms:modified>
</cp:coreProperties>
</file>