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13187" w14:textId="27E2D414" w:rsidR="006857DD" w:rsidRDefault="002803B8" w:rsidP="002803B8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43EEDA68" w14:textId="3D3DAB23" w:rsidR="002803B8" w:rsidRDefault="002803B8" w:rsidP="002803B8">
      <w:pPr>
        <w:pStyle w:val="Sansinterligne"/>
        <w:jc w:val="center"/>
        <w:rPr>
          <w:b/>
          <w:bCs/>
          <w:u w:val="single"/>
        </w:rPr>
      </w:pPr>
    </w:p>
    <w:p w14:paraId="01DB3203" w14:textId="7592945B" w:rsidR="002803B8" w:rsidRDefault="002803B8" w:rsidP="002803B8">
      <w:pPr>
        <w:pStyle w:val="Sansinterligne"/>
        <w:rPr>
          <w:b/>
          <w:bCs/>
        </w:rPr>
      </w:pPr>
      <w:r>
        <w:rPr>
          <w:b/>
          <w:bCs/>
        </w:rPr>
        <w:t>Comment faites-vous pour traiter ce problème de température ?</w:t>
      </w:r>
    </w:p>
    <w:p w14:paraId="13524F5D" w14:textId="20AB7664" w:rsidR="002803B8" w:rsidRDefault="002803B8" w:rsidP="002803B8">
      <w:pPr>
        <w:pStyle w:val="Sansinterligne"/>
        <w:rPr>
          <w:i/>
          <w:iCs/>
        </w:rPr>
      </w:pPr>
      <w:r>
        <w:rPr>
          <w:i/>
          <w:iCs/>
        </w:rPr>
        <w:tab/>
        <w:t>Utilisation de béchers thermostatés</w:t>
      </w:r>
    </w:p>
    <w:p w14:paraId="6CE99D89" w14:textId="594D8E59" w:rsidR="002803B8" w:rsidRDefault="002803B8" w:rsidP="002803B8">
      <w:pPr>
        <w:pStyle w:val="Sansinterligne"/>
        <w:rPr>
          <w:i/>
          <w:iCs/>
        </w:rPr>
      </w:pPr>
    </w:p>
    <w:p w14:paraId="0F5AD6A9" w14:textId="30F9EDAB" w:rsidR="002803B8" w:rsidRDefault="002803B8" w:rsidP="002803B8">
      <w:pPr>
        <w:pStyle w:val="Sansinterligne"/>
        <w:rPr>
          <w:b/>
          <w:bCs/>
        </w:rPr>
      </w:pPr>
      <w:r>
        <w:rPr>
          <w:b/>
          <w:bCs/>
        </w:rPr>
        <w:t>Comment faire pour garantir le caractère adiabatique d’une réaction ?</w:t>
      </w:r>
    </w:p>
    <w:p w14:paraId="7F1F979A" w14:textId="6F8A8E2B" w:rsidR="002803B8" w:rsidRDefault="002803B8" w:rsidP="002803B8">
      <w:pPr>
        <w:pStyle w:val="Sansinterligne"/>
        <w:rPr>
          <w:i/>
          <w:iCs/>
        </w:rPr>
      </w:pPr>
      <w:r>
        <w:rPr>
          <w:i/>
          <w:iCs/>
        </w:rPr>
        <w:tab/>
        <w:t>Utilisation d’un calorimètre</w:t>
      </w:r>
    </w:p>
    <w:p w14:paraId="317CED00" w14:textId="209CE9B3" w:rsidR="002803B8" w:rsidRDefault="002803B8" w:rsidP="002803B8">
      <w:pPr>
        <w:pStyle w:val="Sansinterligne"/>
        <w:rPr>
          <w:i/>
          <w:iCs/>
        </w:rPr>
      </w:pPr>
    </w:p>
    <w:p w14:paraId="3EBE438E" w14:textId="1B817197" w:rsidR="002803B8" w:rsidRDefault="002803B8" w:rsidP="002803B8">
      <w:pPr>
        <w:pStyle w:val="Sansinterligne"/>
        <w:rPr>
          <w:b/>
          <w:bCs/>
        </w:rPr>
      </w:pPr>
      <w:r>
        <w:rPr>
          <w:b/>
          <w:bCs/>
        </w:rPr>
        <w:t>Quelle peut être l’erreur classique de l’expérimentateur pour un titrage ?</w:t>
      </w:r>
    </w:p>
    <w:p w14:paraId="4FEF7556" w14:textId="49AF694B" w:rsidR="002803B8" w:rsidRDefault="002803B8" w:rsidP="002803B8">
      <w:pPr>
        <w:pStyle w:val="Sansinterligne"/>
        <w:rPr>
          <w:i/>
          <w:iCs/>
        </w:rPr>
      </w:pPr>
      <w:r>
        <w:rPr>
          <w:i/>
          <w:iCs/>
        </w:rPr>
        <w:tab/>
        <w:t>Estimation de l’équivalence</w:t>
      </w:r>
    </w:p>
    <w:p w14:paraId="69674BF8" w14:textId="3ADA4E3F" w:rsidR="002803B8" w:rsidRDefault="002803B8" w:rsidP="002803B8">
      <w:pPr>
        <w:pStyle w:val="Sansinterligne"/>
        <w:rPr>
          <w:i/>
          <w:iCs/>
        </w:rPr>
      </w:pPr>
    </w:p>
    <w:p w14:paraId="63F8A8F7" w14:textId="41594F51" w:rsidR="002803B8" w:rsidRDefault="002803B8" w:rsidP="002803B8">
      <w:pPr>
        <w:pStyle w:val="Sansinterligne"/>
        <w:rPr>
          <w:b/>
          <w:bCs/>
        </w:rPr>
      </w:pPr>
      <w:r>
        <w:rPr>
          <w:b/>
          <w:bCs/>
        </w:rPr>
        <w:t>Pourquoi le diiode change de couleur dans le cyclohexane et dans l’eau ?</w:t>
      </w:r>
    </w:p>
    <w:p w14:paraId="1A44B849" w14:textId="3C703463" w:rsidR="002803B8" w:rsidRDefault="002803B8" w:rsidP="002803B8">
      <w:pPr>
        <w:pStyle w:val="Sansinterligne"/>
        <w:rPr>
          <w:i/>
          <w:iCs/>
        </w:rPr>
      </w:pPr>
      <w:r>
        <w:rPr>
          <w:i/>
          <w:iCs/>
        </w:rPr>
        <w:tab/>
        <w:t>Question de complexation je crois</w:t>
      </w:r>
    </w:p>
    <w:p w14:paraId="37969215" w14:textId="266F117D" w:rsidR="002803B8" w:rsidRDefault="002803B8" w:rsidP="002803B8">
      <w:pPr>
        <w:pStyle w:val="Sansinterligne"/>
        <w:rPr>
          <w:i/>
          <w:iCs/>
        </w:rPr>
      </w:pPr>
    </w:p>
    <w:p w14:paraId="0DFEA46E" w14:textId="6D46219B" w:rsidR="002803B8" w:rsidRDefault="002803B8" w:rsidP="002803B8">
      <w:pPr>
        <w:pStyle w:val="Sansinterligne"/>
        <w:rPr>
          <w:b/>
          <w:bCs/>
        </w:rPr>
      </w:pPr>
      <w:r>
        <w:rPr>
          <w:b/>
          <w:bCs/>
        </w:rPr>
        <w:t>Choix de la longueur d’onde pour faire la spectrophotométrie UV-Visible ?</w:t>
      </w:r>
    </w:p>
    <w:p w14:paraId="36843976" w14:textId="46AEF9CD" w:rsidR="002803B8" w:rsidRDefault="002803B8" w:rsidP="002803B8">
      <w:pPr>
        <w:pStyle w:val="Sansinterligne"/>
        <w:rPr>
          <w:i/>
          <w:iCs/>
        </w:rPr>
      </w:pPr>
      <w:r>
        <w:rPr>
          <w:i/>
          <w:iCs/>
        </w:rPr>
        <w:tab/>
        <w:t>Longueur d’onde maximale pour améliorer la sensibilité de l’appareil et la précision de la mesure</w:t>
      </w:r>
    </w:p>
    <w:p w14:paraId="41B1FC99" w14:textId="64344C3A" w:rsidR="002803B8" w:rsidRDefault="002803B8" w:rsidP="002803B8">
      <w:pPr>
        <w:pStyle w:val="Sansinterligne"/>
        <w:rPr>
          <w:i/>
          <w:iCs/>
        </w:rPr>
      </w:pPr>
    </w:p>
    <w:p w14:paraId="455D3452" w14:textId="10AA333B" w:rsidR="002803B8" w:rsidRDefault="002803B8" w:rsidP="002803B8">
      <w:pPr>
        <w:pStyle w:val="Sansinterligne"/>
        <w:rPr>
          <w:b/>
          <w:bCs/>
        </w:rPr>
      </w:pPr>
      <w:r>
        <w:rPr>
          <w:b/>
          <w:bCs/>
        </w:rPr>
        <w:t>La loi de Beer-Lambert est-elle toujours valable ?</w:t>
      </w:r>
    </w:p>
    <w:p w14:paraId="6C7C1188" w14:textId="778ED879" w:rsidR="002803B8" w:rsidRDefault="002803B8" w:rsidP="002803B8">
      <w:pPr>
        <w:pStyle w:val="Sansinterligne"/>
        <w:rPr>
          <w:i/>
          <w:iCs/>
        </w:rPr>
      </w:pPr>
      <w:r>
        <w:rPr>
          <w:i/>
          <w:iCs/>
        </w:rPr>
        <w:tab/>
        <w:t>Non, il ne faut pas une trop grande réaction pour éviter la formation d’agrégat</w:t>
      </w:r>
    </w:p>
    <w:p w14:paraId="3E138C5F" w14:textId="39CCFEF6" w:rsidR="002803B8" w:rsidRDefault="002803B8" w:rsidP="002803B8">
      <w:pPr>
        <w:pStyle w:val="Sansinterligne"/>
        <w:rPr>
          <w:i/>
          <w:iCs/>
        </w:rPr>
      </w:pPr>
      <w:r>
        <w:rPr>
          <w:i/>
          <w:iCs/>
        </w:rPr>
        <w:tab/>
        <w:t>Il faut une solution homogène</w:t>
      </w:r>
    </w:p>
    <w:p w14:paraId="085DF87D" w14:textId="31BBB400" w:rsidR="002803B8" w:rsidRDefault="002803B8" w:rsidP="002803B8">
      <w:pPr>
        <w:pStyle w:val="Sansinterligne"/>
        <w:rPr>
          <w:i/>
          <w:iCs/>
        </w:rPr>
      </w:pPr>
      <w:r>
        <w:rPr>
          <w:i/>
          <w:iCs/>
        </w:rPr>
        <w:tab/>
        <w:t>Il faut que le faisceau incident soit monochromatique</w:t>
      </w:r>
    </w:p>
    <w:p w14:paraId="08F52F28" w14:textId="2F843FE3" w:rsidR="002803B8" w:rsidRDefault="002803B8" w:rsidP="002803B8">
      <w:pPr>
        <w:pStyle w:val="Sansinterligne"/>
        <w:rPr>
          <w:i/>
          <w:iCs/>
        </w:rPr>
      </w:pPr>
      <w:r>
        <w:rPr>
          <w:i/>
          <w:iCs/>
        </w:rPr>
        <w:tab/>
        <w:t>Il ne faut pas de réaction due à la lumière</w:t>
      </w:r>
    </w:p>
    <w:p w14:paraId="7F93A906" w14:textId="5EC848E8" w:rsidR="002803B8" w:rsidRDefault="002803B8" w:rsidP="002803B8">
      <w:pPr>
        <w:pStyle w:val="Sansinterligne"/>
        <w:rPr>
          <w:i/>
          <w:iCs/>
        </w:rPr>
      </w:pPr>
    </w:p>
    <w:p w14:paraId="44A1E4B1" w14:textId="5C65742C" w:rsidR="002803B8" w:rsidRDefault="002803B8" w:rsidP="002803B8">
      <w:pPr>
        <w:pStyle w:val="Sansinterligne"/>
        <w:rPr>
          <w:b/>
          <w:bCs/>
        </w:rPr>
      </w:pPr>
      <w:r>
        <w:rPr>
          <w:b/>
          <w:bCs/>
        </w:rPr>
        <w:t>Pile Daniell : sommes-nous dans une situation d’équilibre ?</w:t>
      </w:r>
    </w:p>
    <w:p w14:paraId="3B269F0A" w14:textId="1CCFE955" w:rsidR="002803B8" w:rsidRDefault="002803B8" w:rsidP="002803B8">
      <w:pPr>
        <w:pStyle w:val="Sansinterligne"/>
        <w:rPr>
          <w:i/>
          <w:iCs/>
        </w:rPr>
      </w:pPr>
      <w:r>
        <w:rPr>
          <w:i/>
          <w:iCs/>
        </w:rPr>
        <w:tab/>
        <w:t>Non on n’est pas à l’équilibre mais sur une courte durée, le système est à l’équilibre thermodynamique local.</w:t>
      </w:r>
    </w:p>
    <w:p w14:paraId="6F372037" w14:textId="30DBE2FB" w:rsidR="002803B8" w:rsidRDefault="002803B8" w:rsidP="002803B8">
      <w:pPr>
        <w:pStyle w:val="Sansinterligne"/>
        <w:rPr>
          <w:i/>
          <w:iCs/>
        </w:rPr>
      </w:pPr>
    </w:p>
    <w:p w14:paraId="7E9F7A8A" w14:textId="77777777" w:rsidR="002803B8" w:rsidRDefault="002803B8" w:rsidP="002803B8">
      <w:pPr>
        <w:pStyle w:val="Sansinterligne"/>
        <w:rPr>
          <w:i/>
          <w:iCs/>
        </w:rPr>
      </w:pPr>
      <w:bookmarkStart w:id="0" w:name="_GoBack"/>
      <w:bookmarkEnd w:id="0"/>
    </w:p>
    <w:p w14:paraId="65BBFC52" w14:textId="77777777" w:rsidR="002803B8" w:rsidRPr="002803B8" w:rsidRDefault="002803B8" w:rsidP="002803B8">
      <w:pPr>
        <w:pStyle w:val="Sansinterligne"/>
        <w:rPr>
          <w:i/>
          <w:iCs/>
        </w:rPr>
      </w:pPr>
    </w:p>
    <w:sectPr w:rsidR="002803B8" w:rsidRPr="00280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E0"/>
    <w:rsid w:val="002803B8"/>
    <w:rsid w:val="006857DD"/>
    <w:rsid w:val="00F5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A03F"/>
  <w15:chartTrackingRefBased/>
  <w15:docId w15:val="{DB0DF452-DE6D-4FE2-91CB-4D2997C2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80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2020-05-04T13:24:00Z</dcterms:created>
  <dcterms:modified xsi:type="dcterms:W3CDTF">2020-05-04T13:33:00Z</dcterms:modified>
</cp:coreProperties>
</file>