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CCD" w:rsidRDefault="00B03C03" w:rsidP="00B73CCD">
      <w:pPr>
        <w:pStyle w:val="Sansinterligne"/>
        <w:rPr>
          <w:b/>
          <w:bCs/>
          <w:sz w:val="32"/>
          <w:szCs w:val="32"/>
        </w:rPr>
      </w:pPr>
      <w:r w:rsidRPr="00B03C03">
        <w:rPr>
          <w:noProof/>
        </w:rPr>
        <w:pict>
          <v:shapetype id="_x0000_t202" coordsize="21600,21600" o:spt="202" path="m,l,21600r21600,l21600,xe">
            <v:stroke joinstyle="miter"/>
            <v:path gradientshapeok="t" o:connecttype="rect"/>
          </v:shapetype>
          <v:shape id="Zone de texte 1" o:spid="_x0000_s1026" type="#_x0000_t202" style="position:absolute;margin-left:-16.85pt;margin-top:-6.35pt;width:99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" fillcolor="#0070c0" stroked="f" strokeweight=".5pt">
            <v:textbox>
              <w:txbxContent>
                <w:p w:rsidR="00576708" w:rsidRPr="00B73CCD" w:rsidRDefault="00576708">
                  <w:pPr>
                    <w:rPr>
                      <w:color w:val="FFFFFF" w:themeColor="background1"/>
                      <w:sz w:val="72"/>
                      <w:szCs w:val="72"/>
                    </w:rPr>
                  </w:pPr>
                  <w:r w:rsidRPr="00B73CCD">
                    <w:rPr>
                      <w:color w:val="FFFFFF" w:themeColor="background1"/>
                      <w:sz w:val="72"/>
                      <w:szCs w:val="72"/>
                    </w:rPr>
                    <w:t xml:space="preserve">LC </w:t>
                  </w:r>
                  <w:r>
                    <w:rPr>
                      <w:color w:val="FFFFFF" w:themeColor="background1"/>
                      <w:sz w:val="72"/>
                      <w:szCs w:val="72"/>
                    </w:rPr>
                    <w:t>22</w:t>
                  </w:r>
                </w:p>
              </w:txbxContent>
            </v:textbox>
          </v:shape>
        </w:pict>
      </w:r>
      <w:r w:rsidR="00B73CCD">
        <w:tab/>
      </w:r>
      <w:proofErr w:type="spellStart"/>
      <w:r w:rsidR="00B73CCD">
        <w:t>Sép</w:t>
      </w:r>
      <w:proofErr w:type="spellEnd"/>
      <w:r w:rsidR="00B73CCD">
        <w:tab/>
      </w:r>
      <w:r w:rsidR="00B73CCD">
        <w:tab/>
      </w:r>
    </w:p>
    <w:p w:rsidR="00A93F6B" w:rsidRDefault="00CB5815" w:rsidP="00D91081">
      <w:pPr>
        <w:pStyle w:val="Sansinterligne"/>
        <w:ind w:left="2124" w:firstLine="6"/>
        <w:rPr>
          <w:b/>
          <w:bCs/>
          <w:sz w:val="24"/>
          <w:szCs w:val="24"/>
        </w:rPr>
      </w:pPr>
      <w:r>
        <w:rPr>
          <w:b/>
          <w:bCs/>
          <w:sz w:val="32"/>
          <w:szCs w:val="32"/>
        </w:rPr>
        <w:t>Évolution et équilibre chimique</w:t>
      </w:r>
    </w:p>
    <w:p w:rsidR="00B73CCD" w:rsidRDefault="00B73CCD" w:rsidP="00B73CCD">
      <w:pPr>
        <w:pStyle w:val="Sansinterligne"/>
        <w:rPr>
          <w:b/>
          <w:bCs/>
          <w:sz w:val="24"/>
          <w:szCs w:val="24"/>
        </w:rPr>
      </w:pPr>
      <w:r>
        <w:rPr>
          <w:b/>
          <w:bCs/>
          <w:sz w:val="24"/>
          <w:szCs w:val="24"/>
        </w:rPr>
        <w:tab/>
      </w:r>
      <w:r>
        <w:rPr>
          <w:b/>
          <w:bCs/>
          <w:sz w:val="24"/>
          <w:szCs w:val="24"/>
        </w:rPr>
        <w:tab/>
      </w:r>
      <w:r>
        <w:rPr>
          <w:b/>
          <w:bCs/>
          <w:sz w:val="24"/>
          <w:szCs w:val="24"/>
        </w:rPr>
        <w:tab/>
      </w:r>
      <w:r w:rsidRPr="00B73CCD">
        <w:rPr>
          <w:i/>
          <w:iCs/>
        </w:rPr>
        <w:t xml:space="preserve">Niveau : </w:t>
      </w:r>
      <w:r w:rsidR="00704C19">
        <w:rPr>
          <w:i/>
          <w:iCs/>
        </w:rPr>
        <w:t>CPGE</w:t>
      </w:r>
    </w:p>
    <w:p w:rsidR="00B73CCD" w:rsidRPr="00B73CCD" w:rsidRDefault="00B73CCD" w:rsidP="00B73CCD"/>
    <w:p w:rsidR="00B73CCD" w:rsidRDefault="00B73CCD" w:rsidP="00B73CCD">
      <w:pPr>
        <w:tabs>
          <w:tab w:val="left" w:pos="1770"/>
        </w:tabs>
        <w:rPr>
          <w:b/>
          <w:bCs/>
          <w:sz w:val="24"/>
          <w:szCs w:val="24"/>
        </w:rPr>
      </w:pPr>
    </w:p>
    <w:p w:rsidR="00B73CCD" w:rsidRDefault="00B73CCD" w:rsidP="00CB5815">
      <w:pPr>
        <w:pStyle w:val="Sansinterligne"/>
        <w:pBdr>
          <w:top w:val="single" w:sz="4" w:space="1" w:color="auto"/>
        </w:pBdr>
        <w:rPr>
          <w:b/>
          <w:bCs/>
          <w:u w:val="single"/>
        </w:rPr>
      </w:pPr>
      <w:r>
        <w:rPr>
          <w:b/>
          <w:bCs/>
          <w:u w:val="single"/>
        </w:rPr>
        <w:t xml:space="preserve">Bibliographie : </w:t>
      </w:r>
    </w:p>
    <w:p w:rsidR="00624F6E" w:rsidRDefault="00624F6E" w:rsidP="00CB5815">
      <w:pPr>
        <w:pStyle w:val="Sansinterligne"/>
      </w:pPr>
      <w:r>
        <w:t xml:space="preserve">[1] </w:t>
      </w:r>
      <w:r w:rsidRPr="00624F6E">
        <w:t>Bruno FOSSET, Jean-Bernard BAUDIN et Frédéric LAHITÈTE. Chimie tout-en-un PCSI. Dunod,2016</w:t>
      </w:r>
    </w:p>
    <w:p w:rsidR="00CB5815" w:rsidRDefault="00CB5815" w:rsidP="00CB5815">
      <w:pPr>
        <w:pStyle w:val="Sansinterligne"/>
      </w:pPr>
      <w:r>
        <w:t xml:space="preserve">[2] </w:t>
      </w:r>
      <w:r w:rsidRPr="00CB5815">
        <w:t>Johann JÉZÉQUEL et Hélène MONIN-SOYER. «Étude de l’équilibre entre NO2 (g) et N2O4 (g)».</w:t>
      </w:r>
      <w:r>
        <w:t xml:space="preserve"> </w:t>
      </w:r>
      <w:r w:rsidRPr="00CB5815">
        <w:t>In</w:t>
      </w:r>
      <w:r>
        <w:t xml:space="preserve"> </w:t>
      </w:r>
      <w:r w:rsidRPr="00CB5815">
        <w:t>:</w:t>
      </w:r>
      <w:r>
        <w:t xml:space="preserve"> </w:t>
      </w:r>
      <w:r w:rsidRPr="00CB5815">
        <w:t>Bulletin</w:t>
      </w:r>
      <w:r>
        <w:t xml:space="preserve"> </w:t>
      </w:r>
      <w:r w:rsidRPr="00CB5815">
        <w:t>de</w:t>
      </w:r>
      <w:r>
        <w:t xml:space="preserve"> </w:t>
      </w:r>
      <w:r w:rsidRPr="00CB5815">
        <w:t>l’union</w:t>
      </w:r>
      <w:r>
        <w:t xml:space="preserve"> </w:t>
      </w:r>
      <w:r w:rsidRPr="00CB5815">
        <w:t>des</w:t>
      </w:r>
      <w:r>
        <w:t xml:space="preserve"> </w:t>
      </w:r>
      <w:r w:rsidRPr="00CB5815">
        <w:t>physiciens 879</w:t>
      </w:r>
      <w:r>
        <w:t xml:space="preserve"> </w:t>
      </w:r>
      <w:r w:rsidRPr="00CB5815">
        <w:t>(2005).</w:t>
      </w:r>
    </w:p>
    <w:p w:rsidR="00260AB1" w:rsidRDefault="00260AB1" w:rsidP="00CB5815">
      <w:pPr>
        <w:pStyle w:val="Sansinterligne"/>
      </w:pPr>
      <w:r>
        <w:t>[3] Bruno FOSSET, Jean-Bernard BAUDIN. Chimie tout-en-un PC. Dunod, 2016.</w:t>
      </w:r>
    </w:p>
    <w:p w:rsidR="00260AB1" w:rsidRPr="00624F6E" w:rsidRDefault="00260AB1" w:rsidP="00CB5815">
      <w:pPr>
        <w:pStyle w:val="Sansinterligne"/>
      </w:pPr>
      <w:r>
        <w:t>[4] Cours thermochimie M1</w:t>
      </w:r>
    </w:p>
    <w:p w:rsidR="00B73CCD" w:rsidRPr="0045262E" w:rsidRDefault="00B73CCD" w:rsidP="00CB5815">
      <w:pPr>
        <w:pStyle w:val="Sansinterligne"/>
        <w:pBdr>
          <w:top w:val="single" w:sz="4" w:space="1" w:color="auto"/>
        </w:pBdr>
      </w:pPr>
      <w:r w:rsidRPr="005D1215">
        <w:rPr>
          <w:b/>
          <w:bCs/>
          <w:u w:val="single"/>
        </w:rPr>
        <w:t>Expériences</w:t>
      </w:r>
      <w:r w:rsidR="00480C50">
        <w:rPr>
          <w:b/>
          <w:bCs/>
          <w:u w:val="single"/>
        </w:rPr>
        <w:t> </w:t>
      </w:r>
      <w:r w:rsidRPr="005D1215">
        <w:rPr>
          <w:b/>
          <w:bCs/>
          <w:u w:val="single"/>
        </w:rPr>
        <w:t>:</w:t>
      </w:r>
    </w:p>
    <w:p w:rsidR="00E51019" w:rsidRDefault="00CB5815" w:rsidP="00BF13E3">
      <w:pPr>
        <w:pStyle w:val="Sansinterligne"/>
      </w:pPr>
      <w:r>
        <w:t>Gaz roux [2]</w:t>
      </w:r>
    </w:p>
    <w:p w:rsidR="00260AB1" w:rsidRDefault="00260AB1" w:rsidP="00BF13E3">
      <w:pPr>
        <w:pStyle w:val="Sansinterligne"/>
      </w:pPr>
      <w:r>
        <w:t xml:space="preserve">Détermination du </w:t>
      </w:r>
      <w:proofErr w:type="spellStart"/>
      <w:r>
        <w:t>pKa</w:t>
      </w:r>
      <w:proofErr w:type="spellEnd"/>
      <w:r>
        <w:t xml:space="preserve"> de l’acide acétique</w:t>
      </w:r>
    </w:p>
    <w:p w:rsidR="00BF13E3" w:rsidRDefault="00BF13E3" w:rsidP="00BF13E3">
      <w:pPr>
        <w:pStyle w:val="Sansinterligne"/>
      </w:pPr>
      <w:r>
        <w:t>Iodure de plomb</w:t>
      </w:r>
    </w:p>
    <w:p w:rsidR="00B73CCD" w:rsidRDefault="00B73CCD" w:rsidP="00B65F39">
      <w:pPr>
        <w:pStyle w:val="Sansinterligne"/>
        <w:pBdr>
          <w:top w:val="single" w:sz="4" w:space="1" w:color="auto"/>
        </w:pBdr>
        <w:rPr>
          <w:b/>
          <w:bCs/>
          <w:u w:val="single"/>
        </w:rPr>
      </w:pPr>
      <w:r>
        <w:rPr>
          <w:b/>
          <w:bCs/>
          <w:u w:val="single"/>
        </w:rPr>
        <w:t>Prérequis</w:t>
      </w:r>
      <w:r w:rsidR="00480C50">
        <w:rPr>
          <w:b/>
          <w:bCs/>
          <w:u w:val="single"/>
        </w:rPr>
        <w:t> </w:t>
      </w:r>
      <w:r>
        <w:rPr>
          <w:b/>
          <w:bCs/>
          <w:u w:val="single"/>
        </w:rPr>
        <w:t>:</w:t>
      </w:r>
    </w:p>
    <w:p w:rsidR="002122E7" w:rsidRDefault="00CB5815" w:rsidP="002122E7">
      <w:pPr>
        <w:pStyle w:val="Sansinterligne"/>
        <w:numPr>
          <w:ilvl w:val="0"/>
          <w:numId w:val="1"/>
        </w:numPr>
      </w:pPr>
      <w:r>
        <w:t>Premier et second principes de la thermodynamique</w:t>
      </w:r>
    </w:p>
    <w:p w:rsidR="00CB5815" w:rsidRDefault="00CB5815" w:rsidP="002122E7">
      <w:pPr>
        <w:pStyle w:val="Sansinterligne"/>
        <w:numPr>
          <w:ilvl w:val="0"/>
          <w:numId w:val="1"/>
        </w:numPr>
      </w:pPr>
      <w:r>
        <w:t>Grandeurs de réaction</w:t>
      </w:r>
    </w:p>
    <w:p w:rsidR="00CB5815" w:rsidRDefault="00CB5815" w:rsidP="002122E7">
      <w:pPr>
        <w:pStyle w:val="Sansinterligne"/>
        <w:numPr>
          <w:ilvl w:val="0"/>
          <w:numId w:val="1"/>
        </w:numPr>
      </w:pPr>
      <w:r>
        <w:t>Réactions acido-basiques</w:t>
      </w:r>
    </w:p>
    <w:p w:rsidR="00576708" w:rsidRDefault="00576708" w:rsidP="002122E7">
      <w:pPr>
        <w:pStyle w:val="Sansinterligne"/>
        <w:numPr>
          <w:ilvl w:val="0"/>
          <w:numId w:val="1"/>
        </w:numPr>
      </w:pPr>
      <w:r>
        <w:t>Enthalpie libre</w:t>
      </w:r>
    </w:p>
    <w:p w:rsidR="00ED2099" w:rsidRPr="00ED2099" w:rsidRDefault="00ED2099" w:rsidP="00A82F6C">
      <w:pPr>
        <w:pStyle w:val="Sansinterligne"/>
        <w:pBdr>
          <w:top w:val="single" w:sz="4" w:space="1" w:color="auto"/>
        </w:pBdr>
        <w:rPr>
          <w:b/>
        </w:rPr>
      </w:pPr>
      <w:r w:rsidRPr="00ED2099">
        <w:rPr>
          <w:b/>
        </w:rPr>
        <w:t xml:space="preserve">ATTENTION, les </w:t>
      </w:r>
      <w:proofErr w:type="spellStart"/>
      <w:r w:rsidRPr="00ED2099">
        <w:rPr>
          <w:b/>
        </w:rPr>
        <w:t>Slides</w:t>
      </w:r>
      <w:proofErr w:type="spellEnd"/>
      <w:r w:rsidRPr="00ED2099">
        <w:rPr>
          <w:b/>
        </w:rPr>
        <w:t xml:space="preserve"> et les vidéos n’ont pas été préparées pour cette leçon !</w:t>
      </w:r>
    </w:p>
    <w:p w:rsidR="00A82F6C" w:rsidRDefault="00A82F6C" w:rsidP="00A82F6C">
      <w:pPr>
        <w:pStyle w:val="Sansinterligne"/>
        <w:pBdr>
          <w:top w:val="single" w:sz="4" w:space="1" w:color="auto"/>
        </w:pBdr>
      </w:pPr>
      <w:r>
        <w:t>Attention aux termes employés et aux conditions d’application des théorèmes</w:t>
      </w:r>
    </w:p>
    <w:p w:rsidR="00A82F6C" w:rsidRDefault="00A82F6C" w:rsidP="00A82F6C">
      <w:pPr>
        <w:pStyle w:val="Sansinterligne"/>
        <w:rPr>
          <w:b/>
          <w:bCs/>
        </w:rPr>
      </w:pPr>
    </w:p>
    <w:p w:rsidR="002338F1" w:rsidRPr="002338F1" w:rsidRDefault="002338F1" w:rsidP="00A82F6C">
      <w:pPr>
        <w:pStyle w:val="Sansinterligne"/>
      </w:pPr>
      <w:r>
        <w:t>Pour se débarrasser du gaz, on ouvre la seringue dans de l’eau pour reformer l’acide</w:t>
      </w:r>
      <w:r w:rsidR="00ED2099">
        <w:t xml:space="preserve"> nitrique</w:t>
      </w:r>
      <w:r>
        <w:t>.</w:t>
      </w:r>
    </w:p>
    <w:p w:rsidR="00624F6E" w:rsidRDefault="00624F6E" w:rsidP="00A82F6C">
      <w:pPr>
        <w:pStyle w:val="Sansinterligne"/>
        <w:pBdr>
          <w:top w:val="single" w:sz="4" w:space="1" w:color="auto"/>
        </w:pBdr>
        <w:rPr>
          <w:b/>
          <w:bCs/>
        </w:rPr>
      </w:pPr>
      <w:r>
        <w:rPr>
          <w:b/>
          <w:bCs/>
        </w:rPr>
        <w:t>Introduction :</w:t>
      </w:r>
    </w:p>
    <w:p w:rsidR="00CB5815" w:rsidRDefault="00CB5815" w:rsidP="00A82F6C">
      <w:pPr>
        <w:pStyle w:val="Sansinterligne"/>
        <w:rPr>
          <w:b/>
          <w:bCs/>
        </w:rPr>
      </w:pPr>
    </w:p>
    <w:p w:rsidR="00CB5815" w:rsidRDefault="00CB5815" w:rsidP="00ED08D2">
      <w:pPr>
        <w:pStyle w:val="Sansinterligne"/>
        <w:pBdr>
          <w:left w:val="thinThickSmallGap" w:sz="24" w:space="4" w:color="FFC000"/>
        </w:pBdr>
      </w:pPr>
      <w:r>
        <w:rPr>
          <w:u w:val="single"/>
        </w:rPr>
        <w:t>Équilibre entre le dioxyde d’azote NO</w:t>
      </w:r>
      <w:r>
        <w:rPr>
          <w:u w:val="single"/>
          <w:vertAlign w:val="subscript"/>
        </w:rPr>
        <w:t>2(g)</w:t>
      </w:r>
      <w:r>
        <w:rPr>
          <w:u w:val="single"/>
        </w:rPr>
        <w:t xml:space="preserve"> et le tétraoxyde d’azote N</w:t>
      </w:r>
      <w:r>
        <w:rPr>
          <w:u w:val="single"/>
          <w:vertAlign w:val="subscript"/>
        </w:rPr>
        <w:t>2</w:t>
      </w:r>
      <w:r>
        <w:rPr>
          <w:u w:val="single"/>
        </w:rPr>
        <w:t>O</w:t>
      </w:r>
      <w:r>
        <w:rPr>
          <w:u w:val="single"/>
          <w:vertAlign w:val="subscript"/>
        </w:rPr>
        <w:t>4(g)</w:t>
      </w:r>
      <w:r>
        <w:rPr>
          <w:u w:val="single"/>
        </w:rPr>
        <w:t xml:space="preserve"> : </w:t>
      </w:r>
      <w:r>
        <w:t xml:space="preserve"> [2]</w:t>
      </w:r>
    </w:p>
    <w:p w:rsidR="007A72B4" w:rsidRPr="007A72B4" w:rsidRDefault="007A72B4" w:rsidP="00ED08D2">
      <w:pPr>
        <w:pStyle w:val="Sansinterligne"/>
        <w:pBdr>
          <w:left w:val="thinThickSmallGap" w:sz="24" w:space="4" w:color="FFC000"/>
        </w:pBdr>
        <w:rPr>
          <w:i/>
          <w:iCs/>
        </w:rPr>
      </w:pPr>
      <w:r>
        <w:tab/>
      </w:r>
      <w:r>
        <w:rPr>
          <w:i/>
          <w:iCs/>
        </w:rPr>
        <w:t>Le tétraoxyde d’azote est aussi appelé peroxyde d’azote</w:t>
      </w:r>
    </w:p>
    <w:p w:rsidR="00CB5815" w:rsidRDefault="00CB5815" w:rsidP="00ED08D2">
      <w:pPr>
        <w:pStyle w:val="Sansinterligne"/>
        <w:pBdr>
          <w:left w:val="thinThickSmallGap" w:sz="24" w:space="4" w:color="FFC000"/>
        </w:pBdr>
      </w:pPr>
      <w:r>
        <w:tab/>
        <w:t>Préparer plusieurs bains thermostatés : 0°C, 25°C et 60°C</w:t>
      </w:r>
    </w:p>
    <w:p w:rsidR="00BF76C4" w:rsidRPr="00BF76C4" w:rsidRDefault="00BF76C4" w:rsidP="00ED08D2">
      <w:pPr>
        <w:pStyle w:val="Sansinterligne"/>
        <w:pBdr>
          <w:left w:val="thinThickSmallGap" w:sz="24" w:space="4" w:color="FFC000"/>
        </w:pBdr>
        <w:rPr>
          <w:rFonts w:eastAsiaTheme="minorEastAsia"/>
        </w:rPr>
      </w:pPr>
      <w:r>
        <w:tab/>
        <w:t xml:space="preserve">À partir des grandeurs thermodynamiques, on a pour </w:t>
      </w:r>
      <m:oMath>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4</m:t>
                </m:r>
              </m:sub>
            </m:sSub>
            <m:ctrlPr>
              <w:rPr>
                <w:rFonts w:ascii="Cambria Math" w:eastAsiaTheme="minorEastAsia" w:hAnsi="Cambria Math"/>
                <w:i/>
              </w:rPr>
            </m:ctrlPr>
          </m:e>
          <m:sub>
            <m:r>
              <w:rPr>
                <w:rFonts w:ascii="Cambria Math" w:eastAsiaTheme="minorEastAsia" w:hAnsi="Cambria Math"/>
              </w:rPr>
              <m:t>(g)</m:t>
            </m:r>
          </m:sub>
        </m:sSub>
        <m:r>
          <w:rPr>
            <w:rFonts w:ascii="Cambria Math" w:hAnsi="Cambria Math"/>
          </w:rPr>
          <m:t>=2N</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Theme="minorEastAsia" w:hAnsi="Cambria Math"/>
                <w:i/>
              </w:rPr>
            </m:ctrlPr>
          </m:e>
          <m:sub>
            <m:r>
              <w:rPr>
                <w:rFonts w:ascii="Cambria Math" w:eastAsiaTheme="minorEastAsia" w:hAnsi="Cambria Math"/>
              </w:rPr>
              <m:t>(g)</m:t>
            </m:r>
          </m:sub>
        </m:sSub>
      </m:oMath>
    </w:p>
    <w:p w:rsidR="00BF76C4" w:rsidRDefault="00B03C03" w:rsidP="00ED08D2">
      <w:pPr>
        <w:pStyle w:val="Sansinterligne"/>
        <w:pBdr>
          <w:left w:val="thinThickSmallGap" w:sz="24" w:space="4" w:color="FFC000"/>
        </w:pBdr>
        <w:jc w:val="center"/>
        <w:rPr>
          <w:rFonts w:eastAsiaTheme="minorEastAsia"/>
        </w:rPr>
      </w:pP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=55,3 kJ.mo</m:t>
        </m:r>
        <m:sSup>
          <m:sSupPr>
            <m:ctrlPr>
              <w:rPr>
                <w:rFonts w:ascii="Cambria Math" w:hAnsi="Cambria Math"/>
                <w:i/>
              </w:rPr>
            </m:ctrlPr>
          </m:sSupPr>
          <m:e>
            <m:r>
              <w:rPr>
                <w:rFonts w:ascii="Cambria Math" w:hAnsi="Cambria Math"/>
              </w:rPr>
              <m:t>l</m:t>
            </m:r>
          </m:e>
          <m:sup>
            <m:r>
              <w:rPr>
                <w:rFonts w:ascii="Cambria Math" w:hAnsi="Cambria Math"/>
              </w:rPr>
              <m:t>-1</m:t>
            </m:r>
          </m:sup>
        </m:sSup>
      </m:oMath>
      <w:r w:rsidR="007A72B4">
        <w:rPr>
          <w:rFonts w:eastAsiaTheme="minorEastAsia"/>
        </w:rPr>
        <w:t xml:space="preserve"> par la loi de Hess</w:t>
      </w:r>
    </w:p>
    <w:p w:rsidR="007A72B4" w:rsidRPr="007A72B4" w:rsidRDefault="00B03C03" w:rsidP="00ED08D2">
      <w:pPr>
        <w:pStyle w:val="Sansinterligne"/>
        <w:pBdr>
          <w:left w:val="thinThickSmallGap" w:sz="24" w:space="4" w:color="FFC000"/>
        </w:pBdr>
        <w:jc w:val="center"/>
        <w:rPr>
          <w:rFonts w:eastAsiaTheme="minorEastAsia"/>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=175,8 J.mo</m:t>
          </m:r>
          <m:sSup>
            <m:sSupPr>
              <m:ctrlPr>
                <w:rPr>
                  <w:rFonts w:ascii="Cambria Math" w:hAnsi="Cambria Math"/>
                  <w:i/>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oMath>
      </m:oMathPara>
    </w:p>
    <w:p w:rsidR="007A72B4" w:rsidRDefault="007A72B4" w:rsidP="00ED08D2">
      <w:pPr>
        <w:pStyle w:val="Sansinterligne"/>
        <w:pBdr>
          <w:left w:val="thinThickSmallGap" w:sz="24" w:space="4" w:color="FFC000"/>
        </w:pBdr>
        <w:jc w:val="center"/>
        <w:rPr>
          <w:rFonts w:eastAsiaTheme="minorEastAsia"/>
        </w:rPr>
      </w:pPr>
      <w:r>
        <w:rPr>
          <w:rFonts w:eastAsiaTheme="minorEastAsia"/>
        </w:rPr>
        <w:t xml:space="preserve">Ainsi,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num>
                  <m:den>
                    <m:r>
                      <w:rPr>
                        <w:rFonts w:ascii="Cambria Math" w:eastAsiaTheme="minorEastAsia" w:hAnsi="Cambria Math"/>
                      </w:rPr>
                      <m:t>RT</m:t>
                    </m:r>
                  </m:den>
                </m:f>
              </m:e>
            </m:d>
          </m:e>
        </m:func>
      </m:oMath>
      <w:r>
        <w:rPr>
          <w:rFonts w:eastAsiaTheme="minorEastAsia"/>
        </w:rPr>
        <w:t>, donc</w:t>
      </w:r>
    </w:p>
    <w:p w:rsidR="007A72B4" w:rsidRDefault="007A72B4" w:rsidP="00ED08D2">
      <w:pPr>
        <w:pStyle w:val="Sansinterligne"/>
        <w:pBdr>
          <w:left w:val="thinThickSmallGap" w:sz="24" w:space="4" w:color="FFC000"/>
        </w:pBdr>
        <w:jc w:val="center"/>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T=0°C</m:t>
            </m:r>
          </m:e>
        </m:d>
        <m:r>
          <w:rPr>
            <w:rFonts w:ascii="Cambria Math" w:eastAsiaTheme="minorEastAsia" w:hAnsi="Cambria Math"/>
          </w:rPr>
          <m:t xml:space="preserve">=0.04,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T=25°C</m:t>
            </m:r>
          </m:e>
        </m:d>
        <m:r>
          <w:rPr>
            <w:rFonts w:ascii="Cambria Math" w:eastAsiaTheme="minorEastAsia" w:hAnsi="Cambria Math"/>
          </w:rPr>
          <m:t xml:space="preserve">=0,31 et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T=60°C</m:t>
            </m:r>
          </m:e>
        </m:d>
        <m:r>
          <w:rPr>
            <w:rFonts w:ascii="Cambria Math" w:eastAsiaTheme="minorEastAsia" w:hAnsi="Cambria Math"/>
          </w:rPr>
          <m:t>=3.3</m:t>
        </m:r>
      </m:oMath>
    </w:p>
    <w:p w:rsidR="007A72B4" w:rsidRDefault="007A72B4" w:rsidP="00ED08D2">
      <w:pPr>
        <w:pStyle w:val="Sansinterligne"/>
        <w:pBdr>
          <w:left w:val="thinThickSmallGap" w:sz="24" w:space="4" w:color="FFC000"/>
        </w:pBdr>
        <w:rPr>
          <w:rFonts w:eastAsiaTheme="minorEastAsia"/>
        </w:rPr>
      </w:pPr>
      <w:r>
        <w:rPr>
          <w:rFonts w:eastAsiaTheme="minorEastAsia"/>
        </w:rPr>
        <w:tab/>
        <w:t>On observe donc un changement de teinte entre les bains froid et chaud</w:t>
      </w:r>
    </w:p>
    <w:p w:rsidR="0041708B" w:rsidRDefault="0041708B" w:rsidP="00ED08D2">
      <w:pPr>
        <w:pStyle w:val="Sansinterligne"/>
        <w:pBdr>
          <w:left w:val="thinThickSmallGap" w:sz="24" w:space="4" w:color="FFC000"/>
        </w:pBdr>
        <w:rPr>
          <w:rFonts w:eastAsiaTheme="minorEastAsia"/>
        </w:rPr>
      </w:pPr>
      <w:r>
        <w:rPr>
          <w:rFonts w:eastAsiaTheme="minorEastAsia"/>
        </w:rPr>
        <w:tab/>
      </w:r>
      <w:hyperlink r:id="rId8" w:history="1">
        <w:r>
          <w:rPr>
            <w:rStyle w:val="Lienhypertexte"/>
          </w:rPr>
          <w:t>https://www.youtube.com/watch?v=oC3klPMRnwo</w:t>
        </w:r>
      </w:hyperlink>
    </w:p>
    <w:p w:rsidR="007A72B4" w:rsidRDefault="007A72B4" w:rsidP="00ED08D2">
      <w:pPr>
        <w:pStyle w:val="Sansinterligne"/>
        <w:pBdr>
          <w:left w:val="thinThickSmallGap" w:sz="24" w:space="4" w:color="FFC000"/>
        </w:pBdr>
        <w:rPr>
          <w:rFonts w:eastAsiaTheme="minorEastAsia"/>
        </w:rPr>
      </w:pPr>
      <w:r>
        <w:rPr>
          <w:rFonts w:eastAsiaTheme="minorEastAsia"/>
        </w:rPr>
        <w:tab/>
        <w:t>Le dioxyde d’azote est roux alors que le tétraoxyde d’azote est quant à lui incolore.</w:t>
      </w:r>
    </w:p>
    <w:p w:rsidR="007A72B4" w:rsidRDefault="007A72B4" w:rsidP="00ED08D2">
      <w:pPr>
        <w:pStyle w:val="Sansinterligne"/>
        <w:pBdr>
          <w:left w:val="thinThickSmallGap" w:sz="24" w:space="4" w:color="FFC000"/>
        </w:pBdr>
        <w:rPr>
          <w:rFonts w:eastAsiaTheme="minorEastAsia"/>
          <w:i/>
          <w:iCs/>
        </w:rPr>
      </w:pPr>
      <w:r>
        <w:rPr>
          <w:rFonts w:eastAsiaTheme="minorEastAsia"/>
        </w:rPr>
        <w:tab/>
      </w:r>
      <w:r>
        <w:rPr>
          <w:rFonts w:eastAsiaTheme="minorEastAsia"/>
          <w:i/>
          <w:iCs/>
        </w:rPr>
        <w:t>Toxicité : dioxyde d’azote : toxique, corrosif et gaz sous pression (pas le cas dans la manip)</w:t>
      </w:r>
    </w:p>
    <w:p w:rsidR="007A72B4" w:rsidRDefault="007A72B4" w:rsidP="00ED08D2">
      <w:pPr>
        <w:pStyle w:val="Sansinterligne"/>
        <w:pBdr>
          <w:left w:val="thinThickSmallGap" w:sz="24" w:space="4" w:color="FFC000"/>
        </w:pBdr>
        <w:rPr>
          <w:rFonts w:eastAsiaTheme="minorEastAsia"/>
          <w:i/>
          <w:iCs/>
        </w:rPr>
      </w:pPr>
      <w:r>
        <w:rPr>
          <w:rFonts w:eastAsiaTheme="minorEastAsia"/>
          <w:i/>
          <w:iCs/>
        </w:rPr>
        <w:tab/>
      </w:r>
      <w:r>
        <w:rPr>
          <w:rFonts w:eastAsiaTheme="minorEastAsia"/>
          <w:i/>
          <w:iCs/>
        </w:rPr>
        <w:tab/>
        <w:t xml:space="preserve">  Tétraoxyde d’azote : toxique, corrosif, gaz sous pression et comburant</w:t>
      </w:r>
    </w:p>
    <w:p w:rsidR="00ED08D2" w:rsidRPr="00ED08D2" w:rsidRDefault="00ED08D2" w:rsidP="00ED08D2">
      <w:pPr>
        <w:pStyle w:val="Sansinterligne"/>
        <w:pBdr>
          <w:left w:val="thinThickSmallGap" w:sz="24" w:space="4" w:color="FFC000"/>
        </w:pBdr>
      </w:pPr>
      <w:r>
        <w:rPr>
          <w:rFonts w:eastAsiaTheme="minorEastAsia"/>
        </w:rPr>
        <w:tab/>
        <w:t xml:space="preserve">On s’attend à observer une plus forte coloration à haute température, la constante d’équilibre étant plus grande, les produits sont favorables. </w:t>
      </w:r>
    </w:p>
    <w:p w:rsidR="00CB5815" w:rsidRPr="00CB5815" w:rsidRDefault="00CB5815" w:rsidP="00ED08D2">
      <w:pPr>
        <w:pStyle w:val="Sansinterligne"/>
        <w:pBdr>
          <w:left w:val="thinThickSmallGap" w:sz="24" w:space="4" w:color="FFC000"/>
        </w:pBdr>
      </w:pPr>
      <w:r>
        <w:tab/>
      </w:r>
    </w:p>
    <w:p w:rsidR="00C72470" w:rsidRDefault="00C72470" w:rsidP="00C72470">
      <w:pPr>
        <w:pStyle w:val="Sansinterligne"/>
        <w:rPr>
          <w:b/>
          <w:bCs/>
        </w:rPr>
      </w:pPr>
    </w:p>
    <w:p w:rsidR="00ED08D2" w:rsidRDefault="00ED08D2" w:rsidP="00C72470">
      <w:pPr>
        <w:pStyle w:val="Sansinterligne"/>
      </w:pPr>
      <w:r>
        <w:t>Écrire la réaction étudiée au tableau. Ainsi, on voit que la composition d’un système chimique à l’équilibre peut dépendre de paramètres extérieurs : ici la température.</w:t>
      </w:r>
    </w:p>
    <w:p w:rsidR="00ED08D2" w:rsidRDefault="00ED08D2" w:rsidP="00C72470">
      <w:pPr>
        <w:pStyle w:val="Sansinterligne"/>
      </w:pPr>
      <w:r>
        <w:t>Au cours de cette leçon, nous allons tenter de comprendre comment nous pouvons caractériser l’équilibre et l’évolution d’un système chimique.</w:t>
      </w:r>
    </w:p>
    <w:p w:rsidR="005F1CA5" w:rsidRDefault="005F1CA5" w:rsidP="00C72470">
      <w:pPr>
        <w:pStyle w:val="Sansinterligne"/>
      </w:pPr>
      <w:r>
        <w:rPr>
          <w:noProof/>
          <w:lang w:eastAsia="fr-FR"/>
        </w:rPr>
        <w:lastRenderedPageBreak/>
        <w:drawing>
          <wp:inline distT="0" distB="0" distL="0" distR="0">
            <wp:extent cx="5760720" cy="531993"/>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60720" cy="531993"/>
                    </a:xfrm>
                    <a:prstGeom prst="rect">
                      <a:avLst/>
                    </a:prstGeom>
                    <a:noFill/>
                    <a:ln w="9525">
                      <a:noFill/>
                      <a:miter lim="800000"/>
                      <a:headEnd/>
                      <a:tailEnd/>
                    </a:ln>
                  </pic:spPr>
                </pic:pic>
              </a:graphicData>
            </a:graphic>
          </wp:inline>
        </w:drawing>
      </w:r>
    </w:p>
    <w:p w:rsidR="001B2C0E" w:rsidRDefault="001B2C0E" w:rsidP="00C72470">
      <w:pPr>
        <w:pStyle w:val="Sansinterligne"/>
      </w:pPr>
      <w:r>
        <w:rPr>
          <w:noProof/>
          <w:lang w:eastAsia="fr-FR"/>
        </w:rPr>
        <w:drawing>
          <wp:inline distT="0" distB="0" distL="0" distR="0">
            <wp:extent cx="5760720" cy="626905"/>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760720" cy="626905"/>
                    </a:xfrm>
                    <a:prstGeom prst="rect">
                      <a:avLst/>
                    </a:prstGeom>
                    <a:noFill/>
                    <a:ln w="9525">
                      <a:noFill/>
                      <a:miter lim="800000"/>
                      <a:headEnd/>
                      <a:tailEnd/>
                    </a:ln>
                  </pic:spPr>
                </pic:pic>
              </a:graphicData>
            </a:graphic>
          </wp:inline>
        </w:drawing>
      </w:r>
    </w:p>
    <w:p w:rsidR="00ED08D2" w:rsidRDefault="00ED08D2" w:rsidP="00C72470">
      <w:pPr>
        <w:pStyle w:val="Sansinterligne"/>
      </w:pPr>
    </w:p>
    <w:p w:rsidR="00ED08D2" w:rsidRDefault="00DE4353" w:rsidP="00DE4353">
      <w:pPr>
        <w:pStyle w:val="Sansinterligne"/>
        <w:numPr>
          <w:ilvl w:val="0"/>
          <w:numId w:val="25"/>
        </w:numPr>
        <w:rPr>
          <w:b/>
          <w:bCs/>
          <w:u w:val="single"/>
        </w:rPr>
      </w:pPr>
      <w:r>
        <w:rPr>
          <w:b/>
          <w:bCs/>
          <w:u w:val="single"/>
        </w:rPr>
        <w:t>Évolution d’un système chimique vers l’équilibre</w:t>
      </w:r>
    </w:p>
    <w:p w:rsidR="00DE4353" w:rsidRDefault="00DE4353" w:rsidP="00DE4353">
      <w:pPr>
        <w:pStyle w:val="Sansinterligne"/>
        <w:numPr>
          <w:ilvl w:val="0"/>
          <w:numId w:val="26"/>
        </w:numPr>
        <w:rPr>
          <w:b/>
          <w:bCs/>
        </w:rPr>
      </w:pPr>
      <w:r>
        <w:rPr>
          <w:b/>
          <w:bCs/>
        </w:rPr>
        <w:t>Description thermodynamique</w:t>
      </w:r>
    </w:p>
    <w:p w:rsidR="00DE4353" w:rsidRDefault="00DE4353" w:rsidP="00DE4353">
      <w:pPr>
        <w:pStyle w:val="Sansinterligne"/>
        <w:rPr>
          <w:b/>
          <w:bCs/>
        </w:rPr>
      </w:pPr>
    </w:p>
    <w:p w:rsidR="00DE4353" w:rsidRDefault="00DE4353" w:rsidP="00DE4353">
      <w:pPr>
        <w:pStyle w:val="Sansinterligne"/>
      </w:pPr>
      <w:r>
        <w:t>Nous allons chercher à déterminer les variables permettant de décrire une réaction chimique.</w:t>
      </w:r>
    </w:p>
    <w:p w:rsidR="00DE4353" w:rsidRDefault="00DE4353" w:rsidP="00DE4353">
      <w:pPr>
        <w:pStyle w:val="Sansinterligne"/>
      </w:pPr>
    </w:p>
    <w:p w:rsidR="00DE4353" w:rsidRDefault="00DE4353" w:rsidP="00DE4353">
      <w:pPr>
        <w:pStyle w:val="Sansinterligne"/>
      </w:pPr>
      <w:r>
        <w:t>On va s’intéresser à des systèmes fermés (pas d’échange de matière).</w:t>
      </w:r>
    </w:p>
    <w:p w:rsidR="00DE4353" w:rsidRDefault="00DE4353" w:rsidP="00DE4353">
      <w:pPr>
        <w:pStyle w:val="Sansinterligne"/>
        <w:rPr>
          <w:rFonts w:eastAsiaTheme="minorEastAsia"/>
        </w:rPr>
      </w:pPr>
      <w:r>
        <w:t>L</w:t>
      </w:r>
      <w:r w:rsidR="008B4D35">
        <w:t>es</w:t>
      </w:r>
      <w:r>
        <w:t xml:space="preserve"> réactions chimiques </w:t>
      </w:r>
      <w:r w:rsidR="008B4D35">
        <w:t>peuvent être décrites comme ayant lieu à</w:t>
      </w:r>
      <w:r>
        <w:t xml:space="preserve"> pression et température constantes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ext</m:t>
            </m:r>
          </m:sub>
        </m:sSub>
      </m:oMath>
      <w:r>
        <w:rPr>
          <w:rFonts w:eastAsiaTheme="minorEastAsia"/>
        </w:rPr>
        <w:t xml:space="preserve"> et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ext</m:t>
            </m:r>
          </m:sub>
        </m:sSub>
      </m:oMath>
      <w:r>
        <w:rPr>
          <w:rFonts w:eastAsiaTheme="minorEastAsia"/>
        </w:rPr>
        <w:t>. On se place donc dans le cadre de transformations isotherme et isobare.</w:t>
      </w:r>
      <w:r w:rsidR="008B4D35">
        <w:rPr>
          <w:rFonts w:eastAsiaTheme="minorEastAsia"/>
        </w:rPr>
        <w:t xml:space="preserve"> On utilise un chemin fictif mais on a le droit comme on étudie des fonctions d’états.</w:t>
      </w:r>
    </w:p>
    <w:p w:rsidR="00DE4353" w:rsidRDefault="00DE4353" w:rsidP="00DE4353">
      <w:pPr>
        <w:pStyle w:val="Sansinterligne"/>
        <w:rPr>
          <w:rFonts w:eastAsiaTheme="minorEastAsia"/>
        </w:rPr>
      </w:pPr>
    </w:p>
    <w:p w:rsidR="00DE4353" w:rsidRDefault="00DE4353" w:rsidP="00DE4353">
      <w:pPr>
        <w:pStyle w:val="Sansinterligne"/>
        <w:rPr>
          <w:rFonts w:eastAsiaTheme="minorEastAsia"/>
        </w:rPr>
      </w:pPr>
      <w:r>
        <w:rPr>
          <w:rFonts w:eastAsiaTheme="minorEastAsia"/>
        </w:rPr>
        <w:t xml:space="preserve">Par application du premier principe : </w:t>
      </w:r>
      <m:oMath>
        <m:r>
          <w:rPr>
            <w:rFonts w:ascii="Cambria Math" w:eastAsiaTheme="minorEastAsia" w:hAnsi="Cambria Math"/>
          </w:rPr>
          <m:t>dU=δW+δQ</m:t>
        </m:r>
      </m:oMath>
    </w:p>
    <w:p w:rsidR="00DE4353" w:rsidRDefault="00DE4353" w:rsidP="00DE4353">
      <w:pPr>
        <w:pStyle w:val="Sansinterligne"/>
        <w:rPr>
          <w:rFonts w:eastAsiaTheme="minorEastAsia"/>
        </w:rPr>
      </w:pPr>
      <w:r>
        <w:rPr>
          <w:rFonts w:eastAsiaTheme="minorEastAsia"/>
        </w:rPr>
        <w:t xml:space="preserve">Par application du second principe, </w:t>
      </w:r>
      <m:oMath>
        <m:r>
          <w:rPr>
            <w:rFonts w:ascii="Cambria Math" w:eastAsiaTheme="minorEastAsia" w:hAnsi="Cambria Math"/>
          </w:rPr>
          <m:t>dS=δ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ech</m:t>
            </m:r>
          </m:sub>
        </m:sSub>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δQ</m:t>
            </m:r>
          </m:num>
          <m:den>
            <m:r>
              <w:rPr>
                <w:rFonts w:ascii="Cambria Math" w:eastAsiaTheme="minorEastAsia" w:hAnsi="Cambria Math"/>
              </w:rPr>
              <m:t>T</m:t>
            </m:r>
          </m:den>
        </m:f>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m:t>
            </m:r>
          </m:sub>
        </m:sSub>
      </m:oMath>
    </w:p>
    <w:p w:rsidR="00DE4353" w:rsidRDefault="00DE4353" w:rsidP="00DE4353">
      <w:pPr>
        <w:pStyle w:val="Sansinterligne"/>
        <w:rPr>
          <w:rFonts w:eastAsiaTheme="minorEastAsia"/>
        </w:rPr>
      </w:pPr>
    </w:p>
    <w:p w:rsidR="00DE4353" w:rsidRDefault="00DE4353" w:rsidP="00DE4353">
      <w:pPr>
        <w:pStyle w:val="Sansinterligne"/>
        <w:rPr>
          <w:rFonts w:eastAsiaTheme="minorEastAsia"/>
        </w:rPr>
      </w:pPr>
      <w:r>
        <w:rPr>
          <w:rFonts w:eastAsiaTheme="minorEastAsia"/>
        </w:rPr>
        <w:t xml:space="preserve">Donc, </w:t>
      </w:r>
      <m:oMath>
        <m:r>
          <w:rPr>
            <w:rFonts w:ascii="Cambria Math" w:eastAsiaTheme="minorEastAsia" w:hAnsi="Cambria Math"/>
          </w:rPr>
          <m:t>dU=  δW+TdS-Tδ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m:t>
            </m:r>
          </m:sub>
        </m:sSub>
        <m:r>
          <w:rPr>
            <w:rFonts w:ascii="Cambria Math" w:eastAsiaTheme="minorEastAsia" w:hAnsi="Cambria Math"/>
          </w:rPr>
          <m:t>= -PdV+TdS-Tδ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m:t>
            </m:r>
          </m:sub>
        </m:sSub>
      </m:oMath>
      <w:r>
        <w:rPr>
          <w:rFonts w:eastAsiaTheme="minorEastAsia"/>
        </w:rPr>
        <w:t xml:space="preserve"> en considérant uniquement les travaux des forces de pression, c’est qui est souvent le cas pour l’étude de système chimique.</w:t>
      </w:r>
    </w:p>
    <w:p w:rsidR="00DE4353" w:rsidRDefault="00DE4353" w:rsidP="00DE4353">
      <w:pPr>
        <w:pStyle w:val="Sansinterligne"/>
        <w:rPr>
          <w:rFonts w:eastAsiaTheme="minorEastAsia"/>
        </w:rPr>
      </w:pPr>
    </w:p>
    <w:p w:rsidR="0035264D" w:rsidRDefault="0035264D" w:rsidP="00DE4353">
      <w:pPr>
        <w:pStyle w:val="Sansinterligne"/>
        <w:rPr>
          <w:rFonts w:eastAsiaTheme="minorEastAsia"/>
        </w:rPr>
      </w:pPr>
      <m:oMath>
        <m:r>
          <w:rPr>
            <w:rFonts w:ascii="Cambria Math" w:eastAsiaTheme="minorEastAsia" w:hAnsi="Cambria Math"/>
          </w:rPr>
          <m:t>G=U+PV-TS⇒dG= -PdV+TdS-Tδ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m:t>
            </m:r>
          </m:sub>
        </m:sSub>
        <m:r>
          <w:rPr>
            <w:rFonts w:ascii="Cambria Math" w:eastAsiaTheme="minorEastAsia" w:hAnsi="Cambria Math"/>
          </w:rPr>
          <m:t>+PdV+VdP-TdS-SdT= -Tδ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m:t>
            </m:r>
          </m:sub>
        </m:sSub>
      </m:oMath>
      <w:r>
        <w:rPr>
          <w:rFonts w:eastAsiaTheme="minorEastAsia"/>
        </w:rPr>
        <w:t xml:space="preserve"> à pression et température fixées ce qui est le cadre de nos hypothèses.</w:t>
      </w:r>
    </w:p>
    <w:p w:rsidR="0035264D" w:rsidRDefault="0035264D" w:rsidP="00DE4353">
      <w:pPr>
        <w:pStyle w:val="Sansinterligne"/>
        <w:rPr>
          <w:rFonts w:eastAsiaTheme="minorEastAsia"/>
        </w:rPr>
      </w:pPr>
    </w:p>
    <w:p w:rsidR="0035264D" w:rsidRDefault="0035264D" w:rsidP="00DE4353">
      <w:pPr>
        <w:pStyle w:val="Sansinterligne"/>
        <w:rPr>
          <w:rFonts w:eastAsiaTheme="minorEastAsia"/>
        </w:rPr>
      </w:pPr>
      <w:r>
        <w:rPr>
          <w:rFonts w:eastAsiaTheme="minorEastAsia"/>
        </w:rPr>
        <w:t xml:space="preserve">Ainsi, </w:t>
      </w:r>
      <m:oMath>
        <m:r>
          <w:rPr>
            <w:rFonts w:ascii="Cambria Math" w:eastAsiaTheme="minorEastAsia" w:hAnsi="Cambria Math"/>
          </w:rPr>
          <m:t>dG≤0</m:t>
        </m:r>
      </m:oMath>
      <w:r>
        <w:rPr>
          <w:rFonts w:eastAsiaTheme="minorEastAsia"/>
        </w:rPr>
        <w:t>, l’enthalpie libre est donc le potentiel thermodynamique adapté aux transformations isobares et isothermes car elle ne fait que diminuer et est minimale à l’équilibre.</w:t>
      </w:r>
    </w:p>
    <w:p w:rsidR="0035264D" w:rsidRDefault="0035264D" w:rsidP="00DE4353">
      <w:pPr>
        <w:pStyle w:val="Sansinterligne"/>
        <w:rPr>
          <w:rFonts w:eastAsiaTheme="minorEastAsia"/>
        </w:rPr>
      </w:pPr>
    </w:p>
    <w:p w:rsidR="0035264D" w:rsidRDefault="0035264D" w:rsidP="00DE4353">
      <w:pPr>
        <w:pStyle w:val="Sansinterligne"/>
        <w:rPr>
          <w:rFonts w:eastAsiaTheme="minorEastAsia"/>
        </w:rPr>
      </w:pPr>
      <w:r>
        <w:rPr>
          <w:rFonts w:eastAsiaTheme="minorEastAsia"/>
          <w:i/>
          <w:iCs/>
          <w:color w:val="00B0F0"/>
        </w:rPr>
        <w:t xml:space="preserve">Attention, l’enthalpie libre n’est pas réellement le « potentiel thermodynamique ». En effet, le potentiel est défini par une fonction d’état (ici l’enthalpie libre) et les contraintes imposées sur le système (ici </w:t>
      </w:r>
      <m:oMath>
        <m:r>
          <w:rPr>
            <w:rFonts w:ascii="Cambria Math" w:eastAsiaTheme="minorEastAsia" w:hAnsi="Cambria Math"/>
            <w:color w:val="00B0F0"/>
          </w:rPr>
          <m:t>P=</m:t>
        </m:r>
        <m:sSub>
          <m:sSubPr>
            <m:ctrlPr>
              <w:rPr>
                <w:rFonts w:ascii="Cambria Math" w:eastAsiaTheme="minorEastAsia" w:hAnsi="Cambria Math"/>
                <w:i/>
                <w:iCs/>
                <w:color w:val="00B0F0"/>
              </w:rPr>
            </m:ctrlPr>
          </m:sSubPr>
          <m:e>
            <m:r>
              <w:rPr>
                <w:rFonts w:ascii="Cambria Math" w:eastAsiaTheme="minorEastAsia" w:hAnsi="Cambria Math"/>
                <w:color w:val="00B0F0"/>
              </w:rPr>
              <m:t>P</m:t>
            </m:r>
          </m:e>
          <m:sub>
            <m:r>
              <w:rPr>
                <w:rFonts w:ascii="Cambria Math" w:eastAsiaTheme="minorEastAsia" w:hAnsi="Cambria Math"/>
                <w:color w:val="00B0F0"/>
              </w:rPr>
              <m:t>ext</m:t>
            </m:r>
          </m:sub>
        </m:sSub>
        <m:r>
          <w:rPr>
            <w:rFonts w:ascii="Cambria Math" w:eastAsiaTheme="minorEastAsia" w:hAnsi="Cambria Math"/>
            <w:color w:val="00B0F0"/>
          </w:rPr>
          <m:t>et T_</m:t>
        </m:r>
        <m:sSub>
          <m:sSubPr>
            <m:ctrlPr>
              <w:rPr>
                <w:rFonts w:ascii="Cambria Math" w:eastAsiaTheme="minorEastAsia" w:hAnsi="Cambria Math"/>
                <w:i/>
                <w:iCs/>
                <w:color w:val="00B0F0"/>
              </w:rPr>
            </m:ctrlPr>
          </m:sSubPr>
          <m:e>
            <m:r>
              <w:rPr>
                <w:rFonts w:ascii="Cambria Math" w:eastAsiaTheme="minorEastAsia" w:hAnsi="Cambria Math"/>
                <w:color w:val="00B0F0"/>
              </w:rPr>
              <m:t>T</m:t>
            </m:r>
          </m:e>
          <m:sub>
            <m:r>
              <w:rPr>
                <w:rFonts w:ascii="Cambria Math" w:eastAsiaTheme="minorEastAsia" w:hAnsi="Cambria Math"/>
                <w:color w:val="00B0F0"/>
              </w:rPr>
              <m:t>ext</m:t>
            </m:r>
          </m:sub>
        </m:sSub>
        <m:r>
          <w:rPr>
            <w:rFonts w:ascii="Cambria Math" w:eastAsiaTheme="minorEastAsia" w:hAnsi="Cambria Math"/>
            <w:color w:val="00B0F0"/>
          </w:rPr>
          <m:t>)</m:t>
        </m:r>
      </m:oMath>
      <w:r>
        <w:rPr>
          <w:rFonts w:eastAsiaTheme="minorEastAsia"/>
          <w:i/>
          <w:iCs/>
          <w:color w:val="00B0F0"/>
        </w:rPr>
        <w:t>.</w:t>
      </w:r>
      <w:r>
        <w:rPr>
          <w:rFonts w:eastAsiaTheme="minorEastAsia"/>
        </w:rPr>
        <w:t xml:space="preserve"> </w:t>
      </w:r>
    </w:p>
    <w:p w:rsidR="0035264D" w:rsidRDefault="0035264D" w:rsidP="00DE4353">
      <w:pPr>
        <w:pStyle w:val="Sansinterligne"/>
        <w:rPr>
          <w:rFonts w:eastAsiaTheme="minorEastAsia"/>
        </w:rPr>
      </w:pPr>
    </w:p>
    <w:p w:rsidR="0035264D" w:rsidRDefault="0035264D" w:rsidP="00DE4353">
      <w:pPr>
        <w:pStyle w:val="Sansinterligne"/>
        <w:rPr>
          <w:rFonts w:eastAsiaTheme="minorEastAsia"/>
          <w:i/>
          <w:iCs/>
          <w:color w:val="00B0F0"/>
        </w:rPr>
      </w:pPr>
      <w:r>
        <w:rPr>
          <w:rFonts w:eastAsiaTheme="minorEastAsia"/>
          <w:i/>
          <w:iCs/>
          <w:color w:val="00B0F0"/>
        </w:rPr>
        <w:t xml:space="preserve">On peut toujours se ramener à des évolutions isothermes, car on peut toujours décomposer une réaction chimique en deux phases par l’utilisation de cycle de Hess. </w:t>
      </w:r>
    </w:p>
    <w:p w:rsidR="0035264D" w:rsidRDefault="0035264D" w:rsidP="00DE4353">
      <w:pPr>
        <w:pStyle w:val="Sansinterligne"/>
        <w:rPr>
          <w:rFonts w:eastAsiaTheme="minorEastAsia"/>
          <w:i/>
          <w:iCs/>
          <w:color w:val="00B0F0"/>
        </w:rPr>
      </w:pPr>
      <w:r>
        <w:rPr>
          <w:rFonts w:eastAsiaTheme="minorEastAsia"/>
          <w:i/>
          <w:iCs/>
          <w:color w:val="00B0F0"/>
        </w:rPr>
        <w:t xml:space="preserve">Cependant, cette utilisation de cycle de Hess ne se fait pas dans le cadre de réactions chimiques non totales car il est compliqué d’inverser </w:t>
      </w:r>
      <m:oMath>
        <m:sSup>
          <m:sSupPr>
            <m:ctrlPr>
              <w:rPr>
                <w:rFonts w:ascii="Cambria Math" w:eastAsiaTheme="minorEastAsia" w:hAnsi="Cambria Math"/>
                <w:i/>
                <w:iCs/>
                <w:color w:val="00B0F0"/>
              </w:rPr>
            </m:ctrlPr>
          </m:sSupPr>
          <m:e>
            <m:r>
              <w:rPr>
                <w:rFonts w:ascii="Cambria Math" w:eastAsiaTheme="minorEastAsia" w:hAnsi="Cambria Math"/>
                <w:color w:val="00B0F0"/>
              </w:rPr>
              <m:t>K</m:t>
            </m:r>
          </m:e>
          <m:sup>
            <m:r>
              <w:rPr>
                <w:rFonts w:ascii="Cambria Math" w:eastAsiaTheme="minorEastAsia" w:hAnsi="Cambria Math"/>
                <w:color w:val="00B0F0"/>
              </w:rPr>
              <m:t>°</m:t>
            </m:r>
          </m:sup>
        </m:sSup>
        <m:d>
          <m:dPr>
            <m:ctrlPr>
              <w:rPr>
                <w:rFonts w:ascii="Cambria Math" w:eastAsiaTheme="minorEastAsia" w:hAnsi="Cambria Math"/>
                <w:i/>
                <w:iCs/>
                <w:color w:val="00B0F0"/>
              </w:rPr>
            </m:ctrlPr>
          </m:dPr>
          <m:e>
            <m:sSub>
              <m:sSubPr>
                <m:ctrlPr>
                  <w:rPr>
                    <w:rFonts w:ascii="Cambria Math" w:eastAsiaTheme="minorEastAsia" w:hAnsi="Cambria Math"/>
                    <w:i/>
                    <w:iCs/>
                    <w:color w:val="00B0F0"/>
                  </w:rPr>
                </m:ctrlPr>
              </m:sSubPr>
              <m:e>
                <m:r>
                  <w:rPr>
                    <w:rFonts w:ascii="Cambria Math" w:eastAsiaTheme="minorEastAsia" w:hAnsi="Cambria Math"/>
                    <w:color w:val="00B0F0"/>
                  </w:rPr>
                  <m:t>ξ</m:t>
                </m:r>
              </m:e>
              <m:sub>
                <m:r>
                  <w:rPr>
                    <w:rFonts w:ascii="Cambria Math" w:eastAsiaTheme="minorEastAsia" w:hAnsi="Cambria Math"/>
                    <w:color w:val="00B0F0"/>
                  </w:rPr>
                  <m:t>f</m:t>
                </m:r>
              </m:sub>
            </m:sSub>
          </m:e>
        </m:d>
        <m:r>
          <w:rPr>
            <w:rFonts w:ascii="Cambria Math" w:eastAsiaTheme="minorEastAsia" w:hAnsi="Cambria Math"/>
            <w:color w:val="00B0F0"/>
          </w:rPr>
          <m:t>=f(T)</m:t>
        </m:r>
      </m:oMath>
      <w:r>
        <w:rPr>
          <w:rFonts w:eastAsiaTheme="minorEastAsia"/>
          <w:i/>
          <w:iCs/>
          <w:color w:val="00B0F0"/>
        </w:rPr>
        <w:t>.</w:t>
      </w:r>
    </w:p>
    <w:p w:rsidR="0035264D" w:rsidRDefault="0035264D" w:rsidP="00DE4353">
      <w:pPr>
        <w:pStyle w:val="Sansinterligne"/>
        <w:rPr>
          <w:rFonts w:eastAsiaTheme="minorEastAsia"/>
          <w:i/>
          <w:iCs/>
          <w:color w:val="00B0F0"/>
        </w:rPr>
      </w:pPr>
    </w:p>
    <w:p w:rsidR="0035264D" w:rsidRDefault="0035264D" w:rsidP="0035264D">
      <w:pPr>
        <w:pStyle w:val="Sansinterligne"/>
        <w:pBdr>
          <w:left w:val="thinThickSmallGap" w:sz="24" w:space="4" w:color="00B050"/>
        </w:pBdr>
        <w:rPr>
          <w:b/>
          <w:bCs/>
          <w:smallCaps/>
        </w:rPr>
      </w:pPr>
      <w:r>
        <w:rPr>
          <w:b/>
          <w:bCs/>
          <w:smallCaps/>
        </w:rPr>
        <w:t xml:space="preserve">Transition : Maintenant que l’on connait la fonction d’état adaptée à l’étude de systèmes subissant des transformations isotherme et isobare, nous allons appliquer ceci à la transformation chimique et notamment aux différentes quantités de matières. </w:t>
      </w:r>
    </w:p>
    <w:p w:rsidR="0035264D" w:rsidRDefault="0035264D" w:rsidP="0035264D">
      <w:pPr>
        <w:pStyle w:val="Sansinterligne"/>
      </w:pPr>
    </w:p>
    <w:p w:rsidR="0035264D" w:rsidRDefault="007D4220" w:rsidP="0035264D">
      <w:pPr>
        <w:pStyle w:val="Sansinterligne"/>
        <w:numPr>
          <w:ilvl w:val="0"/>
          <w:numId w:val="26"/>
        </w:numPr>
        <w:rPr>
          <w:b/>
          <w:bCs/>
        </w:rPr>
      </w:pPr>
      <w:r>
        <w:rPr>
          <w:b/>
          <w:bCs/>
        </w:rPr>
        <w:t>Critère d’évolution d’un système chimique</w:t>
      </w:r>
    </w:p>
    <w:p w:rsidR="00391AD2" w:rsidRDefault="00391AD2" w:rsidP="00391AD2">
      <w:pPr>
        <w:pStyle w:val="Sansinterligne"/>
        <w:rPr>
          <w:b/>
          <w:bCs/>
        </w:rPr>
      </w:pPr>
      <w:r>
        <w:rPr>
          <w:b/>
          <w:bCs/>
          <w:noProof/>
          <w:lang w:eastAsia="fr-FR"/>
        </w:rPr>
        <w:lastRenderedPageBreak/>
        <w:drawing>
          <wp:inline distT="0" distB="0" distL="0" distR="0">
            <wp:extent cx="5760720" cy="223147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2231476"/>
                    </a:xfrm>
                    <a:prstGeom prst="rect">
                      <a:avLst/>
                    </a:prstGeom>
                    <a:noFill/>
                    <a:ln w="9525">
                      <a:noFill/>
                      <a:miter lim="800000"/>
                      <a:headEnd/>
                      <a:tailEnd/>
                    </a:ln>
                  </pic:spPr>
                </pic:pic>
              </a:graphicData>
            </a:graphic>
          </wp:inline>
        </w:drawing>
      </w:r>
    </w:p>
    <w:p w:rsidR="0035264D" w:rsidRDefault="0035264D" w:rsidP="0035264D">
      <w:pPr>
        <w:pStyle w:val="Sansinterligne"/>
      </w:pPr>
      <w:r>
        <w:t xml:space="preserve">Faire le tableau d’avancement pour la réaction donnée en introduction. </w:t>
      </w:r>
    </w:p>
    <w:tbl>
      <w:tblPr>
        <w:tblStyle w:val="Grilledutableau"/>
        <w:tblW w:w="0" w:type="auto"/>
        <w:tblLook w:val="04A0"/>
      </w:tblPr>
      <w:tblGrid>
        <w:gridCol w:w="2265"/>
        <w:gridCol w:w="2265"/>
        <w:gridCol w:w="2266"/>
        <w:gridCol w:w="2266"/>
      </w:tblGrid>
      <w:tr w:rsidR="00BD020F" w:rsidTr="00BD020F">
        <w:tc>
          <w:tcPr>
            <w:tcW w:w="2265" w:type="dxa"/>
          </w:tcPr>
          <w:p w:rsidR="00BD020F" w:rsidRDefault="00BD020F" w:rsidP="0035264D">
            <w:pPr>
              <w:pStyle w:val="Sansinterligne"/>
            </w:pPr>
          </w:p>
        </w:tc>
        <w:tc>
          <w:tcPr>
            <w:tcW w:w="2265" w:type="dxa"/>
          </w:tcPr>
          <w:p w:rsidR="00BD020F" w:rsidRDefault="00B03C03" w:rsidP="0035264D">
            <w:pPr>
              <w:pStyle w:val="Sansinterligne"/>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4</m:t>
                        </m:r>
                      </m:sub>
                    </m:sSub>
                  </m:e>
                  <m:sub>
                    <m:d>
                      <m:dPr>
                        <m:ctrlPr>
                          <w:rPr>
                            <w:rFonts w:ascii="Cambria Math" w:hAnsi="Cambria Math"/>
                            <w:i/>
                          </w:rPr>
                        </m:ctrlPr>
                      </m:dPr>
                      <m:e>
                        <m:r>
                          <w:rPr>
                            <w:rFonts w:ascii="Cambria Math" w:hAnsi="Cambria Math"/>
                          </w:rPr>
                          <m:t>g</m:t>
                        </m:r>
                      </m:e>
                    </m:d>
                  </m:sub>
                </m:sSub>
              </m:oMath>
            </m:oMathPara>
          </w:p>
        </w:tc>
        <w:tc>
          <w:tcPr>
            <w:tcW w:w="2266" w:type="dxa"/>
          </w:tcPr>
          <w:p w:rsidR="00BD020F" w:rsidRDefault="00BD020F" w:rsidP="0035264D">
            <w:pPr>
              <w:pStyle w:val="Sansinterligne"/>
            </w:pPr>
            <m:oMathPara>
              <m:oMath>
                <m:r>
                  <w:rPr>
                    <w:rFonts w:ascii="Cambria Math" w:hAnsi="Cambria Math"/>
                  </w:rPr>
                  <m:t>=</m:t>
                </m:r>
              </m:oMath>
            </m:oMathPara>
          </w:p>
        </w:tc>
        <w:tc>
          <w:tcPr>
            <w:tcW w:w="2266" w:type="dxa"/>
          </w:tcPr>
          <w:p w:rsidR="00BD020F" w:rsidRDefault="00BD020F" w:rsidP="0035264D">
            <w:pPr>
              <w:pStyle w:val="Sansinterligne"/>
            </w:pPr>
            <m:oMathPara>
              <m:oMath>
                <m:r>
                  <w:rPr>
                    <w:rFonts w:ascii="Cambria Math" w:hAnsi="Cambria Math"/>
                  </w:rPr>
                  <m:t>2N</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e>
                  <m:sub>
                    <m:r>
                      <w:rPr>
                        <w:rFonts w:ascii="Cambria Math" w:hAnsi="Cambria Math"/>
                      </w:rPr>
                      <m:t>(g)</m:t>
                    </m:r>
                  </m:sub>
                </m:sSub>
              </m:oMath>
            </m:oMathPara>
          </w:p>
        </w:tc>
      </w:tr>
      <w:tr w:rsidR="00BD020F" w:rsidTr="00BD020F">
        <w:tc>
          <w:tcPr>
            <w:tcW w:w="2265" w:type="dxa"/>
          </w:tcPr>
          <w:p w:rsidR="00BD020F" w:rsidRDefault="00BD020F" w:rsidP="0035264D">
            <w:pPr>
              <w:pStyle w:val="Sansinterligne"/>
            </w:pPr>
            <w:r>
              <w:t>Etat initial</w:t>
            </w:r>
          </w:p>
        </w:tc>
        <w:tc>
          <w:tcPr>
            <w:tcW w:w="2265" w:type="dxa"/>
          </w:tcPr>
          <w:p w:rsidR="00BD020F" w:rsidRDefault="00B03C03" w:rsidP="0035264D">
            <w:pPr>
              <w:pStyle w:val="Sansinterligne"/>
            </w:pPr>
            <m:oMathPara>
              <m:oMath>
                <m:sSub>
                  <m:sSubPr>
                    <m:ctrlPr>
                      <w:rPr>
                        <w:rFonts w:ascii="Cambria Math" w:hAnsi="Cambria Math"/>
                        <w:i/>
                      </w:rPr>
                    </m:ctrlPr>
                  </m:sSubPr>
                  <m:e>
                    <m:r>
                      <w:rPr>
                        <w:rFonts w:ascii="Cambria Math" w:hAnsi="Cambria Math"/>
                      </w:rPr>
                      <m:t>n</m:t>
                    </m:r>
                  </m:e>
                  <m:sub>
                    <m:r>
                      <w:rPr>
                        <w:rFonts w:ascii="Cambria Math" w:hAnsi="Cambria Math"/>
                      </w:rPr>
                      <m:t>01</m:t>
                    </m:r>
                  </m:sub>
                </m:sSub>
              </m:oMath>
            </m:oMathPara>
          </w:p>
        </w:tc>
        <w:tc>
          <w:tcPr>
            <w:tcW w:w="2266" w:type="dxa"/>
            <w:vMerge w:val="restart"/>
          </w:tcPr>
          <w:p w:rsidR="00BD020F" w:rsidRDefault="00BD020F" w:rsidP="0035264D">
            <w:pPr>
              <w:pStyle w:val="Sansinterligne"/>
            </w:pPr>
          </w:p>
        </w:tc>
        <w:tc>
          <w:tcPr>
            <w:tcW w:w="2266" w:type="dxa"/>
          </w:tcPr>
          <w:p w:rsidR="00BD020F" w:rsidRDefault="00B03C03" w:rsidP="0035264D">
            <w:pPr>
              <w:pStyle w:val="Sansinterligne"/>
            </w:pPr>
            <m:oMathPara>
              <m:oMath>
                <m:sSub>
                  <m:sSubPr>
                    <m:ctrlPr>
                      <w:rPr>
                        <w:rFonts w:ascii="Cambria Math" w:hAnsi="Cambria Math"/>
                        <w:i/>
                      </w:rPr>
                    </m:ctrlPr>
                  </m:sSubPr>
                  <m:e>
                    <m:r>
                      <w:rPr>
                        <w:rFonts w:ascii="Cambria Math" w:hAnsi="Cambria Math"/>
                      </w:rPr>
                      <m:t>n</m:t>
                    </m:r>
                  </m:e>
                  <m:sub>
                    <m:r>
                      <w:rPr>
                        <w:rFonts w:ascii="Cambria Math" w:hAnsi="Cambria Math"/>
                      </w:rPr>
                      <m:t>02</m:t>
                    </m:r>
                  </m:sub>
                </m:sSub>
              </m:oMath>
            </m:oMathPara>
          </w:p>
        </w:tc>
      </w:tr>
      <w:tr w:rsidR="00BD020F" w:rsidTr="00BD020F">
        <w:tc>
          <w:tcPr>
            <w:tcW w:w="2265" w:type="dxa"/>
          </w:tcPr>
          <w:p w:rsidR="00BD020F" w:rsidRDefault="00BD020F" w:rsidP="0035264D">
            <w:pPr>
              <w:pStyle w:val="Sansinterligne"/>
            </w:pPr>
            <w:r>
              <w:t>Etat intermédiaire</w:t>
            </w:r>
          </w:p>
        </w:tc>
        <w:tc>
          <w:tcPr>
            <w:tcW w:w="2265" w:type="dxa"/>
          </w:tcPr>
          <w:p w:rsidR="00BD020F" w:rsidRDefault="00B03C03" w:rsidP="0035264D">
            <w:pPr>
              <w:pStyle w:val="Sansinterligne"/>
            </w:pPr>
            <m:oMathPara>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-ξ</m:t>
                </m:r>
              </m:oMath>
            </m:oMathPara>
          </w:p>
        </w:tc>
        <w:tc>
          <w:tcPr>
            <w:tcW w:w="2266" w:type="dxa"/>
            <w:vMerge/>
          </w:tcPr>
          <w:p w:rsidR="00BD020F" w:rsidRDefault="00BD020F" w:rsidP="0035264D">
            <w:pPr>
              <w:pStyle w:val="Sansinterligne"/>
            </w:pPr>
          </w:p>
        </w:tc>
        <w:tc>
          <w:tcPr>
            <w:tcW w:w="2266" w:type="dxa"/>
          </w:tcPr>
          <w:p w:rsidR="00BD020F" w:rsidRDefault="00B03C03" w:rsidP="0035264D">
            <w:pPr>
              <w:pStyle w:val="Sansinterligne"/>
            </w:pPr>
            <m:oMathPara>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+2ξ</m:t>
                </m:r>
              </m:oMath>
            </m:oMathPara>
          </w:p>
        </w:tc>
      </w:tr>
    </w:tbl>
    <w:p w:rsidR="00BD020F" w:rsidRDefault="00BD020F" w:rsidP="0035264D">
      <w:pPr>
        <w:pStyle w:val="Sansinterligne"/>
      </w:pPr>
    </w:p>
    <w:p w:rsidR="00BD020F" w:rsidRDefault="00BD020F" w:rsidP="0035264D">
      <w:pPr>
        <w:pStyle w:val="Sansinterligne"/>
        <w:rPr>
          <w:rFonts w:eastAsiaTheme="minorEastAsia"/>
        </w:rPr>
      </w:pPr>
      <w:r>
        <w:t xml:space="preserve">À partir de l’identité thermodynamique, </w:t>
      </w:r>
      <m:oMath>
        <m:r>
          <w:rPr>
            <w:rFonts w:ascii="Cambria Math" w:hAnsi="Cambria Math"/>
          </w:rPr>
          <m:t xml:space="preserve">dU=TdS-PdV+ </m:t>
        </m:r>
        <m:nary>
          <m:naryPr>
            <m:chr m:val="∑"/>
            <m:limLoc m:val="undOvr"/>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e>
        </m:nary>
      </m:oMath>
    </w:p>
    <w:p w:rsidR="00BD020F" w:rsidRDefault="00BD020F" w:rsidP="0035264D">
      <w:pPr>
        <w:pStyle w:val="Sansinterligne"/>
        <w:rPr>
          <w:rFonts w:eastAsiaTheme="minorEastAsia"/>
        </w:rPr>
      </w:pPr>
      <w:r>
        <w:rPr>
          <w:rFonts w:eastAsiaTheme="minorEastAsia"/>
        </w:rPr>
        <w:t xml:space="preserve">On montre que </w:t>
      </w:r>
      <m:oMath>
        <m:r>
          <w:rPr>
            <w:rFonts w:ascii="Cambria Math" w:eastAsiaTheme="minorEastAsia" w:hAnsi="Cambria Math"/>
          </w:rPr>
          <m:t xml:space="preserve">dG=VdP-SdT+ </m:t>
        </m:r>
        <m:nary>
          <m:naryPr>
            <m:chr m:val="∑"/>
            <m:limLoc m:val="subSup"/>
            <m:supHide m:val="on"/>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nary>
        <m:r>
          <w:rPr>
            <w:rFonts w:ascii="Cambria Math" w:eastAsiaTheme="minorEastAsia" w:hAnsi="Cambria Math"/>
          </w:rPr>
          <m:t>=</m:t>
        </m:r>
        <m:nary>
          <m:naryPr>
            <m:chr m:val="∑"/>
            <m:supHide m:val="on"/>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nary>
      </m:oMath>
      <w:r>
        <w:rPr>
          <w:rFonts w:eastAsiaTheme="minorEastAsia"/>
        </w:rPr>
        <w:t xml:space="preserve"> à température et pression fixées.</w:t>
      </w:r>
    </w:p>
    <w:p w:rsidR="00BD020F" w:rsidRDefault="00BD020F" w:rsidP="0035264D">
      <w:pPr>
        <w:pStyle w:val="Sansinterligne"/>
        <w:rPr>
          <w:rFonts w:eastAsiaTheme="minorEastAsia"/>
        </w:rPr>
      </w:pPr>
    </w:p>
    <w:p w:rsidR="00BD020F" w:rsidRDefault="00BD020F" w:rsidP="0035264D">
      <w:pPr>
        <w:pStyle w:val="Sansinterligne"/>
        <w:rPr>
          <w:rFonts w:eastAsiaTheme="minorEastAsia"/>
        </w:rPr>
      </w:pPr>
      <w:r>
        <w:rPr>
          <w:rFonts w:eastAsiaTheme="minorEastAsia"/>
        </w:rPr>
        <w:t xml:space="preserve">Or, d’après le tableau d’avancement, on constate que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r>
          <w:rPr>
            <w:rFonts w:ascii="Cambria Math" w:eastAsiaTheme="minorEastAsia" w:hAnsi="Cambria Math"/>
          </w:rPr>
          <m:t>ξ</m:t>
        </m:r>
      </m:oMath>
      <w:r>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oMath>
      <w:r>
        <w:rPr>
          <w:rFonts w:eastAsiaTheme="minorEastAsia"/>
        </w:rPr>
        <w:t xml:space="preserve"> est le coefficient stœchiométrique algébrique associé à chaque élément de la réaction (négatif pour les réactifs et positif pour les produits). Ainsi,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r>
          <w:rPr>
            <w:rFonts w:ascii="Cambria Math" w:eastAsiaTheme="minorEastAsia" w:hAnsi="Cambria Math"/>
          </w:rPr>
          <m:t>dξ</m:t>
        </m:r>
      </m:oMath>
      <w:r>
        <w:rPr>
          <w:rFonts w:eastAsiaTheme="minorEastAsia"/>
        </w:rPr>
        <w:t>.</w:t>
      </w:r>
    </w:p>
    <w:p w:rsidR="00BD020F" w:rsidRDefault="00BD020F" w:rsidP="0035264D">
      <w:pPr>
        <w:pStyle w:val="Sansinterligne"/>
        <w:rPr>
          <w:rFonts w:eastAsiaTheme="minorEastAsia"/>
        </w:rPr>
      </w:pPr>
    </w:p>
    <w:p w:rsidR="00BD020F" w:rsidRDefault="00BD020F" w:rsidP="0035264D">
      <w:pPr>
        <w:pStyle w:val="Sansinterligne"/>
        <w:rPr>
          <w:rFonts w:eastAsiaTheme="minorEastAsia"/>
        </w:rPr>
      </w:pPr>
      <w:r>
        <w:rPr>
          <w:rFonts w:eastAsiaTheme="minorEastAsia"/>
        </w:rPr>
        <w:t xml:space="preserve">De plus, </w:t>
      </w:r>
      <m:oMath>
        <m:r>
          <w:rPr>
            <w:rFonts w:ascii="Cambria Math" w:eastAsiaTheme="minorEastAsia" w:hAnsi="Cambria Math"/>
          </w:rPr>
          <m:t>dG</m:t>
        </m:r>
        <m:d>
          <m:dPr>
            <m:ctrlPr>
              <w:rPr>
                <w:rFonts w:ascii="Cambria Math" w:eastAsiaTheme="minorEastAsia" w:hAnsi="Cambria Math"/>
                <w:i/>
              </w:rPr>
            </m:ctrlPr>
          </m:dPr>
          <m:e>
            <m:r>
              <w:rPr>
                <w:rFonts w:ascii="Cambria Math" w:eastAsiaTheme="minorEastAsia" w:hAnsi="Cambria Math"/>
              </w:rPr>
              <m:t>T,P,ξ</m:t>
            </m:r>
          </m:e>
        </m:d>
        <m:r>
          <w:rPr>
            <w:rFonts w:ascii="Cambria Math" w:eastAsiaTheme="minorEastAsia" w:hAnsi="Cambria Math"/>
          </w:rPr>
          <m:t xml:space="preserve">= </m:t>
        </m:r>
        <w:bookmarkStart w:id="0" w:name="OLE_LINK1"/>
        <w:bookmarkStart w:id="1" w:name="OLE_LINK2"/>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∂T</m:t>
                    </m:r>
                  </m:den>
                </m:f>
              </m:e>
            </m:d>
          </m:e>
          <m:sub>
            <m:r>
              <w:rPr>
                <w:rFonts w:ascii="Cambria Math" w:eastAsiaTheme="minorEastAsia" w:hAnsi="Cambria Math"/>
              </w:rPr>
              <m:t>P,ξ</m:t>
            </m:r>
          </m:sub>
        </m:sSub>
        <m:r>
          <w:rPr>
            <w:rFonts w:ascii="Cambria Math" w:eastAsiaTheme="minorEastAsia" w:hAnsi="Cambria Math"/>
          </w:rPr>
          <m:t>dT</m:t>
        </m:r>
        <w:bookmarkEnd w:id="0"/>
        <w:bookmarkEnd w:id="1"/>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∂P</m:t>
                    </m:r>
                  </m:den>
                </m:f>
              </m:e>
            </m:d>
          </m:e>
          <m:sub>
            <m:r>
              <w:rPr>
                <w:rFonts w:ascii="Cambria Math" w:eastAsiaTheme="minorEastAsia" w:hAnsi="Cambria Math"/>
              </w:rPr>
              <m:t>T,ξ</m:t>
            </m:r>
          </m:sub>
        </m:sSub>
        <m:r>
          <w:rPr>
            <w:rFonts w:ascii="Cambria Math" w:eastAsiaTheme="minorEastAsia" w:hAnsi="Cambria Math"/>
          </w:rPr>
          <m:t xml:space="preserve">dP+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∂ξ</m:t>
                    </m:r>
                  </m:den>
                </m:f>
              </m:e>
            </m:d>
          </m:e>
          <m:sub>
            <m:r>
              <w:rPr>
                <w:rFonts w:ascii="Cambria Math" w:eastAsiaTheme="minorEastAsia" w:hAnsi="Cambria Math"/>
              </w:rPr>
              <m:t>T,P</m:t>
            </m:r>
          </m:sub>
        </m:sSub>
        <m:r>
          <w:rPr>
            <w:rFonts w:ascii="Cambria Math" w:eastAsiaTheme="minorEastAsia" w:hAnsi="Cambria Math"/>
          </w:rPr>
          <m:t>dξ=</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G dξ</m:t>
        </m:r>
      </m:oMath>
      <w:r>
        <w:rPr>
          <w:rFonts w:eastAsiaTheme="minorEastAsia"/>
        </w:rPr>
        <w:t xml:space="preserve"> à température et pression fixées.</w:t>
      </w:r>
    </w:p>
    <w:p w:rsidR="00BD020F" w:rsidRDefault="00BD020F" w:rsidP="0035264D">
      <w:pPr>
        <w:pStyle w:val="Sansinterligne"/>
        <w:rPr>
          <w:rFonts w:eastAsiaTheme="minorEastAsia"/>
        </w:rPr>
      </w:pPr>
    </w:p>
    <w:p w:rsidR="007D4220" w:rsidRDefault="007D4220" w:rsidP="0035264D">
      <w:pPr>
        <w:pStyle w:val="Sansinterligne"/>
        <w:rPr>
          <w:rFonts w:eastAsiaTheme="minorEastAsia"/>
          <w:color w:val="FF0000"/>
        </w:rPr>
      </w:pPr>
      <w:r>
        <w:rPr>
          <w:rFonts w:eastAsiaTheme="minorEastAsia"/>
        </w:rPr>
        <w:t xml:space="preserve">D’après le résultat de la partie précédente, </w:t>
      </w:r>
      <m:oMath>
        <m:r>
          <w:rPr>
            <w:rFonts w:ascii="Cambria Math" w:eastAsiaTheme="minorEastAsia" w:hAnsi="Cambria Math"/>
          </w:rPr>
          <m:t xml:space="preserve">dG≤0⇒  </m:t>
        </m:r>
        <m:sSub>
          <m:sSubPr>
            <m:ctrlPr>
              <w:rPr>
                <w:rFonts w:ascii="Cambria Math" w:eastAsiaTheme="minorEastAsia" w:hAnsi="Cambria Math"/>
                <w:i/>
                <w:color w:val="FF0000"/>
              </w:rPr>
            </m:ctrlPr>
          </m:sSubPr>
          <m:e>
            <m:r>
              <m:rPr>
                <m:sty m:val="p"/>
              </m:rPr>
              <w:rPr>
                <w:rFonts w:ascii="Cambria Math" w:eastAsiaTheme="minorEastAsia" w:hAnsi="Cambria Math"/>
                <w:color w:val="FF0000"/>
              </w:rPr>
              <m:t>Δ</m:t>
            </m:r>
          </m:e>
          <m:sub>
            <m:r>
              <w:rPr>
                <w:rFonts w:ascii="Cambria Math" w:eastAsiaTheme="minorEastAsia" w:hAnsi="Cambria Math"/>
                <w:color w:val="FF0000"/>
              </w:rPr>
              <m:t>r</m:t>
            </m:r>
          </m:sub>
        </m:sSub>
        <m:r>
          <w:rPr>
            <w:rFonts w:ascii="Cambria Math" w:eastAsiaTheme="minorEastAsia" w:hAnsi="Cambria Math"/>
            <w:color w:val="FF0000"/>
          </w:rPr>
          <m:t>G</m:t>
        </m:r>
        <m:r>
          <w:rPr>
            <w:rFonts w:ascii="Cambria Math" w:eastAsiaTheme="minorEastAsia" w:hAnsi="Cambria Math"/>
            <w:color w:val="FF0000"/>
          </w:rPr>
          <m:t>dξ≤0</m:t>
        </m:r>
      </m:oMath>
      <w:r>
        <w:rPr>
          <w:rFonts w:eastAsiaTheme="minorEastAsia"/>
          <w:color w:val="FF0000"/>
        </w:rPr>
        <w:t>.</w:t>
      </w:r>
    </w:p>
    <w:p w:rsidR="007D4220" w:rsidRDefault="007D4220" w:rsidP="0035264D">
      <w:pPr>
        <w:pStyle w:val="Sansinterligne"/>
        <w:rPr>
          <w:rFonts w:eastAsiaTheme="minorEastAsia"/>
          <w:color w:val="FF0000"/>
        </w:rPr>
      </w:pPr>
    </w:p>
    <w:p w:rsidR="007D4220" w:rsidRDefault="007D4220" w:rsidP="007D4220">
      <w:pPr>
        <w:pStyle w:val="Sansinterligne"/>
      </w:pPr>
      <w:r>
        <w:t xml:space="preserve">Ainsi, </w:t>
      </w:r>
    </w:p>
    <w:p w:rsidR="007D4220" w:rsidRDefault="007D4220" w:rsidP="007D4220">
      <w:pPr>
        <w:pStyle w:val="Sansinterligne"/>
        <w:ind w:firstLine="708"/>
        <w:rPr>
          <w:rFonts w:eastAsiaTheme="minorEastAsia"/>
        </w:rPr>
      </w:pPr>
      <w:r>
        <w:t xml:space="preserve">si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r>
          <w:rPr>
            <w:rFonts w:ascii="Cambria Math" w:hAnsi="Cambria Math"/>
          </w:rPr>
          <m:t>G&lt;0, dξ&gt;0, réaction chimique dans le sens direct</m:t>
        </m:r>
      </m:oMath>
    </w:p>
    <w:p w:rsidR="007D4220" w:rsidRDefault="007D4220" w:rsidP="007D4220">
      <w:pPr>
        <w:pStyle w:val="Sansinterligne"/>
        <w:ind w:firstLine="708"/>
        <w:rPr>
          <w:rFonts w:eastAsiaTheme="minorEastAsia"/>
        </w:rPr>
      </w:pPr>
      <w:r>
        <w:t xml:space="preserve">si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r>
          <w:rPr>
            <w:rFonts w:ascii="Cambria Math" w:hAnsi="Cambria Math"/>
          </w:rPr>
          <m:t>G&gt;0, dξ&lt;0, réaction chimique dans le sens indirect</m:t>
        </m:r>
      </m:oMath>
    </w:p>
    <w:p w:rsidR="007D4220" w:rsidRDefault="007D4220" w:rsidP="007D4220">
      <w:pPr>
        <w:pStyle w:val="Sansinterligne"/>
        <w:ind w:firstLine="708"/>
        <w:rPr>
          <w:rFonts w:eastAsiaTheme="minorEastAsia"/>
        </w:rPr>
      </w:pPr>
      <w:r>
        <w:t xml:space="preserve">si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r>
          <w:rPr>
            <w:rFonts w:ascii="Cambria Math" w:hAnsi="Cambria Math"/>
          </w:rPr>
          <m:t>G=0, dξ=0, équilibre chimique</m:t>
        </m:r>
      </m:oMath>
    </w:p>
    <w:p w:rsidR="007D4220" w:rsidRDefault="007D4220" w:rsidP="007D4220">
      <w:pPr>
        <w:pStyle w:val="Sansinterligne"/>
        <w:rPr>
          <w:rFonts w:eastAsiaTheme="minorEastAsia"/>
        </w:rPr>
      </w:pPr>
    </w:p>
    <w:p w:rsidR="007D4220" w:rsidRPr="007D4220" w:rsidRDefault="007D4220" w:rsidP="007D4220">
      <w:pPr>
        <w:pStyle w:val="Sansinterligne"/>
        <w:pBdr>
          <w:left w:val="thinThickSmallGap" w:sz="24" w:space="4" w:color="00B050"/>
        </w:pBdr>
        <w:rPr>
          <w:rFonts w:eastAsiaTheme="minorEastAsia"/>
          <w:b/>
          <w:bCs/>
          <w:smallCaps/>
        </w:rPr>
      </w:pPr>
      <w:r>
        <w:rPr>
          <w:rFonts w:eastAsiaTheme="minorEastAsia"/>
          <w:b/>
          <w:bCs/>
          <w:smallCaps/>
        </w:rPr>
        <w:t>Transition : Ainsi l’enthalpie libre nous permet de connaitre l’évolution d’un système chimique. Pouvons-nous tirer des informations supplémentaires de cette fonction ?</w:t>
      </w:r>
    </w:p>
    <w:p w:rsidR="006B401D" w:rsidRDefault="006B401D" w:rsidP="006B401D">
      <w:pPr>
        <w:pStyle w:val="Sansinterligne"/>
        <w:ind w:left="1080"/>
        <w:rPr>
          <w:b/>
          <w:bCs/>
        </w:rPr>
      </w:pPr>
    </w:p>
    <w:p w:rsidR="007D4220" w:rsidRDefault="007D4220" w:rsidP="007D4220">
      <w:pPr>
        <w:pStyle w:val="Sansinterligne"/>
        <w:numPr>
          <w:ilvl w:val="0"/>
          <w:numId w:val="26"/>
        </w:numPr>
        <w:rPr>
          <w:b/>
          <w:bCs/>
        </w:rPr>
      </w:pPr>
      <w:r>
        <w:rPr>
          <w:b/>
          <w:bCs/>
        </w:rPr>
        <w:t>Caractérisation de l’équilibre </w:t>
      </w:r>
    </w:p>
    <w:p w:rsidR="007D4220" w:rsidRDefault="007D4220" w:rsidP="007D4220">
      <w:pPr>
        <w:pStyle w:val="Sansinterligne"/>
        <w:rPr>
          <w:b/>
          <w:bCs/>
        </w:rPr>
      </w:pPr>
    </w:p>
    <w:p w:rsidR="007D4220" w:rsidRPr="007D4220" w:rsidRDefault="007D4220" w:rsidP="007D4220">
      <w:pPr>
        <w:pStyle w:val="Sansinterligne"/>
        <w:rPr>
          <w:rFonts w:eastAsiaTheme="minorEastAsia"/>
        </w:rPr>
      </w:pPr>
      <w:r>
        <w:t xml:space="preserve">On a établi : </w:t>
      </w:r>
      <m:oMath>
        <m:r>
          <w:rPr>
            <w:rFonts w:ascii="Cambria Math" w:hAnsi="Cambria Math"/>
          </w:rPr>
          <m:t xml:space="preserve">dG= </m:t>
        </m:r>
        <m:nary>
          <m:naryPr>
            <m:chr m:val="∑"/>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nary>
              <m:naryPr>
                <m:chr m:val="∑"/>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dξ</m:t>
                </m:r>
              </m:e>
            </m:nary>
          </m:e>
        </m:nary>
        <m:r>
          <w:rPr>
            <w:rFonts w:ascii="Cambria Math" w:hAnsi="Cambria Math"/>
          </w:rPr>
          <m:t>=</m:t>
        </m:r>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r>
          <w:rPr>
            <w:rFonts w:ascii="Cambria Math" w:hAnsi="Cambria Math"/>
          </w:rPr>
          <m:t>Gdξ</m:t>
        </m:r>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G=</m:t>
        </m:r>
        <m:nary>
          <m:naryPr>
            <m:chr m:val="∑"/>
            <m:supHide m:val="on"/>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nary>
      </m:oMath>
    </w:p>
    <w:p w:rsidR="007D4220" w:rsidRDefault="007D4220" w:rsidP="007D4220">
      <w:pPr>
        <w:pStyle w:val="Sansinterligne"/>
        <w:rPr>
          <w:rFonts w:eastAsiaTheme="minorEastAsia"/>
        </w:rPr>
      </w:pPr>
    </w:p>
    <w:p w:rsidR="007D4220" w:rsidRDefault="007D4220" w:rsidP="007D4220">
      <w:pPr>
        <w:pStyle w:val="Sansinterligne"/>
        <w:rPr>
          <w:rFonts w:eastAsiaTheme="minorEastAsia"/>
        </w:rPr>
      </w:pPr>
      <w:r>
        <w:rPr>
          <w:rFonts w:eastAsiaTheme="minorEastAsia"/>
        </w:rPr>
        <w:t xml:space="preserve">Or, on peut montrer que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+RT</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func>
        <m:r>
          <w:rPr>
            <w:rFonts w:ascii="Cambria Math" w:eastAsiaTheme="minorEastAsia" w:hAnsi="Cambria Math"/>
          </w:rPr>
          <m:t xml:space="preserve"> </m:t>
        </m:r>
      </m:oMath>
      <w:r>
        <w:rPr>
          <w:rFonts w:eastAsiaTheme="minorEastAsia"/>
        </w:rPr>
        <w:t>comme étant le potentiel chimique de l’espèce i</w:t>
      </w:r>
    </w:p>
    <w:p w:rsidR="00897F55" w:rsidRDefault="00897F55" w:rsidP="007D4220">
      <w:pPr>
        <w:pStyle w:val="Sansinterligne"/>
        <w:rPr>
          <w:rFonts w:eastAsiaTheme="minorEastAsia"/>
          <w:i/>
          <w:iCs/>
          <w:color w:val="00B0F0"/>
        </w:rPr>
      </w:pPr>
      <w:r>
        <w:rPr>
          <w:rFonts w:eastAsiaTheme="minorEastAsia"/>
          <w:i/>
          <w:iCs/>
          <w:color w:val="00B0F0"/>
        </w:rPr>
        <w:t>On pourra lire à profit le diapo</w:t>
      </w:r>
      <w:r w:rsidR="00996E7B">
        <w:rPr>
          <w:rFonts w:eastAsiaTheme="minorEastAsia"/>
          <w:i/>
          <w:iCs/>
          <w:color w:val="00B0F0"/>
        </w:rPr>
        <w:t>rama</w:t>
      </w:r>
      <w:r>
        <w:rPr>
          <w:rFonts w:eastAsiaTheme="minorEastAsia"/>
          <w:i/>
          <w:iCs/>
          <w:color w:val="00B0F0"/>
        </w:rPr>
        <w:t xml:space="preserve"> sur les potentiels chimiques du cours de thermochimie. </w:t>
      </w:r>
    </w:p>
    <w:p w:rsidR="00996E7B" w:rsidRDefault="00996E7B" w:rsidP="007D4220">
      <w:pPr>
        <w:pStyle w:val="Sansinterligne"/>
        <w:rPr>
          <w:rFonts w:eastAsiaTheme="minorEastAsia"/>
          <w:i/>
          <w:iCs/>
          <w:color w:val="00B0F0"/>
        </w:rPr>
      </w:pPr>
    </w:p>
    <w:p w:rsidR="00996E7B" w:rsidRDefault="00996E7B" w:rsidP="00996E7B">
      <w:pPr>
        <w:pStyle w:val="Sansinterligne"/>
        <w:rPr>
          <w:rFonts w:eastAsiaTheme="minorEastAsia"/>
        </w:rPr>
      </w:pPr>
      <w:r>
        <w:t xml:space="preserve">Ainsi,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r>
          <w:rPr>
            <w:rFonts w:ascii="Cambria Math" w:hAnsi="Cambria Math"/>
          </w:rPr>
          <m:t>G=</m:t>
        </m:r>
        <m:nary>
          <m:naryPr>
            <m:chr m:val="∑"/>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ν</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r>
                  <w:rPr>
                    <w:rFonts w:ascii="Cambria Math" w:hAnsi="Cambria Math"/>
                  </w:rPr>
                  <m:t>+RT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a</m:t>
                        </m:r>
                      </m:e>
                      <m:sub>
                        <m:r>
                          <w:rPr>
                            <w:rFonts w:ascii="Cambria Math" w:hAnsi="Cambria Math"/>
                          </w:rPr>
                          <m:t>i</m:t>
                        </m:r>
                      </m:sub>
                    </m:sSub>
                  </m:e>
                </m:func>
              </m:e>
            </m:d>
            <m:r>
              <w:rPr>
                <w:rFonts w:ascii="Cambria Math" w:hAnsi="Cambria Math"/>
              </w:rPr>
              <m:t xml:space="preserve">= </m:t>
            </m:r>
            <m:nary>
              <m:naryPr>
                <m:chr m:val="∑"/>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ν</m:t>
                    </m:r>
                  </m:e>
                  <m:sub>
                    <m:r>
                      <w:rPr>
                        <w:rFonts w:ascii="Cambria Math" w:hAnsi="Cambria Math"/>
                      </w:rPr>
                      <m:t>i</m:t>
                    </m:r>
                  </m:sub>
                </m:sSub>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r>
                  <w:rPr>
                    <w:rFonts w:ascii="Cambria Math" w:hAnsi="Cambria Math"/>
                  </w:rPr>
                  <m:t xml:space="preserve">+RT </m:t>
                </m:r>
                <m:nary>
                  <m:naryPr>
                    <m:chr m:val="∑"/>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ν</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=Δ</m:t>
                            </m:r>
                          </m:e>
                          <m:sub>
                            <m:r>
                              <w:rPr>
                                <w:rFonts w:ascii="Cambria Math" w:hAnsi="Cambria Math"/>
                              </w:rPr>
                              <m:t>r</m:t>
                            </m:r>
                          </m:sub>
                        </m:s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+RT   </m:t>
                        </m:r>
                        <m:nary>
                          <m:naryPr>
                            <m:chr m:val="∑"/>
                            <m:supHide m:val="on"/>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ln</m:t>
                                </m:r>
                              </m:fName>
                              <m:e>
                                <m:sSubSup>
                                  <m:sSubSupPr>
                                    <m:ctrlPr>
                                      <w:rPr>
                                        <w:rFonts w:ascii="Cambria Math" w:hAnsi="Cambria Math"/>
                                        <w:i/>
                                      </w:rPr>
                                    </m:ctrlPr>
                                  </m:sSubSupPr>
                                  <m:e>
                                    <m:r>
                                      <w:rPr>
                                        <w:rFonts w:ascii="Cambria Math" w:hAnsi="Cambria Math"/>
                                      </w:rPr>
                                      <m:t>a</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e>
                            </m:func>
                          </m:e>
                        </m:nary>
                      </m:e>
                    </m:func>
                  </m:e>
                </m:nary>
              </m:e>
            </m:nary>
          </m:e>
        </m:nary>
      </m:oMath>
    </w:p>
    <w:p w:rsidR="004F3430" w:rsidRPr="004F3430" w:rsidRDefault="00B03C03" w:rsidP="00501513">
      <w:pPr>
        <w:pStyle w:val="Sansinterligne"/>
        <w:jc w:val="center"/>
        <w:rPr>
          <w:color w:val="FF0000"/>
        </w:rPr>
      </w:pPr>
      <m:oMath>
        <m:sSub>
          <m:sSubPr>
            <m:ctrlPr>
              <w:rPr>
                <w:rFonts w:ascii="Cambria Math" w:hAnsi="Cambria Math"/>
                <w:i/>
                <w:color w:val="FF0000"/>
              </w:rPr>
            </m:ctrlPr>
          </m:sSubPr>
          <m:e>
            <m:r>
              <m:rPr>
                <m:sty m:val="p"/>
              </m:rPr>
              <w:rPr>
                <w:rFonts w:ascii="Cambria Math" w:hAnsi="Cambria Math"/>
                <w:color w:val="FF0000"/>
              </w:rPr>
              <m:t>Δ</m:t>
            </m:r>
            <m:ctrlPr>
              <w:rPr>
                <w:rFonts w:ascii="Cambria Math" w:hAnsi="Cambria Math"/>
                <w:color w:val="FF0000"/>
              </w:rPr>
            </m:ctrlPr>
          </m:e>
          <m:sub>
            <m:r>
              <w:rPr>
                <w:rFonts w:ascii="Cambria Math" w:hAnsi="Cambria Math"/>
                <w:color w:val="FF0000"/>
              </w:rPr>
              <m:t>r</m:t>
            </m:r>
          </m:sub>
        </m:sSub>
        <m:r>
          <w:rPr>
            <w:rFonts w:ascii="Cambria Math" w:hAnsi="Cambria Math"/>
            <w:color w:val="FF0000"/>
          </w:rPr>
          <m:t xml:space="preserve">G= </m:t>
        </m:r>
        <m:sSub>
          <m:sSubPr>
            <m:ctrlPr>
              <w:rPr>
                <w:rFonts w:ascii="Cambria Math" w:hAnsi="Cambria Math"/>
                <w:i/>
                <w:color w:val="FF0000"/>
              </w:rPr>
            </m:ctrlPr>
          </m:sSubPr>
          <m:e>
            <m:r>
              <m:rPr>
                <m:sty m:val="p"/>
              </m:rPr>
              <w:rPr>
                <w:rFonts w:ascii="Cambria Math" w:hAnsi="Cambria Math"/>
                <w:color w:val="FF0000"/>
              </w:rPr>
              <m:t>Δ</m:t>
            </m:r>
          </m:e>
          <m:sub>
            <m:r>
              <w:rPr>
                <w:rFonts w:ascii="Cambria Math" w:hAnsi="Cambria Math"/>
                <w:color w:val="FF0000"/>
              </w:rPr>
              <m:t>r</m:t>
            </m:r>
          </m:sub>
        </m:sSub>
        <m:sSup>
          <m:sSupPr>
            <m:ctrlPr>
              <w:rPr>
                <w:rFonts w:ascii="Cambria Math" w:hAnsi="Cambria Math"/>
                <w:i/>
                <w:color w:val="FF0000"/>
              </w:rPr>
            </m:ctrlPr>
          </m:sSupPr>
          <m:e>
            <m:r>
              <w:rPr>
                <w:rFonts w:ascii="Cambria Math" w:hAnsi="Cambria Math"/>
                <w:color w:val="FF0000"/>
              </w:rPr>
              <m:t>G</m:t>
            </m:r>
          </m:e>
          <m:sup>
            <m:r>
              <w:rPr>
                <w:rFonts w:ascii="Cambria Math" w:hAnsi="Cambria Math"/>
                <w:color w:val="FF0000"/>
              </w:rPr>
              <m:t>°</m:t>
            </m:r>
          </m:sup>
        </m:sSup>
        <m:r>
          <w:rPr>
            <w:rFonts w:ascii="Cambria Math" w:hAnsi="Cambria Math"/>
            <w:color w:val="FF0000"/>
          </w:rPr>
          <m:t>+RT</m:t>
        </m:r>
        <m:func>
          <m:funcPr>
            <m:ctrlPr>
              <w:rPr>
                <w:rFonts w:ascii="Cambria Math" w:hAnsi="Cambria Math"/>
                <w:i/>
                <w:color w:val="FF0000"/>
              </w:rPr>
            </m:ctrlPr>
          </m:funcPr>
          <m:fName>
            <m:r>
              <m:rPr>
                <m:sty m:val="p"/>
              </m:rPr>
              <w:rPr>
                <w:rFonts w:ascii="Cambria Math" w:hAnsi="Cambria Math"/>
                <w:color w:val="FF0000"/>
              </w:rPr>
              <m:t>ln</m:t>
            </m:r>
          </m:fName>
          <m:e>
            <m:nary>
              <m:naryPr>
                <m:chr m:val="∏"/>
                <m:limLoc m:val="subSup"/>
                <m:supHide m:val="on"/>
                <m:ctrlPr>
                  <w:rPr>
                    <w:rFonts w:ascii="Cambria Math" w:hAnsi="Cambria Math"/>
                    <w:i/>
                    <w:color w:val="FF0000"/>
                  </w:rPr>
                </m:ctrlPr>
              </m:naryPr>
              <m:sub>
                <m:r>
                  <w:rPr>
                    <w:rFonts w:ascii="Cambria Math" w:hAnsi="Cambria Math"/>
                    <w:color w:val="FF0000"/>
                  </w:rPr>
                  <m:t>i</m:t>
                </m:r>
              </m:sub>
              <m:sup/>
              <m:e>
                <m:sSubSup>
                  <m:sSubSupPr>
                    <m:ctrlPr>
                      <w:rPr>
                        <w:rFonts w:ascii="Cambria Math" w:hAnsi="Cambria Math"/>
                        <w:i/>
                        <w:color w:val="FF0000"/>
                      </w:rPr>
                    </m:ctrlPr>
                  </m:sSubSupPr>
                  <m:e>
                    <m:r>
                      <w:rPr>
                        <w:rFonts w:ascii="Cambria Math" w:hAnsi="Cambria Math"/>
                        <w:color w:val="FF0000"/>
                      </w:rPr>
                      <m:t>a</m:t>
                    </m:r>
                  </m:e>
                  <m:sub>
                    <m:r>
                      <w:rPr>
                        <w:rFonts w:ascii="Cambria Math" w:hAnsi="Cambria Math"/>
                        <w:color w:val="FF0000"/>
                      </w:rPr>
                      <m:t>i</m:t>
                    </m:r>
                  </m:sub>
                  <m:sup>
                    <m:sSub>
                      <m:sSubPr>
                        <m:ctrlPr>
                          <w:rPr>
                            <w:rFonts w:ascii="Cambria Math" w:hAnsi="Cambria Math"/>
                            <w:i/>
                            <w:color w:val="FF0000"/>
                          </w:rPr>
                        </m:ctrlPr>
                      </m:sSubPr>
                      <m:e>
                        <m:r>
                          <w:rPr>
                            <w:rFonts w:ascii="Cambria Math" w:hAnsi="Cambria Math"/>
                            <w:color w:val="FF0000"/>
                          </w:rPr>
                          <m:t>ν</m:t>
                        </m:r>
                      </m:e>
                      <m:sub>
                        <m:r>
                          <w:rPr>
                            <w:rFonts w:ascii="Cambria Math" w:hAnsi="Cambria Math"/>
                            <w:color w:val="FF0000"/>
                          </w:rPr>
                          <m:t>i</m:t>
                        </m:r>
                      </m:sub>
                    </m:sSub>
                  </m:sup>
                </m:sSubSup>
              </m:e>
            </m:nary>
          </m:e>
        </m:func>
        <m:r>
          <w:rPr>
            <w:rFonts w:ascii="Cambria Math" w:hAnsi="Cambria Math"/>
            <w:color w:val="FF0000"/>
          </w:rPr>
          <m:t>=</m:t>
        </m:r>
        <m:sSub>
          <m:sSubPr>
            <m:ctrlPr>
              <w:rPr>
                <w:rFonts w:ascii="Cambria Math" w:hAnsi="Cambria Math"/>
                <w:i/>
                <w:color w:val="FF0000"/>
              </w:rPr>
            </m:ctrlPr>
          </m:sSubPr>
          <m:e>
            <m:r>
              <m:rPr>
                <m:sty m:val="p"/>
              </m:rPr>
              <w:rPr>
                <w:rFonts w:ascii="Cambria Math" w:hAnsi="Cambria Math"/>
                <w:color w:val="FF0000"/>
              </w:rPr>
              <m:t>Δ</m:t>
            </m:r>
            <m:ctrlPr>
              <w:rPr>
                <w:rFonts w:ascii="Cambria Math" w:hAnsi="Cambria Math"/>
                <w:color w:val="FF0000"/>
              </w:rPr>
            </m:ctrlPr>
          </m:e>
          <m:sub>
            <m:r>
              <w:rPr>
                <w:rFonts w:ascii="Cambria Math" w:hAnsi="Cambria Math"/>
                <w:color w:val="FF0000"/>
              </w:rPr>
              <m:t>r</m:t>
            </m:r>
          </m:sub>
        </m:sSub>
        <m:sSup>
          <m:sSupPr>
            <m:ctrlPr>
              <w:rPr>
                <w:rFonts w:ascii="Cambria Math" w:hAnsi="Cambria Math"/>
                <w:i/>
                <w:color w:val="FF0000"/>
              </w:rPr>
            </m:ctrlPr>
          </m:sSupPr>
          <m:e>
            <m:r>
              <w:rPr>
                <w:rFonts w:ascii="Cambria Math" w:hAnsi="Cambria Math"/>
                <w:color w:val="FF0000"/>
              </w:rPr>
              <m:t>G</m:t>
            </m:r>
          </m:e>
          <m:sup>
            <m:r>
              <w:rPr>
                <w:rFonts w:ascii="Cambria Math" w:hAnsi="Cambria Math"/>
                <w:color w:val="FF0000"/>
              </w:rPr>
              <m:t>°</m:t>
            </m:r>
          </m:sup>
        </m:sSup>
        <m:r>
          <w:rPr>
            <w:rFonts w:ascii="Cambria Math" w:hAnsi="Cambria Math"/>
            <w:color w:val="FF0000"/>
          </w:rPr>
          <m:t>+RT</m:t>
        </m:r>
        <m:func>
          <m:funcPr>
            <m:ctrlPr>
              <w:rPr>
                <w:rFonts w:ascii="Cambria Math" w:hAnsi="Cambria Math"/>
                <w:i/>
                <w:color w:val="FF0000"/>
              </w:rPr>
            </m:ctrlPr>
          </m:funcPr>
          <m:fName>
            <m:r>
              <m:rPr>
                <m:sty m:val="p"/>
              </m:rPr>
              <w:rPr>
                <w:rFonts w:ascii="Cambria Math" w:hAnsi="Cambria Math"/>
                <w:color w:val="FF0000"/>
              </w:rPr>
              <m:t>ln</m:t>
            </m:r>
          </m:fName>
          <m:e>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r</m:t>
                </m:r>
              </m:sub>
            </m:sSub>
          </m:e>
        </m:func>
        <m:r>
          <w:rPr>
            <w:rFonts w:ascii="Cambria Math" w:eastAsiaTheme="minorEastAsia" w:hAnsi="Cambria Math"/>
            <w:color w:val="FF0000"/>
          </w:rPr>
          <m:t xml:space="preserve">, </m:t>
        </m:r>
        <m:sSub>
          <m:sSubPr>
            <m:ctrlPr>
              <w:rPr>
                <w:rFonts w:ascii="Cambria Math" w:eastAsiaTheme="minorEastAsia" w:hAnsi="Cambria Math"/>
                <w:i/>
                <w:color w:val="FF0000"/>
              </w:rPr>
            </m:ctrlPr>
          </m:sSubPr>
          <m:e>
            <m:r>
              <w:rPr>
                <w:rFonts w:ascii="Cambria Math" w:eastAsiaTheme="minorEastAsia" w:hAnsi="Cambria Math"/>
                <w:color w:val="FF0000"/>
              </w:rPr>
              <m:t>Q</m:t>
            </m:r>
          </m:e>
          <m:sub>
            <m:r>
              <w:rPr>
                <w:rFonts w:ascii="Cambria Math" w:eastAsiaTheme="minorEastAsia" w:hAnsi="Cambria Math"/>
                <w:color w:val="FF0000"/>
              </w:rPr>
              <m:t>r</m:t>
            </m:r>
          </m:sub>
        </m:sSub>
      </m:oMath>
      <w:r w:rsidR="00501513">
        <w:rPr>
          <w:rFonts w:eastAsiaTheme="minorEastAsia"/>
          <w:color w:val="FF0000"/>
        </w:rPr>
        <w:t xml:space="preserve"> étant le quotient de réaction</w:t>
      </w:r>
    </w:p>
    <w:p w:rsidR="007D4220" w:rsidRDefault="007D4220" w:rsidP="0035264D">
      <w:pPr>
        <w:pStyle w:val="Sansinterligne"/>
        <w:rPr>
          <w:rFonts w:eastAsiaTheme="minorEastAsia"/>
        </w:rPr>
      </w:pPr>
      <w:r>
        <w:rPr>
          <w:rFonts w:eastAsiaTheme="minorEastAsia"/>
        </w:rPr>
        <w:tab/>
      </w:r>
    </w:p>
    <w:p w:rsidR="004F3430" w:rsidRDefault="004F3430" w:rsidP="004F3430">
      <w:pPr>
        <w:pStyle w:val="Sansinterligne"/>
        <w:rPr>
          <w:rFonts w:eastAsiaTheme="minorEastAsia"/>
          <w:color w:val="FF0000"/>
        </w:rPr>
      </w:pPr>
      <w:r>
        <w:t xml:space="preserve">À l’équilibre,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r>
          <w:rPr>
            <w:rFonts w:ascii="Cambria Math" w:hAnsi="Cambria Math"/>
          </w:rPr>
          <m:t xml:space="preserve">G=0 et </m:t>
        </m:r>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eastAsiaTheme="minorEastAsia" w:hAnsi="Cambria Math"/>
          </w:rPr>
          <m:t>⇒</m:t>
        </m:r>
        <m:sSup>
          <m:sSupPr>
            <m:ctrlPr>
              <w:rPr>
                <w:rFonts w:ascii="Cambria Math" w:eastAsiaTheme="minorEastAsia" w:hAnsi="Cambria Math"/>
                <w:i/>
                <w:color w:val="FF0000"/>
              </w:rPr>
            </m:ctrlPr>
          </m:sSupPr>
          <m:e>
            <m:r>
              <w:rPr>
                <w:rFonts w:ascii="Cambria Math" w:eastAsiaTheme="minorEastAsia" w:hAnsi="Cambria Math"/>
                <w:color w:val="FF0000"/>
              </w:rPr>
              <m:t>K</m:t>
            </m:r>
          </m:e>
          <m:sup>
            <m:r>
              <w:rPr>
                <w:rFonts w:ascii="Cambria Math" w:eastAsiaTheme="minorEastAsia" w:hAnsi="Cambria Math"/>
                <w:color w:val="FF0000"/>
              </w:rPr>
              <m:t>°</m:t>
            </m:r>
          </m:sup>
        </m:sSup>
        <m:r>
          <w:rPr>
            <w:rFonts w:ascii="Cambria Math" w:eastAsiaTheme="minorEastAsia" w:hAnsi="Cambria Math"/>
            <w:color w:val="FF0000"/>
          </w:rPr>
          <m:t>=</m:t>
        </m:r>
        <m:func>
          <m:funcPr>
            <m:ctrlPr>
              <w:rPr>
                <w:rFonts w:ascii="Cambria Math" w:eastAsiaTheme="minorEastAsia" w:hAnsi="Cambria Math"/>
                <w:i/>
                <w:color w:val="FF0000"/>
              </w:rPr>
            </m:ctrlPr>
          </m:funcPr>
          <m:fName>
            <m:r>
              <m:rPr>
                <m:sty m:val="p"/>
              </m:rPr>
              <w:rPr>
                <w:rFonts w:ascii="Cambria Math" w:eastAsiaTheme="minorEastAsia" w:hAnsi="Cambria Math"/>
                <w:color w:val="FF0000"/>
              </w:rPr>
              <m:t>exp</m:t>
            </m:r>
          </m:fName>
          <m:e>
            <m:d>
              <m:dPr>
                <m:ctrlPr>
                  <w:rPr>
                    <w:rFonts w:ascii="Cambria Math" w:eastAsiaTheme="minorEastAsia" w:hAnsi="Cambria Math"/>
                    <w:i/>
                    <w:color w:val="FF0000"/>
                  </w:rPr>
                </m:ctrlPr>
              </m:dPr>
              <m:e>
                <m:r>
                  <w:rPr>
                    <w:rFonts w:ascii="Cambria Math" w:eastAsiaTheme="minorEastAsia" w:hAnsi="Cambria Math"/>
                    <w:color w:val="FF0000"/>
                  </w:rPr>
                  <m:t>-</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m:rPr>
                            <m:sty m:val="p"/>
                          </m:rPr>
                          <w:rPr>
                            <w:rFonts w:ascii="Cambria Math" w:eastAsiaTheme="minorEastAsia" w:hAnsi="Cambria Math"/>
                            <w:color w:val="FF0000"/>
                          </w:rPr>
                          <m:t>Δ</m:t>
                        </m:r>
                        <m:ctrlPr>
                          <w:rPr>
                            <w:rFonts w:ascii="Cambria Math" w:eastAsiaTheme="minorEastAsia" w:hAnsi="Cambria Math"/>
                            <w:color w:val="FF0000"/>
                          </w:rPr>
                        </m:ctrlPr>
                      </m:e>
                      <m:sub>
                        <m:r>
                          <w:rPr>
                            <w:rFonts w:ascii="Cambria Math" w:eastAsiaTheme="minorEastAsia" w:hAnsi="Cambria Math"/>
                            <w:color w:val="FF0000"/>
                          </w:rPr>
                          <m:t>r</m:t>
                        </m:r>
                      </m:sub>
                    </m:sSub>
                    <m:sSup>
                      <m:sSupPr>
                        <m:ctrlPr>
                          <w:rPr>
                            <w:rFonts w:ascii="Cambria Math" w:eastAsiaTheme="minorEastAsia" w:hAnsi="Cambria Math"/>
                            <w:i/>
                            <w:color w:val="FF0000"/>
                          </w:rPr>
                        </m:ctrlPr>
                      </m:sSupPr>
                      <m:e>
                        <m:r>
                          <w:rPr>
                            <w:rFonts w:ascii="Cambria Math" w:eastAsiaTheme="minorEastAsia" w:hAnsi="Cambria Math"/>
                            <w:color w:val="FF0000"/>
                          </w:rPr>
                          <m:t>G</m:t>
                        </m:r>
                      </m:e>
                      <m:sup>
                        <m:r>
                          <w:rPr>
                            <w:rFonts w:ascii="Cambria Math" w:eastAsiaTheme="minorEastAsia" w:hAnsi="Cambria Math"/>
                            <w:color w:val="FF0000"/>
                          </w:rPr>
                          <m:t>°</m:t>
                        </m:r>
                      </m:sup>
                    </m:sSup>
                  </m:num>
                  <m:den>
                    <m:r>
                      <w:rPr>
                        <w:rFonts w:ascii="Cambria Math" w:eastAsiaTheme="minorEastAsia" w:hAnsi="Cambria Math"/>
                        <w:color w:val="FF0000"/>
                      </w:rPr>
                      <m:t>RT</m:t>
                    </m:r>
                  </m:den>
                </m:f>
              </m:e>
            </m:d>
          </m:e>
        </m:func>
      </m:oMath>
    </w:p>
    <w:p w:rsidR="004F3430" w:rsidRDefault="004F3430" w:rsidP="004F3430">
      <w:pPr>
        <w:pStyle w:val="Sansinterligne"/>
      </w:pPr>
      <w:r>
        <w:t xml:space="preserve">Ainsi, </w:t>
      </w:r>
    </w:p>
    <w:p w:rsidR="004F3430" w:rsidRDefault="004F3430" w:rsidP="004F3430">
      <w:pPr>
        <w:pStyle w:val="Sansinterligne"/>
        <w:ind w:firstLine="708"/>
        <w:rPr>
          <w:rFonts w:eastAsiaTheme="minorEastAsia"/>
        </w:rPr>
      </w:pPr>
      <w:r>
        <w:lastRenderedPageBreak/>
        <w:t xml:space="preserve">si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&gt;0, </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&lt;1</m:t>
        </m:r>
      </m:oMath>
      <w:r>
        <w:rPr>
          <w:rFonts w:eastAsiaTheme="minorEastAsia"/>
        </w:rPr>
        <w:t xml:space="preserve"> et l’équilibre est en faveur des réactifs.</w:t>
      </w:r>
    </w:p>
    <w:p w:rsidR="00CE1C25" w:rsidRDefault="004F3430" w:rsidP="00CE1C25">
      <w:pPr>
        <w:pStyle w:val="Sansinterligne"/>
        <w:ind w:firstLine="708"/>
        <w:rPr>
          <w:rFonts w:eastAsiaTheme="minorEastAsia"/>
        </w:rPr>
      </w:pPr>
      <w:proofErr w:type="gramStart"/>
      <w:r>
        <w:rPr>
          <w:rFonts w:eastAsiaTheme="minorEastAsia"/>
        </w:rPr>
        <w:t>si</w:t>
      </w:r>
      <w:proofErr w:type="gramEnd"/>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 xml:space="preserve">&lt;0,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&gt;1</m:t>
        </m:r>
      </m:oMath>
      <w:r>
        <w:rPr>
          <w:rFonts w:eastAsiaTheme="minorEastAsia"/>
        </w:rPr>
        <w:t xml:space="preserve"> et l’équilibre est en faveur des produits.</w:t>
      </w:r>
      <w:r w:rsidR="00CE1C25">
        <w:rPr>
          <w:rFonts w:eastAsiaTheme="minorEastAsia"/>
          <w:noProof/>
          <w:lang w:eastAsia="fr-FR"/>
        </w:rPr>
        <w:drawing>
          <wp:inline distT="0" distB="0" distL="0" distR="0">
            <wp:extent cx="5760720" cy="1753315"/>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760720" cy="1753315"/>
                    </a:xfrm>
                    <a:prstGeom prst="rect">
                      <a:avLst/>
                    </a:prstGeom>
                    <a:noFill/>
                    <a:ln w="9525">
                      <a:noFill/>
                      <a:miter lim="800000"/>
                      <a:headEnd/>
                      <a:tailEnd/>
                    </a:ln>
                  </pic:spPr>
                </pic:pic>
              </a:graphicData>
            </a:graphic>
          </wp:inline>
        </w:drawing>
      </w:r>
    </w:p>
    <w:p w:rsidR="004F3430" w:rsidRDefault="004F3430" w:rsidP="004F3430">
      <w:pPr>
        <w:pStyle w:val="Sansinterligne"/>
      </w:pPr>
    </w:p>
    <w:p w:rsidR="004F3430" w:rsidRPr="00501513" w:rsidRDefault="004F3430" w:rsidP="005E0DFF">
      <w:pPr>
        <w:pStyle w:val="Sansinterligne"/>
        <w:pBdr>
          <w:left w:val="thinThickSmallGap" w:sz="24" w:space="4" w:color="FFC000"/>
        </w:pBdr>
        <w:rPr>
          <w:color w:val="7030A0"/>
        </w:rPr>
      </w:pPr>
      <w:r>
        <w:rPr>
          <w:u w:val="single"/>
        </w:rPr>
        <w:t xml:space="preserve">Mesure du </w:t>
      </w:r>
      <w:proofErr w:type="spellStart"/>
      <w:r>
        <w:rPr>
          <w:u w:val="single"/>
        </w:rPr>
        <w:t>pKa</w:t>
      </w:r>
      <w:proofErr w:type="spellEnd"/>
      <w:r>
        <w:rPr>
          <w:u w:val="single"/>
        </w:rPr>
        <w:t xml:space="preserve"> de l’acide acétique :</w:t>
      </w:r>
      <w:r w:rsidR="00501513">
        <w:t xml:space="preserve"> </w:t>
      </w:r>
      <w:r w:rsidR="00501513">
        <w:rPr>
          <w:color w:val="7030A0"/>
        </w:rPr>
        <w:t>(Diapo)</w:t>
      </w:r>
    </w:p>
    <w:p w:rsidR="004F3430" w:rsidRDefault="004F3430" w:rsidP="005E0DFF">
      <w:pPr>
        <w:pStyle w:val="Sansinterligne"/>
        <w:pBdr>
          <w:left w:val="thinThickSmallGap" w:sz="24" w:space="4" w:color="FFC000"/>
        </w:pBdr>
        <w:rPr>
          <w:rFonts w:eastAsiaTheme="minorEastAsia"/>
        </w:rPr>
      </w:pPr>
      <w:r>
        <w:tab/>
        <w:t xml:space="preserve">Préparer une solution à </w:t>
      </w:r>
      <m:oMath>
        <m:sSup>
          <m:sSupPr>
            <m:ctrlPr>
              <w:rPr>
                <w:rFonts w:ascii="Cambria Math" w:hAnsi="Cambria Math"/>
                <w:i/>
              </w:rPr>
            </m:ctrlPr>
          </m:sSupPr>
          <m:e>
            <m:r>
              <w:rPr>
                <w:rFonts w:ascii="Cambria Math" w:hAnsi="Cambria Math"/>
              </w:rPr>
              <m:t>1.10</m:t>
            </m:r>
          </m:e>
          <m:sup>
            <m:r>
              <w:rPr>
                <w:rFonts w:ascii="Cambria Math" w:hAnsi="Cambria Math"/>
              </w:rPr>
              <m:t>-2</m:t>
            </m:r>
          </m:sup>
        </m:sSup>
        <m:r>
          <w:rPr>
            <w:rFonts w:ascii="Cambria Math" w:hAnsi="Cambria Math"/>
          </w:rPr>
          <m:t>mol.</m:t>
        </m:r>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 d’acide éthanoïque.</w:t>
      </w:r>
      <w:r w:rsidR="00021E90">
        <w:rPr>
          <w:rFonts w:eastAsiaTheme="minorEastAsia"/>
        </w:rPr>
        <w:t xml:space="preserve"> (peut être la préparer face jury)</w:t>
      </w:r>
    </w:p>
    <w:p w:rsidR="004F3430" w:rsidRDefault="004F3430" w:rsidP="005E0DFF">
      <w:pPr>
        <w:pStyle w:val="Sansinterligne"/>
        <w:pBdr>
          <w:left w:val="thinThickSmallGap" w:sz="24" w:space="4" w:color="FFC000"/>
        </w:pBdr>
        <w:rPr>
          <w:rFonts w:eastAsiaTheme="minorEastAsia"/>
        </w:rPr>
      </w:pPr>
      <w:r>
        <w:rPr>
          <w:rFonts w:eastAsiaTheme="minorEastAsia"/>
        </w:rPr>
        <w:tab/>
      </w:r>
      <w:r w:rsidR="00501513">
        <w:rPr>
          <w:rFonts w:eastAsiaTheme="minorEastAsia"/>
        </w:rPr>
        <w:t>Mesurer le pH de la solution à partir d’un pH-mètre étalonné</w:t>
      </w:r>
      <w:r w:rsidR="00260AB1">
        <w:rPr>
          <w:rFonts w:eastAsiaTheme="minorEastAsia"/>
        </w:rPr>
        <w:t xml:space="preserve"> (en préparation)</w:t>
      </w:r>
    </w:p>
    <w:p w:rsidR="00501513" w:rsidRDefault="00501513" w:rsidP="005E0DFF">
      <w:pPr>
        <w:pStyle w:val="Sansinterligne"/>
        <w:pBdr>
          <w:left w:val="thinThickSmallGap" w:sz="24" w:space="4" w:color="FFC000"/>
        </w:pBdr>
        <w:rPr>
          <w:rFonts w:eastAsiaTheme="minorEastAsia"/>
        </w:rPr>
      </w:pPr>
      <w:r>
        <w:rPr>
          <w:rFonts w:eastAsiaTheme="minorEastAsia"/>
        </w:rPr>
        <w:tab/>
        <w:t xml:space="preserve">Remonter au </w:t>
      </w:r>
      <w:proofErr w:type="spellStart"/>
      <w:r>
        <w:rPr>
          <w:rFonts w:eastAsiaTheme="minorEastAsia"/>
        </w:rPr>
        <w:t>pKa</w:t>
      </w:r>
      <w:proofErr w:type="spellEnd"/>
      <w:r>
        <w:rPr>
          <w:rFonts w:eastAsiaTheme="minorEastAsia"/>
        </w:rPr>
        <w:t xml:space="preserve"> par la formule</w:t>
      </w:r>
    </w:p>
    <w:p w:rsidR="005E0DFF" w:rsidRDefault="005E0DFF" w:rsidP="005E0DFF">
      <w:pPr>
        <w:pStyle w:val="Sansinterligne"/>
        <w:pBdr>
          <w:left w:val="thinThickSmallGap" w:sz="24" w:space="4" w:color="FFC000"/>
        </w:pBdr>
        <w:rPr>
          <w:rFonts w:eastAsiaTheme="minorEastAsia"/>
        </w:rPr>
      </w:pPr>
      <w:r>
        <w:rPr>
          <w:rFonts w:eastAsiaTheme="minorEastAsia"/>
        </w:rPr>
        <w:tab/>
        <w:t xml:space="preserve">On s’attend à un </w:t>
      </w:r>
      <w:proofErr w:type="spellStart"/>
      <w:r>
        <w:rPr>
          <w:rFonts w:eastAsiaTheme="minorEastAsia"/>
        </w:rPr>
        <w:t>pKa</w:t>
      </w:r>
      <w:proofErr w:type="spellEnd"/>
      <w:r>
        <w:rPr>
          <w:rFonts w:eastAsiaTheme="minorEastAsia"/>
        </w:rPr>
        <w:t xml:space="preserve"> autour de 4,8</w:t>
      </w:r>
    </w:p>
    <w:p w:rsidR="00F62685" w:rsidRDefault="00F62685" w:rsidP="005E0DFF">
      <w:pPr>
        <w:pStyle w:val="Sansinterligne"/>
        <w:pBdr>
          <w:left w:val="thinThickSmallGap" w:sz="24" w:space="4" w:color="FFC000"/>
        </w:pBdr>
        <w:rPr>
          <w:rFonts w:eastAsiaTheme="minorEastAsia"/>
        </w:rPr>
      </w:pPr>
      <w:r>
        <w:rPr>
          <w:rFonts w:eastAsiaTheme="minorEastAsia"/>
        </w:rPr>
        <w:tab/>
      </w:r>
      <w:hyperlink r:id="rId13" w:history="1">
        <w:r>
          <w:rPr>
            <w:rStyle w:val="Lienhypertexte"/>
          </w:rPr>
          <w:t>http://culturesciences.chimie.ens.fr/content/fiche-sur-la-mesure-dun-ph-914</w:t>
        </w:r>
      </w:hyperlink>
      <w:r>
        <w:t xml:space="preserve"> (mesure du pH pour une solution acide/acétate).</w:t>
      </w:r>
    </w:p>
    <w:p w:rsidR="00501513" w:rsidRDefault="00CE1C25" w:rsidP="004F3430">
      <w:pPr>
        <w:pStyle w:val="Sansinterligne"/>
        <w:rPr>
          <w:rFonts w:eastAsiaTheme="minorEastAsia"/>
        </w:rPr>
      </w:pPr>
      <w:r>
        <w:rPr>
          <w:rFonts w:eastAsiaTheme="minorEastAsia"/>
          <w:noProof/>
          <w:lang w:eastAsia="fr-FR"/>
        </w:rPr>
        <w:drawing>
          <wp:inline distT="0" distB="0" distL="0" distR="0">
            <wp:extent cx="5760720" cy="1669940"/>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60720" cy="1669940"/>
                    </a:xfrm>
                    <a:prstGeom prst="rect">
                      <a:avLst/>
                    </a:prstGeom>
                    <a:noFill/>
                    <a:ln w="9525">
                      <a:noFill/>
                      <a:miter lim="800000"/>
                      <a:headEnd/>
                      <a:tailEnd/>
                    </a:ln>
                  </pic:spPr>
                </pic:pic>
              </a:graphicData>
            </a:graphic>
          </wp:inline>
        </w:drawing>
      </w:r>
    </w:p>
    <w:p w:rsidR="00501513" w:rsidRPr="00501513" w:rsidRDefault="00501513" w:rsidP="00501513">
      <w:pPr>
        <w:pStyle w:val="Sansinterligne"/>
        <w:pBdr>
          <w:left w:val="thinThickSmallGap" w:sz="24" w:space="4" w:color="00B050"/>
        </w:pBdr>
        <w:rPr>
          <w:rFonts w:eastAsiaTheme="minorEastAsia"/>
          <w:b/>
          <w:bCs/>
          <w:smallCaps/>
        </w:rPr>
      </w:pPr>
      <w:r>
        <w:rPr>
          <w:rFonts w:eastAsiaTheme="minorEastAsia"/>
          <w:b/>
          <w:bCs/>
          <w:smallCaps/>
        </w:rPr>
        <w:t xml:space="preserve">Transition : Nous avons vu que l’enthalpie libre de réaction nous renseigne sur l’évolution du système chimique et que l’enthalpie libre standard nous renseigne sur la composition de l’équilibre chimique via la constante de réaction. Quels paramètres peuvent influencer la composition du système chimique à l’équilibre : les activités des espèces jouent un rôle. </w:t>
      </w:r>
    </w:p>
    <w:p w:rsidR="004F3430" w:rsidRDefault="004F3430" w:rsidP="004F3430">
      <w:pPr>
        <w:pStyle w:val="Sansinterligne"/>
      </w:pPr>
    </w:p>
    <w:p w:rsidR="00501513" w:rsidRDefault="00501513" w:rsidP="00501513">
      <w:pPr>
        <w:pStyle w:val="Sansinterligne"/>
        <w:numPr>
          <w:ilvl w:val="0"/>
          <w:numId w:val="25"/>
        </w:numPr>
        <w:rPr>
          <w:b/>
          <w:bCs/>
          <w:u w:val="single"/>
        </w:rPr>
      </w:pPr>
      <w:r>
        <w:rPr>
          <w:b/>
          <w:bCs/>
          <w:u w:val="single"/>
        </w:rPr>
        <w:t>Composition du système à l’équilibre</w:t>
      </w:r>
    </w:p>
    <w:p w:rsidR="00501513" w:rsidRDefault="00501513" w:rsidP="00501513">
      <w:pPr>
        <w:pStyle w:val="Sansinterligne"/>
        <w:numPr>
          <w:ilvl w:val="0"/>
          <w:numId w:val="27"/>
        </w:numPr>
        <w:rPr>
          <w:b/>
          <w:bCs/>
        </w:rPr>
      </w:pPr>
      <w:r>
        <w:rPr>
          <w:b/>
          <w:bCs/>
        </w:rPr>
        <w:t>Effet de la température</w:t>
      </w:r>
    </w:p>
    <w:p w:rsidR="00501513" w:rsidRDefault="00501513" w:rsidP="00501513">
      <w:pPr>
        <w:pStyle w:val="Sansinterligne"/>
        <w:rPr>
          <w:b/>
          <w:bCs/>
        </w:rPr>
      </w:pPr>
    </w:p>
    <w:p w:rsidR="00501513" w:rsidRDefault="00501513" w:rsidP="00501513">
      <w:pPr>
        <w:pStyle w:val="Sansinterligne"/>
        <w:pBdr>
          <w:left w:val="thinThickSmallGap" w:sz="24" w:space="4" w:color="FFC000"/>
        </w:pBdr>
        <w:rPr>
          <w:u w:val="single"/>
        </w:rPr>
      </w:pPr>
      <w:r>
        <w:rPr>
          <w:u w:val="single"/>
        </w:rPr>
        <w:t>Retour sur l’expérience du gaz roux :</w:t>
      </w:r>
    </w:p>
    <w:p w:rsidR="00501513" w:rsidRDefault="00501513" w:rsidP="00501513">
      <w:pPr>
        <w:pStyle w:val="Sansinterligne"/>
        <w:pBdr>
          <w:left w:val="thinThickSmallGap" w:sz="24" w:space="4" w:color="FFC000"/>
        </w:pBdr>
      </w:pPr>
      <w:r>
        <w:tab/>
        <w:t>On a bien vu que la température a un effet sur l’équilibre de cette réaction puisqu’il y a une différence de coloration et donc une quantité différente de dioxyde d’azote dans le système.</w:t>
      </w:r>
    </w:p>
    <w:p w:rsidR="00501513" w:rsidRDefault="00501513" w:rsidP="00501513">
      <w:pPr>
        <w:pStyle w:val="Sansinterligne"/>
      </w:pPr>
    </w:p>
    <w:p w:rsidR="00501513" w:rsidRDefault="00501513" w:rsidP="00501513">
      <w:pPr>
        <w:pStyle w:val="Sansinterligne"/>
        <w:pBdr>
          <w:left w:val="thinThickSmallGap" w:sz="24" w:space="4" w:color="FF0000"/>
        </w:pBdr>
      </w:pPr>
      <w:r>
        <w:t>Une autre manip possible si elle fonctionne est la quantification du produit de solubilité de PbI</w:t>
      </w:r>
      <w:r>
        <w:rPr>
          <w:vertAlign w:val="subscript"/>
        </w:rPr>
        <w:t>2</w:t>
      </w:r>
      <w:r>
        <w:t xml:space="preserve"> par conductimétrie</w:t>
      </w:r>
      <w:r w:rsidR="00020F2C">
        <w:t xml:space="preserve"> pour remonter si possible la relation de </w:t>
      </w:r>
      <w:proofErr w:type="spellStart"/>
      <w:r w:rsidR="00020F2C">
        <w:t>van’t</w:t>
      </w:r>
      <w:proofErr w:type="spellEnd"/>
      <w:r w:rsidR="00020F2C">
        <w:t xml:space="preserve"> </w:t>
      </w:r>
      <w:proofErr w:type="spellStart"/>
      <w:r w:rsidR="00020F2C">
        <w:t>Hoff</w:t>
      </w:r>
      <w:proofErr w:type="spellEnd"/>
      <w:r w:rsidR="00020F2C">
        <w:rPr>
          <w:rStyle w:val="Appelnotedebasdep"/>
        </w:rPr>
        <w:footnoteReference w:id="1"/>
      </w:r>
      <w:r>
        <w:t xml:space="preserve"> (</w:t>
      </w:r>
      <w:proofErr w:type="spellStart"/>
      <w:r>
        <w:t>cf</w:t>
      </w:r>
      <w:proofErr w:type="spellEnd"/>
      <w:r>
        <w:t xml:space="preserve"> leçon 20)</w:t>
      </w:r>
    </w:p>
    <w:p w:rsidR="00B56DF0" w:rsidRDefault="00B56DF0" w:rsidP="00501513">
      <w:pPr>
        <w:pStyle w:val="Sansinterligne"/>
        <w:pBdr>
          <w:left w:val="thinThickSmallGap" w:sz="24" w:space="4" w:color="FF0000"/>
        </w:pBdr>
      </w:pPr>
    </w:p>
    <w:p w:rsidR="00B56DF0" w:rsidRDefault="00B56DF0" w:rsidP="00501513">
      <w:pPr>
        <w:pStyle w:val="Sansinterligne"/>
        <w:pBdr>
          <w:left w:val="thinThickSmallGap" w:sz="24" w:space="4" w:color="FF0000"/>
        </w:pBdr>
      </w:pPr>
      <w:r>
        <w:t>Encore une autre manip possible serait l’étude de K(T) pour l’acide benzoïque (plan de Jules/Alexandra).</w:t>
      </w:r>
    </w:p>
    <w:p w:rsidR="00501513" w:rsidRDefault="00501513" w:rsidP="00501513">
      <w:pPr>
        <w:pStyle w:val="Sansinterligne"/>
      </w:pPr>
    </w:p>
    <w:p w:rsidR="00501513" w:rsidRDefault="00020F2C" w:rsidP="00501513">
      <w:pPr>
        <w:pStyle w:val="Sansinterligne"/>
        <w:rPr>
          <w:rFonts w:eastAsiaTheme="minorEastAsia"/>
        </w:rPr>
      </w:pPr>
      <w:r w:rsidRPr="00020F2C">
        <w:t xml:space="preserve">On a: </w:t>
      </w:r>
      <m:oMath>
        <m:func>
          <m:funcPr>
            <m:ctrlPr>
              <w:rPr>
                <w:rFonts w:ascii="Cambria Math" w:hAnsi="Cambria Math"/>
                <w:i/>
              </w:rPr>
            </m:ctrlPr>
          </m:funcPr>
          <m:fName>
            <m:r>
              <m:rPr>
                <m:sty m:val="p"/>
              </m:rPr>
              <w:rPr>
                <w:rFonts w:ascii="Cambria Math" w:hAnsi="Cambria Math"/>
              </w:rPr>
              <m:t>ln</m:t>
            </m:r>
          </m:fName>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G</m:t>
                    </m:r>
                  </m:e>
                  <m:sup>
                    <m:r>
                      <w:rPr>
                        <w:rFonts w:ascii="Cambria Math" w:hAnsi="Cambria Math"/>
                      </w:rPr>
                      <m:t>°</m:t>
                    </m:r>
                  </m:sup>
                </m:sSup>
              </m:num>
              <m:den>
                <m:r>
                  <w:rPr>
                    <w:rFonts w:ascii="Cambria Math" w:hAnsi="Cambria Math"/>
                  </w:rPr>
                  <m:t>RT</m:t>
                </m:r>
              </m:den>
            </m:f>
          </m:e>
        </m:func>
      </m:oMath>
      <w:r w:rsidRPr="00020F2C">
        <w:rPr>
          <w:rFonts w:eastAsiaTheme="minorEastAsia"/>
        </w:rPr>
        <w:t xml:space="preserve"> et</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(T)-T</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(T)</m:t>
        </m:r>
      </m:oMath>
      <w:r>
        <w:rPr>
          <w:rFonts w:eastAsiaTheme="minorEastAsia"/>
        </w:rPr>
        <w:t xml:space="preserve"> par définition de G.</w:t>
      </w:r>
    </w:p>
    <w:p w:rsidR="00020F2C" w:rsidRDefault="00020F2C" w:rsidP="00501513">
      <w:pPr>
        <w:pStyle w:val="Sansinterligne"/>
        <w:rPr>
          <w:rFonts w:eastAsiaTheme="minorEastAsia"/>
        </w:rPr>
      </w:pPr>
    </w:p>
    <w:p w:rsidR="00020F2C" w:rsidRDefault="00020F2C" w:rsidP="00501513">
      <w:pPr>
        <w:pStyle w:val="Sansinterligne"/>
        <w:rPr>
          <w:rFonts w:eastAsiaTheme="minorEastAsia"/>
        </w:rPr>
      </w:pPr>
      <w:r w:rsidRPr="00020F2C">
        <w:rPr>
          <w:rFonts w:eastAsiaTheme="minorEastAsia"/>
        </w:rPr>
        <w:t>Approximation d’</w:t>
      </w:r>
      <w:proofErr w:type="spellStart"/>
      <w:r w:rsidRPr="00020F2C">
        <w:rPr>
          <w:rFonts w:eastAsiaTheme="minorEastAsia"/>
        </w:rPr>
        <w:t>Ellingham</w:t>
      </w:r>
      <w:proofErr w:type="spellEnd"/>
      <w:r>
        <w:rPr>
          <w:rStyle w:val="Appelnotedebasdep"/>
          <w:rFonts w:eastAsiaTheme="minorEastAsia"/>
        </w:rPr>
        <w:footnoteReference w:id="2"/>
      </w:r>
      <w:r w:rsidRPr="00020F2C">
        <w:rPr>
          <w:rFonts w:eastAsiaTheme="minorEastAsia"/>
        </w:rPr>
        <w:t xml:space="preserve"> :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 xml:space="preserve"> et </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020F2C">
        <w:rPr>
          <w:rFonts w:eastAsiaTheme="minorEastAsia"/>
        </w:rPr>
        <w:t xml:space="preserve"> sont consi</w:t>
      </w:r>
      <w:r>
        <w:rPr>
          <w:rFonts w:eastAsiaTheme="minorEastAsia"/>
        </w:rPr>
        <w:t xml:space="preserve">dérés comme indépendants de la température en l’absence de changement d’état. </w:t>
      </w:r>
    </w:p>
    <w:p w:rsidR="00020F2C" w:rsidRDefault="00020F2C" w:rsidP="00B7446A">
      <w:pPr>
        <w:pStyle w:val="Sansinterligne"/>
        <w:rPr>
          <w:rFonts w:eastAsiaTheme="minorEastAsia"/>
          <w:i/>
          <w:iCs/>
          <w:color w:val="00B0F0"/>
        </w:rPr>
      </w:pPr>
      <w:r>
        <w:rPr>
          <w:rFonts w:eastAsiaTheme="minorEastAsia"/>
          <w:i/>
          <w:iCs/>
          <w:color w:val="00B0F0"/>
        </w:rPr>
        <w:t xml:space="preserve">Une autre façon de formuler cette approximation est d’après les </w:t>
      </w:r>
      <w:r w:rsidR="00B7446A">
        <w:rPr>
          <w:rFonts w:eastAsiaTheme="minorEastAsia"/>
          <w:i/>
          <w:iCs/>
          <w:color w:val="00B0F0"/>
        </w:rPr>
        <w:t xml:space="preserve">relations </w:t>
      </w:r>
      <w:r>
        <w:rPr>
          <w:rFonts w:eastAsiaTheme="minorEastAsia"/>
          <w:i/>
          <w:iCs/>
          <w:color w:val="00B0F0"/>
        </w:rPr>
        <w:t>de Kirch</w:t>
      </w:r>
      <w:r w:rsidR="00B7446A">
        <w:rPr>
          <w:rFonts w:eastAsiaTheme="minorEastAsia"/>
          <w:i/>
          <w:iCs/>
          <w:color w:val="00B0F0"/>
        </w:rPr>
        <w:t>hoff :</w:t>
      </w:r>
      <w:r w:rsidR="00B7446A">
        <w:rPr>
          <w:rFonts w:eastAsiaTheme="minorEastAsia"/>
          <w:i/>
          <w:iCs/>
          <w:color w:val="00B0F0"/>
        </w:rPr>
        <w:tab/>
      </w:r>
      <w:r w:rsidR="00B7446A">
        <w:rPr>
          <w:rFonts w:eastAsiaTheme="minorEastAsia"/>
          <w:i/>
          <w:iCs/>
          <w:color w:val="00B0F0"/>
        </w:rPr>
        <w:tab/>
        <w:t xml:space="preserve"> </w:t>
      </w:r>
      <m:oMath>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bSup>
          <m:sSubSupPr>
            <m:ctrlPr>
              <w:rPr>
                <w:rFonts w:ascii="Cambria Math" w:eastAsiaTheme="minorEastAsia" w:hAnsi="Cambria Math"/>
                <w:i/>
                <w:iCs/>
                <w:color w:val="00B0F0"/>
              </w:rPr>
            </m:ctrlPr>
          </m:sSubSupPr>
          <m:e>
            <m:r>
              <w:rPr>
                <w:rFonts w:ascii="Cambria Math" w:eastAsiaTheme="minorEastAsia" w:hAnsi="Cambria Math"/>
                <w:color w:val="00B0F0"/>
              </w:rPr>
              <m:t>C</m:t>
            </m:r>
          </m:e>
          <m:sub>
            <m:r>
              <w:rPr>
                <w:rFonts w:ascii="Cambria Math" w:eastAsiaTheme="minorEastAsia" w:hAnsi="Cambria Math"/>
                <w:color w:val="00B0F0"/>
              </w:rPr>
              <m:t>p</m:t>
            </m:r>
          </m:sub>
          <m:sup>
            <m:r>
              <w:rPr>
                <w:rFonts w:ascii="Cambria Math" w:eastAsiaTheme="minorEastAsia" w:hAnsi="Cambria Math"/>
                <w:color w:val="00B0F0"/>
              </w:rPr>
              <m:t>°</m:t>
            </m:r>
          </m:sup>
        </m:sSubSup>
        <m:r>
          <w:rPr>
            <w:rFonts w:ascii="Cambria Math" w:eastAsiaTheme="minorEastAsia" w:hAnsi="Cambria Math"/>
            <w:color w:val="00B0F0"/>
          </w:rPr>
          <m:t xml:space="preserve">= </m:t>
        </m:r>
        <m:f>
          <m:fPr>
            <m:ctrlPr>
              <w:rPr>
                <w:rFonts w:ascii="Cambria Math" w:eastAsiaTheme="minorEastAsia" w:hAnsi="Cambria Math"/>
                <w:i/>
                <w:iCs/>
                <w:color w:val="00B0F0"/>
              </w:rPr>
            </m:ctrlPr>
          </m:fPr>
          <m:num>
            <m:r>
              <w:rPr>
                <w:rFonts w:ascii="Cambria Math" w:eastAsiaTheme="minorEastAsia" w:hAnsi="Cambria Math"/>
                <w:color w:val="00B0F0"/>
              </w:rPr>
              <m:t>d</m:t>
            </m:r>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H</m:t>
                </m:r>
              </m:e>
              <m:sup>
                <m:r>
                  <w:rPr>
                    <w:rFonts w:ascii="Cambria Math" w:eastAsiaTheme="minorEastAsia" w:hAnsi="Cambria Math"/>
                    <w:color w:val="00B0F0"/>
                  </w:rPr>
                  <m:t>°</m:t>
                </m:r>
              </m:sup>
            </m:sSup>
          </m:num>
          <m:den>
            <m:r>
              <w:rPr>
                <w:rFonts w:ascii="Cambria Math" w:eastAsiaTheme="minorEastAsia" w:hAnsi="Cambria Math"/>
                <w:color w:val="00B0F0"/>
              </w:rPr>
              <m:t>dT</m:t>
            </m:r>
          </m:den>
        </m:f>
      </m:oMath>
      <w:r w:rsidR="00B7446A">
        <w:rPr>
          <w:rFonts w:eastAsiaTheme="minorEastAsia"/>
          <w:i/>
          <w:iCs/>
          <w:color w:val="00B0F0"/>
        </w:rPr>
        <w:t>est une constante.</w:t>
      </w:r>
    </w:p>
    <w:p w:rsidR="00B7446A" w:rsidRDefault="00B7446A" w:rsidP="00501513">
      <w:pPr>
        <w:pStyle w:val="Sansinterligne"/>
        <w:rPr>
          <w:rFonts w:eastAsiaTheme="minorEastAsia"/>
          <w:i/>
          <w:iCs/>
          <w:color w:val="00B0F0"/>
        </w:rPr>
      </w:pPr>
      <w:r>
        <w:rPr>
          <w:rFonts w:eastAsiaTheme="minorEastAsia"/>
          <w:i/>
          <w:iCs/>
          <w:color w:val="00B0F0"/>
        </w:rPr>
        <w:t xml:space="preserve">Par définition, </w:t>
      </w:r>
      <m:oMath>
        <m:sSub>
          <m:sSubPr>
            <m:ctrlPr>
              <w:rPr>
                <w:rFonts w:ascii="Cambria Math" w:hAnsi="Cambria Math"/>
                <w:i/>
                <w:iCs/>
                <w:color w:val="00B0F0"/>
              </w:rPr>
            </m:ctrlPr>
          </m:sSubPr>
          <m:e>
            <m:r>
              <w:rPr>
                <w:rFonts w:ascii="Cambria Math" w:hAnsi="Cambria Math"/>
                <w:color w:val="00B0F0"/>
              </w:rPr>
              <m:t>C</m:t>
            </m:r>
          </m:e>
          <m:sub>
            <m:r>
              <w:rPr>
                <w:rFonts w:ascii="Cambria Math" w:hAnsi="Cambria Math"/>
                <w:color w:val="00B0F0"/>
              </w:rPr>
              <m:t>p</m:t>
            </m:r>
          </m:sub>
        </m:sSub>
        <m:r>
          <w:rPr>
            <w:rFonts w:ascii="Cambria Math" w:hAnsi="Cambria Math"/>
            <w:color w:val="00B0F0"/>
          </w:rPr>
          <m:t xml:space="preserve">= </m:t>
        </m:r>
        <m:sSub>
          <m:sSubPr>
            <m:ctrlPr>
              <w:rPr>
                <w:rFonts w:ascii="Cambria Math" w:eastAsiaTheme="minorEastAsia" w:hAnsi="Cambria Math"/>
                <w:i/>
                <w:iCs/>
                <w:color w:val="00B0F0"/>
              </w:rPr>
            </m:ctrlPr>
          </m:sSubPr>
          <m:e>
            <m:d>
              <m:dPr>
                <m:begChr m:val=""/>
                <m:endChr m:val="|"/>
                <m:ctrlPr>
                  <w:rPr>
                    <w:rFonts w:ascii="Cambria Math" w:hAnsi="Cambria Math"/>
                    <w:i/>
                    <w:iCs/>
                    <w:color w:val="00B0F0"/>
                  </w:rPr>
                </m:ctrlPr>
              </m:dPr>
              <m:e>
                <m:f>
                  <m:fPr>
                    <m:ctrlPr>
                      <w:rPr>
                        <w:rFonts w:ascii="Cambria Math" w:hAnsi="Cambria Math"/>
                        <w:i/>
                        <w:iCs/>
                        <w:color w:val="00B0F0"/>
                      </w:rPr>
                    </m:ctrlPr>
                  </m:fPr>
                  <m:num>
                    <m:r>
                      <w:rPr>
                        <w:rFonts w:ascii="Cambria Math" w:hAnsi="Cambria Math"/>
                        <w:color w:val="00B0F0"/>
                      </w:rPr>
                      <m:t>∂H</m:t>
                    </m:r>
                  </m:num>
                  <m:den>
                    <m:r>
                      <w:rPr>
                        <w:rFonts w:ascii="Cambria Math" w:hAnsi="Cambria Math"/>
                        <w:color w:val="00B0F0"/>
                      </w:rPr>
                      <m:t>∂T</m:t>
                    </m:r>
                  </m:den>
                </m:f>
              </m:e>
            </m:d>
            <m:ctrlPr>
              <w:rPr>
                <w:rFonts w:ascii="Cambria Math" w:hAnsi="Cambria Math"/>
                <w:i/>
                <w:iCs/>
                <w:color w:val="00B0F0"/>
              </w:rPr>
            </m:ctrlPr>
          </m:e>
          <m:sub>
            <m:r>
              <w:rPr>
                <w:rFonts w:ascii="Cambria Math" w:eastAsiaTheme="minorEastAsia" w:hAnsi="Cambria Math"/>
                <w:color w:val="00B0F0"/>
              </w:rPr>
              <m:t>P</m:t>
            </m:r>
          </m:sub>
        </m:sSub>
      </m:oMath>
      <w:r>
        <w:rPr>
          <w:rFonts w:eastAsiaTheme="minorEastAsia"/>
          <w:i/>
          <w:iCs/>
          <w:color w:val="00B0F0"/>
        </w:rPr>
        <w:t>, donc ce résultat est immédiat.</w:t>
      </w:r>
    </w:p>
    <w:p w:rsidR="00B7446A" w:rsidRDefault="00B7446A" w:rsidP="00501513">
      <w:pPr>
        <w:pStyle w:val="Sansinterligne"/>
        <w:rPr>
          <w:rFonts w:eastAsiaTheme="minorEastAsia"/>
          <w:i/>
          <w:iCs/>
          <w:color w:val="00B0F0"/>
        </w:rPr>
      </w:pPr>
      <w:r>
        <w:rPr>
          <w:rFonts w:eastAsiaTheme="minorEastAsia"/>
          <w:i/>
          <w:iCs/>
          <w:color w:val="00B0F0"/>
        </w:rPr>
        <w:t xml:space="preserve">Cette approximation est utilisée en chimie industrielle et repose à priori sur des constatations expérimentales. </w:t>
      </w:r>
    </w:p>
    <w:p w:rsidR="00B7446A" w:rsidRDefault="00B7446A" w:rsidP="00501513">
      <w:pPr>
        <w:pStyle w:val="Sansinterligne"/>
        <w:rPr>
          <w:rFonts w:eastAsiaTheme="minorEastAsia"/>
          <w:i/>
          <w:iCs/>
          <w:color w:val="00B0F0"/>
        </w:rPr>
      </w:pPr>
    </w:p>
    <w:p w:rsidR="00B7446A" w:rsidRDefault="00A90D4C" w:rsidP="00B7446A">
      <w:pPr>
        <w:pStyle w:val="Sansinterligne"/>
      </w:pPr>
      <w:r>
        <w:t>Ainsi,</w:t>
      </w:r>
    </w:p>
    <w:p w:rsidR="00A90D4C" w:rsidRPr="00A90D4C" w:rsidRDefault="00B03C03" w:rsidP="00B7446A">
      <w:pPr>
        <w:pStyle w:val="Sansinterligne"/>
        <w:rPr>
          <w:rFonts w:eastAsiaTheme="minorEastAsia"/>
        </w:rPr>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e>
              </m:d>
            </m:e>
          </m:func>
          <m:r>
            <w:rPr>
              <w:rFonts w:ascii="Cambria Math" w:hAnsi="Cambria Math"/>
            </w:rPr>
            <m:t>=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H</m:t>
                  </m:r>
                </m:e>
                <m:sup>
                  <m:r>
                    <w:rPr>
                      <w:rFonts w:ascii="Cambria Math" w:hAnsi="Cambria Math"/>
                    </w:rPr>
                    <m:t>°</m:t>
                  </m:r>
                </m:sup>
              </m:sSup>
            </m:num>
            <m:den>
              <m:r>
                <w:rPr>
                  <w:rFonts w:ascii="Cambria Math" w:hAnsi="Cambria Math"/>
                </w:rPr>
                <m:t>RT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R</m:t>
              </m:r>
            </m:den>
          </m:f>
        </m:oMath>
      </m:oMathPara>
    </w:p>
    <w:p w:rsidR="00A90D4C" w:rsidRDefault="00A90D4C" w:rsidP="00B7446A">
      <w:pPr>
        <w:pStyle w:val="Sansinterligne"/>
        <w:rPr>
          <w:rFonts w:eastAsiaTheme="minorEastAsia"/>
        </w:rPr>
      </w:pPr>
      <w:r>
        <w:rPr>
          <w:rFonts w:eastAsiaTheme="minorEastAsia"/>
        </w:rPr>
        <w:t>D’où par dérivation,</w:t>
      </w:r>
    </w:p>
    <w:p w:rsidR="00A90D4C" w:rsidRPr="00A90D4C" w:rsidRDefault="00B03C03" w:rsidP="00B7446A">
      <w:pPr>
        <w:pStyle w:val="Sansinterligne"/>
        <w:rPr>
          <w:rFonts w:eastAsiaTheme="minorEastAsia"/>
        </w:rPr>
      </w:pPr>
      <m:oMathPara>
        <m:oMath>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ln</m:t>
                  </m:r>
                </m:fName>
                <m:e>
                  <m:sSup>
                    <m:sSupPr>
                      <m:ctrlPr>
                        <w:rPr>
                          <w:rFonts w:ascii="Cambria Math" w:hAnsi="Cambria Math"/>
                          <w:i/>
                        </w:rPr>
                      </m:ctrlPr>
                    </m:sSupPr>
                    <m:e>
                      <m:r>
                        <w:rPr>
                          <w:rFonts w:ascii="Cambria Math" w:hAnsi="Cambria Math"/>
                        </w:rPr>
                        <m:t>K</m:t>
                      </m:r>
                    </m:e>
                    <m:sup>
                      <m:r>
                        <w:rPr>
                          <w:rFonts w:ascii="Cambria Math" w:hAnsi="Cambria Math"/>
                        </w:rPr>
                        <m:t>°</m:t>
                      </m:r>
                    </m:sup>
                  </m:sSup>
                </m:e>
              </m:func>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H</m:t>
                  </m:r>
                </m:e>
                <m:sup>
                  <m:r>
                    <w:rPr>
                      <w:rFonts w:ascii="Cambria Math" w:hAnsi="Cambria Math"/>
                    </w:rPr>
                    <m:t>°</m:t>
                  </m:r>
                </m:sup>
              </m:sSup>
            </m:num>
            <m:den>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A90D4C" w:rsidRDefault="00A90D4C" w:rsidP="00B7446A">
      <w:pPr>
        <w:pStyle w:val="Sansinterligne"/>
        <w:rPr>
          <w:rFonts w:eastAsiaTheme="minorEastAsia"/>
        </w:rPr>
      </w:pPr>
      <w:r>
        <w:rPr>
          <w:rFonts w:eastAsiaTheme="minorEastAsia"/>
        </w:rPr>
        <w:t xml:space="preserve">C’est la relation de </w:t>
      </w:r>
      <w:proofErr w:type="spellStart"/>
      <w:r>
        <w:rPr>
          <w:rFonts w:eastAsiaTheme="minorEastAsia"/>
        </w:rPr>
        <w:t>van’t</w:t>
      </w:r>
      <w:proofErr w:type="spellEnd"/>
      <w:r>
        <w:rPr>
          <w:rFonts w:eastAsiaTheme="minorEastAsia"/>
        </w:rPr>
        <w:t xml:space="preserve"> </w:t>
      </w:r>
      <w:proofErr w:type="spellStart"/>
      <w:r>
        <w:rPr>
          <w:rFonts w:eastAsiaTheme="minorEastAsia"/>
        </w:rPr>
        <w:t>Hoff</w:t>
      </w:r>
      <w:proofErr w:type="spellEnd"/>
      <w:r w:rsidR="00651602">
        <w:rPr>
          <w:rFonts w:eastAsiaTheme="minorEastAsia"/>
        </w:rPr>
        <w:t xml:space="preserve"> (approximation d’</w:t>
      </w:r>
      <w:proofErr w:type="spellStart"/>
      <w:r w:rsidR="00651602">
        <w:rPr>
          <w:rFonts w:eastAsiaTheme="minorEastAsia"/>
        </w:rPr>
        <w:t>Ellingham</w:t>
      </w:r>
      <w:proofErr w:type="spellEnd"/>
      <w:r w:rsidR="00651602">
        <w:rPr>
          <w:rFonts w:eastAsiaTheme="minorEastAsia"/>
        </w:rPr>
        <w:t xml:space="preserve"> nécessaire)</w:t>
      </w:r>
      <w:r>
        <w:rPr>
          <w:rFonts w:eastAsiaTheme="minorEastAsia"/>
        </w:rPr>
        <w:t>.</w:t>
      </w:r>
    </w:p>
    <w:p w:rsidR="00A90D4C" w:rsidRDefault="00A90D4C" w:rsidP="00B7446A">
      <w:pPr>
        <w:pStyle w:val="Sansinterligne"/>
        <w:rPr>
          <w:rFonts w:eastAsiaTheme="minorEastAsia"/>
        </w:rPr>
      </w:pPr>
    </w:p>
    <w:p w:rsidR="00A90D4C" w:rsidRDefault="00A90D4C" w:rsidP="00B7446A">
      <w:pPr>
        <w:pStyle w:val="Sansinterligne"/>
        <w:rPr>
          <w:rFonts w:eastAsiaTheme="minorEastAsia"/>
        </w:rPr>
      </w:pPr>
      <w:r>
        <w:rPr>
          <w:rFonts w:eastAsiaTheme="minorEastAsia"/>
        </w:rPr>
        <w:t xml:space="preserve">Ainsi </w:t>
      </w:r>
    </w:p>
    <w:p w:rsidR="00A90D4C" w:rsidRDefault="00A90D4C" w:rsidP="00A90D4C">
      <w:pPr>
        <w:pStyle w:val="Sansinterligne"/>
        <w:ind w:firstLine="708"/>
        <w:rPr>
          <w:rFonts w:eastAsiaTheme="minorEastAsia"/>
        </w:rPr>
      </w:pPr>
      <w:r>
        <w:rPr>
          <w:rFonts w:eastAsiaTheme="minorEastAsia"/>
        </w:rPr>
        <w:t>pour une réaction endothermique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&gt;0)</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Pr>
          <w:rFonts w:eastAsiaTheme="minorEastAsia"/>
        </w:rPr>
        <w:t xml:space="preserve"> augmente quand T augmente.</w:t>
      </w:r>
    </w:p>
    <w:p w:rsidR="00A90D4C" w:rsidRDefault="00A90D4C" w:rsidP="00B7446A">
      <w:pPr>
        <w:pStyle w:val="Sansinterligne"/>
        <w:rPr>
          <w:rFonts w:eastAsiaTheme="minorEastAsia"/>
        </w:rPr>
      </w:pPr>
      <w:r>
        <w:tab/>
        <w:t>pour une réaction exothermique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&lt;0), </m:t>
        </m:r>
        <m:sSup>
          <m:sSupPr>
            <m:ctrlPr>
              <w:rPr>
                <w:rFonts w:ascii="Cambria Math" w:hAnsi="Cambria Math"/>
                <w:i/>
              </w:rPr>
            </m:ctrlPr>
          </m:sSupPr>
          <m:e>
            <m:r>
              <w:rPr>
                <w:rFonts w:ascii="Cambria Math" w:hAnsi="Cambria Math"/>
              </w:rPr>
              <m:t>K</m:t>
            </m:r>
          </m:e>
          <m:sup>
            <m:r>
              <w:rPr>
                <w:rFonts w:ascii="Cambria Math" w:hAnsi="Cambria Math"/>
              </w:rPr>
              <m:t>°</m:t>
            </m:r>
          </m:sup>
        </m:sSup>
      </m:oMath>
      <w:r>
        <w:rPr>
          <w:rFonts w:eastAsiaTheme="minorEastAsia"/>
        </w:rPr>
        <w:t xml:space="preserve"> diminue quand T augmente.</w:t>
      </w:r>
    </w:p>
    <w:p w:rsidR="00A90D4C" w:rsidRDefault="00A90D4C" w:rsidP="00B7446A">
      <w:pPr>
        <w:pStyle w:val="Sansinterligne"/>
        <w:rPr>
          <w:rFonts w:eastAsiaTheme="minorEastAsia"/>
        </w:rPr>
      </w:pPr>
    </w:p>
    <w:p w:rsidR="00A90D4C" w:rsidRDefault="00A90D4C" w:rsidP="00B7446A">
      <w:pPr>
        <w:pStyle w:val="Sansinterligne"/>
        <w:rPr>
          <w:rFonts w:eastAsiaTheme="minorEastAsia"/>
        </w:rPr>
      </w:pPr>
      <w:r>
        <w:rPr>
          <w:rFonts w:eastAsiaTheme="minorEastAsia"/>
        </w:rPr>
        <w:t xml:space="preserve">Ainsi la loi de </w:t>
      </w:r>
      <w:proofErr w:type="spellStart"/>
      <w:r>
        <w:rPr>
          <w:rFonts w:eastAsiaTheme="minorEastAsia"/>
        </w:rPr>
        <w:t>van’t</w:t>
      </w:r>
      <w:proofErr w:type="spellEnd"/>
      <w:r>
        <w:rPr>
          <w:rFonts w:eastAsiaTheme="minorEastAsia"/>
        </w:rPr>
        <w:t xml:space="preserve"> </w:t>
      </w:r>
      <w:proofErr w:type="spellStart"/>
      <w:r>
        <w:rPr>
          <w:rFonts w:eastAsiaTheme="minorEastAsia"/>
        </w:rPr>
        <w:t>Hoff</w:t>
      </w:r>
      <w:proofErr w:type="spellEnd"/>
      <w:r>
        <w:rPr>
          <w:rFonts w:eastAsiaTheme="minorEastAsia"/>
        </w:rPr>
        <w:t xml:space="preserve"> stipule : une augmentation de température à pression constante déplace l’équilibre dans le sens qui s’oppose à cette augmentation, le sens endothermique. </w:t>
      </w:r>
    </w:p>
    <w:p w:rsidR="00391AD2" w:rsidRDefault="00391AD2" w:rsidP="00B7446A">
      <w:pPr>
        <w:pStyle w:val="Sansinterligne"/>
        <w:rPr>
          <w:rFonts w:eastAsiaTheme="minorEastAsia"/>
        </w:rPr>
      </w:pPr>
      <w:r>
        <w:rPr>
          <w:rFonts w:eastAsiaTheme="minorEastAsia"/>
          <w:noProof/>
          <w:lang w:eastAsia="fr-FR"/>
        </w:rPr>
        <w:drawing>
          <wp:inline distT="0" distB="0" distL="0" distR="0">
            <wp:extent cx="5760720" cy="251084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60720" cy="2510840"/>
                    </a:xfrm>
                    <a:prstGeom prst="rect">
                      <a:avLst/>
                    </a:prstGeom>
                    <a:noFill/>
                    <a:ln w="9525">
                      <a:noFill/>
                      <a:miter lim="800000"/>
                      <a:headEnd/>
                      <a:tailEnd/>
                    </a:ln>
                  </pic:spPr>
                </pic:pic>
              </a:graphicData>
            </a:graphic>
          </wp:inline>
        </w:drawing>
      </w:r>
    </w:p>
    <w:p w:rsidR="00F44E86" w:rsidRDefault="00F44E86" w:rsidP="00B7446A">
      <w:pPr>
        <w:pStyle w:val="Sansinterligne"/>
        <w:rPr>
          <w:rFonts w:eastAsiaTheme="minorEastAsia"/>
        </w:rPr>
      </w:pPr>
    </w:p>
    <w:p w:rsidR="00F44E86" w:rsidRDefault="00F44E86" w:rsidP="00F44E86">
      <w:pPr>
        <w:pStyle w:val="Sansinterligne"/>
        <w:pBdr>
          <w:left w:val="thinThickSmallGap" w:sz="24" w:space="4" w:color="FFC000"/>
        </w:pBdr>
        <w:rPr>
          <w:rFonts w:eastAsiaTheme="minorEastAsia"/>
        </w:rPr>
      </w:pPr>
      <w:r>
        <w:rPr>
          <w:rFonts w:eastAsiaTheme="minorEastAsia"/>
        </w:rPr>
        <w:t>Expliquer à la lumière de cette relation pourquoi on obtient un éclaircissement à faible température.</w:t>
      </w:r>
    </w:p>
    <w:p w:rsidR="00F44E86" w:rsidRDefault="00F44E86" w:rsidP="00F44E86"/>
    <w:p w:rsidR="00F44E86" w:rsidRDefault="00F44E86" w:rsidP="00F44E86">
      <w:pPr>
        <w:pStyle w:val="Paragraphedeliste"/>
        <w:numPr>
          <w:ilvl w:val="0"/>
          <w:numId w:val="27"/>
        </w:numPr>
        <w:rPr>
          <w:b/>
          <w:bCs/>
        </w:rPr>
      </w:pPr>
      <w:r>
        <w:rPr>
          <w:b/>
          <w:bCs/>
        </w:rPr>
        <w:t xml:space="preserve">Un autre paramètre : la pression </w:t>
      </w:r>
    </w:p>
    <w:p w:rsidR="00F44E86" w:rsidRDefault="00F44E86" w:rsidP="005A104C">
      <w:pPr>
        <w:pStyle w:val="Sansinterligne"/>
        <w:pBdr>
          <w:left w:val="thinThickSmallGap" w:sz="24" w:space="4" w:color="FFC000"/>
        </w:pBdr>
        <w:rPr>
          <w:u w:val="single"/>
        </w:rPr>
      </w:pPr>
      <w:r>
        <w:rPr>
          <w:u w:val="single"/>
        </w:rPr>
        <w:t>Effet de la pression sur l’équilibre entre le dioxyde et le tétraoxyde d’azote :</w:t>
      </w:r>
    </w:p>
    <w:p w:rsidR="001F4682" w:rsidRPr="001F4682" w:rsidRDefault="001F4682" w:rsidP="005A104C">
      <w:pPr>
        <w:pStyle w:val="Sansinterligne"/>
        <w:pBdr>
          <w:left w:val="thinThickSmallGap" w:sz="24" w:space="4" w:color="FFC000"/>
        </w:pBdr>
      </w:pPr>
      <w:r>
        <w:tab/>
      </w:r>
      <w:hyperlink r:id="rId16" w:history="1">
        <w:r>
          <w:rPr>
            <w:rStyle w:val="Lienhypertexte"/>
          </w:rPr>
          <w:t>https://www.youtube.com/watch?v=L6GfhqoCz8Y</w:t>
        </w:r>
      </w:hyperlink>
      <w:bookmarkStart w:id="2" w:name="_GoBack"/>
      <w:bookmarkEnd w:id="2"/>
    </w:p>
    <w:p w:rsidR="00F44E86" w:rsidRDefault="00F44E86" w:rsidP="005A104C">
      <w:pPr>
        <w:pStyle w:val="Sansinterligne"/>
        <w:pBdr>
          <w:left w:val="thinThickSmallGap" w:sz="24" w:space="4" w:color="FFC000"/>
        </w:pBdr>
      </w:pPr>
      <w:r>
        <w:tab/>
        <w:t>Compresser un</w:t>
      </w:r>
      <w:r w:rsidR="005A104C">
        <w:t>e</w:t>
      </w:r>
      <w:r>
        <w:t xml:space="preserve"> seringue, montrer deux phases : assombrissement car la densité volumique de particules augmente, puis éclaircissement lors du retour à l’équilibre. </w:t>
      </w:r>
    </w:p>
    <w:p w:rsidR="005A104C" w:rsidRDefault="005A104C" w:rsidP="005A104C">
      <w:pPr>
        <w:pStyle w:val="Sansinterligne"/>
        <w:pBdr>
          <w:left w:val="thinThickSmallGap" w:sz="24" w:space="4" w:color="FFC000"/>
        </w:pBdr>
      </w:pPr>
      <w:r>
        <w:lastRenderedPageBreak/>
        <w:tab/>
        <w:t>Observation : on observe un</w:t>
      </w:r>
      <w:r w:rsidR="00903C35">
        <w:t xml:space="preserve"> éclaircissement</w:t>
      </w:r>
      <w:r>
        <w:t xml:space="preserve"> à haute pression donc</w:t>
      </w:r>
      <w:r w:rsidR="00903C35">
        <w:t xml:space="preserve"> </w:t>
      </w:r>
      <w:r>
        <w:t xml:space="preserve">il semblerait que l’équilibre soit déplacé en faveur du </w:t>
      </w:r>
      <w:r w:rsidR="00903C35">
        <w:t>tétraoxyde</w:t>
      </w:r>
      <w:r>
        <w:t xml:space="preserve"> d’azote </w:t>
      </w:r>
      <w:r w:rsidR="00903C35">
        <w:t>incolore</w:t>
      </w:r>
    </w:p>
    <w:p w:rsidR="005A104C" w:rsidRDefault="005A104C" w:rsidP="005A104C"/>
    <w:p w:rsidR="005A104C" w:rsidRPr="005A104C" w:rsidRDefault="00B03C03" w:rsidP="005A104C">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4</m:t>
                  </m:r>
                </m:sub>
              </m:sSub>
            </m:e>
            <m:sub>
              <m:r>
                <w:rPr>
                  <w:rFonts w:ascii="Cambria Math" w:hAnsi="Cambria Math"/>
                </w:rPr>
                <m:t>(g)</m:t>
              </m:r>
            </m:sub>
          </m:sSub>
          <m:r>
            <w:rPr>
              <w:rFonts w:ascii="Cambria Math" w:hAnsi="Cambria Math"/>
            </w:rPr>
            <m:t>=2N</m:t>
          </m:r>
          <m:sSub>
            <m:sSubPr>
              <m:ctrlPr>
                <w:rPr>
                  <w:rFonts w:ascii="Cambria Math" w:hAnsi="Cambria Math"/>
                  <w:i/>
                </w:rPr>
              </m:ctrlPr>
            </m:sSubPr>
            <m:e>
              <m:r>
                <w:rPr>
                  <w:rFonts w:ascii="Cambria Math" w:hAnsi="Cambria Math"/>
                </w:rPr>
                <m:t>O</m:t>
              </m:r>
            </m:e>
            <m:sub>
              <m:r>
                <w:rPr>
                  <w:rFonts w:ascii="Cambria Math" w:hAnsi="Cambria Math"/>
                </w:rPr>
                <m:t>2(g)</m:t>
              </m:r>
            </m:sub>
          </m:sSub>
        </m:oMath>
      </m:oMathPara>
    </w:p>
    <w:p w:rsidR="005A104C" w:rsidRDefault="005A104C" w:rsidP="005A104C">
      <w:pPr>
        <w:rPr>
          <w:rFonts w:eastAsiaTheme="minorEastAsia"/>
        </w:rPr>
      </w:pPr>
      <w:r>
        <w:rPr>
          <w:rFonts w:eastAsiaTheme="minorEastAsia"/>
        </w:rPr>
        <w:t xml:space="preserve">Donc le quotient réactionnel vaut : </w:t>
      </w:r>
    </w:p>
    <w:p w:rsidR="005A104C" w:rsidRPr="00903C35" w:rsidRDefault="00B03C03" w:rsidP="005A104C">
      <w:pPr>
        <w:pStyle w:val="Sansinterligne"/>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m:t>
                  </m:r>
                </m:sub>
              </m:sSub>
            </m:num>
            <m:den>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en>
          </m:f>
        </m:oMath>
      </m:oMathPara>
    </w:p>
    <w:p w:rsidR="00903C35" w:rsidRPr="00903C35" w:rsidRDefault="00B03C03" w:rsidP="005A104C">
      <w:pPr>
        <w:pStyle w:val="Sansinterligne"/>
        <w:rPr>
          <w:rFonts w:eastAsiaTheme="minorEastAsia"/>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r>
            <w:rPr>
              <w:rFonts w:ascii="Cambria Math" w:hAnsi="Cambria Math"/>
            </w:rPr>
            <m:t xml:space="preserve">G= </m:t>
          </m:r>
          <m:sSub>
            <m:sSubPr>
              <m:ctrlPr>
                <w:rPr>
                  <w:rFonts w:ascii="Cambria Math" w:hAnsi="Cambria Math"/>
                  <w:i/>
                </w:rPr>
              </m:ctrlPr>
            </m:sSubPr>
            <m:e>
              <m:r>
                <m:rPr>
                  <m:sty m:val="p"/>
                </m:rPr>
                <w:rPr>
                  <w:rFonts w:ascii="Cambria Math" w:hAnsi="Cambria Math"/>
                </w:rPr>
                <m:t>Δ</m:t>
              </m:r>
            </m:e>
            <m:sub>
              <m:r>
                <w:rPr>
                  <w:rFonts w:ascii="Cambria Math" w:hAnsi="Cambria Math"/>
                </w:rPr>
                <m:t>r</m:t>
              </m:r>
            </m:sub>
          </m:s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+RT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Q</m:t>
                  </m:r>
                </m:e>
                <m:sub>
                  <m:r>
                    <w:rPr>
                      <w:rFonts w:ascii="Cambria Math" w:hAnsi="Cambria Math"/>
                    </w:rPr>
                    <m:t>r</m:t>
                  </m:r>
                </m:sub>
              </m:sSub>
            </m:e>
          </m:func>
          <m:r>
            <w:rPr>
              <w:rFonts w:ascii="Cambria Math" w:hAnsi="Cambria Math"/>
            </w:rPr>
            <m:t>=RT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r</m:t>
                          </m:r>
                        </m:sub>
                      </m:sSub>
                    </m:num>
                    <m:den>
                      <m:sSup>
                        <m:sSupPr>
                          <m:ctrlPr>
                            <w:rPr>
                              <w:rFonts w:ascii="Cambria Math" w:hAnsi="Cambria Math"/>
                              <w:i/>
                            </w:rPr>
                          </m:ctrlPr>
                        </m:sSupPr>
                        <m:e>
                          <m:r>
                            <w:rPr>
                              <w:rFonts w:ascii="Cambria Math" w:hAnsi="Cambria Math"/>
                            </w:rPr>
                            <m:t>K</m:t>
                          </m:r>
                        </m:e>
                        <m:sup>
                          <m:r>
                            <w:rPr>
                              <w:rFonts w:ascii="Cambria Math" w:hAnsi="Cambria Math"/>
                            </w:rPr>
                            <m:t>°</m:t>
                          </m:r>
                        </m:sup>
                      </m:sSup>
                    </m:den>
                  </m:f>
                </m:e>
              </m:d>
            </m:e>
          </m:func>
        </m:oMath>
      </m:oMathPara>
    </w:p>
    <w:p w:rsidR="00903C35" w:rsidRDefault="00903C35" w:rsidP="005A104C">
      <w:pPr>
        <w:pStyle w:val="Sansinterligne"/>
        <w:rPr>
          <w:rFonts w:eastAsiaTheme="minorEastAsia"/>
        </w:rPr>
      </w:pPr>
      <w:r>
        <w:rPr>
          <w:rFonts w:eastAsiaTheme="minorEastAsia"/>
        </w:rPr>
        <w:t xml:space="preserve">Le sens de la réaction dépendant du signe de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G</m:t>
        </m:r>
      </m:oMath>
      <w:r>
        <w:rPr>
          <w:rFonts w:eastAsiaTheme="minorEastAsia"/>
        </w:rPr>
        <w:t xml:space="preserve">, le sens dépend également de la relation entre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oMath>
      <w:r>
        <w:rPr>
          <w:rFonts w:eastAsiaTheme="minorEastAsia"/>
        </w:rPr>
        <w:t xml:space="preserve"> et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Pr>
          <w:rFonts w:eastAsiaTheme="minorEastAsia"/>
        </w:rPr>
        <w:t>.</w:t>
      </w:r>
    </w:p>
    <w:p w:rsidR="00903C35" w:rsidRDefault="00903C35" w:rsidP="005A104C">
      <w:pPr>
        <w:pStyle w:val="Sansinterligne"/>
        <w:rPr>
          <w:rFonts w:eastAsiaTheme="minorEastAsia"/>
        </w:rPr>
      </w:pPr>
    </w:p>
    <w:p w:rsidR="00F62685" w:rsidRDefault="00F62685" w:rsidP="005A104C">
      <w:pPr>
        <w:pStyle w:val="Sansinterligne"/>
        <w:rPr>
          <w:rFonts w:eastAsiaTheme="minorEastAsia"/>
        </w:rPr>
      </w:pPr>
    </w:p>
    <w:p w:rsidR="00F62685" w:rsidRDefault="00F62685" w:rsidP="005A104C">
      <w:pPr>
        <w:pStyle w:val="Sansinterligne"/>
        <w:rPr>
          <w:rFonts w:eastAsiaTheme="minorEastAsia"/>
        </w:rPr>
      </w:pPr>
    </w:p>
    <w:p w:rsidR="00F62685" w:rsidRDefault="00F62685" w:rsidP="005A104C">
      <w:pPr>
        <w:pStyle w:val="Sansinterligne"/>
        <w:rPr>
          <w:rFonts w:eastAsiaTheme="minorEastAsia"/>
        </w:rPr>
      </w:pPr>
    </w:p>
    <w:p w:rsidR="00F62685" w:rsidRDefault="00F62685" w:rsidP="005A104C">
      <w:pPr>
        <w:pStyle w:val="Sansinterligne"/>
        <w:rPr>
          <w:rFonts w:eastAsiaTheme="minorEastAsia"/>
        </w:rPr>
      </w:pPr>
    </w:p>
    <w:p w:rsidR="00903C35" w:rsidRDefault="00903C35" w:rsidP="005A104C">
      <w:pPr>
        <w:pStyle w:val="Sansinterligne"/>
        <w:rPr>
          <w:rFonts w:eastAsiaTheme="minorEastAsia"/>
        </w:rPr>
      </w:pPr>
      <w:r>
        <w:rPr>
          <w:rFonts w:eastAsiaTheme="minorEastAsia"/>
        </w:rPr>
        <w:t xml:space="preserve">Ainsi, </w:t>
      </w:r>
    </w:p>
    <w:p w:rsidR="00903C35" w:rsidRDefault="00903C35" w:rsidP="00903C35">
      <w:pPr>
        <w:pStyle w:val="Sansinterligne"/>
        <w:jc w:val="center"/>
        <w:rPr>
          <w:rFonts w:eastAsiaTheme="minorEastAsia"/>
        </w:rPr>
      </w:pPr>
      <w:r>
        <w:rPr>
          <w:rFonts w:eastAsiaTheme="minorEastAsia"/>
          <w:noProof/>
          <w:lang w:eastAsia="fr-FR"/>
        </w:rPr>
        <w:drawing>
          <wp:inline distT="0" distB="0" distL="0" distR="0">
            <wp:extent cx="2200275" cy="828675"/>
            <wp:effectExtent l="0" t="0" r="9525" b="9525"/>
            <wp:docPr id="2" name="Image 2" descr="C:\Users\Ordinateur\AppData\Local\Microsoft\Windows\INetCache\Content.MSO\80C0D6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dinateur\AppData\Local\Microsoft\Windows\INetCache\Content.MSO\80C0D69A.tm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00275" cy="828675"/>
                    </a:xfrm>
                    <a:prstGeom prst="rect">
                      <a:avLst/>
                    </a:prstGeom>
                    <a:noFill/>
                    <a:ln>
                      <a:noFill/>
                    </a:ln>
                  </pic:spPr>
                </pic:pic>
              </a:graphicData>
            </a:graphic>
          </wp:inline>
        </w:drawing>
      </w:r>
    </w:p>
    <w:p w:rsidR="00903C35" w:rsidRDefault="00903C35" w:rsidP="00903C35">
      <w:pPr>
        <w:pStyle w:val="Sansinterligne"/>
        <w:rPr>
          <w:rFonts w:eastAsiaTheme="minorEastAsia"/>
        </w:rPr>
      </w:pPr>
      <w:r>
        <w:rPr>
          <w:rFonts w:eastAsiaTheme="minorEastAsia"/>
        </w:rPr>
        <w:t>Or, une augmentation de la pression entraine une augmentation du quotient de réaction. La constante d’équilibre quant à elle comme elle ne dépend que de la température, celle-ci n’est pas modifié.</w:t>
      </w:r>
    </w:p>
    <w:p w:rsidR="00903C35" w:rsidRDefault="00903C35" w:rsidP="00903C35">
      <w:pPr>
        <w:pStyle w:val="Sansinterligne"/>
        <w:rPr>
          <w:rFonts w:eastAsiaTheme="minorEastAsia"/>
        </w:rPr>
      </w:pPr>
      <w:r>
        <w:rPr>
          <w:rFonts w:eastAsiaTheme="minorEastAsia"/>
        </w:rPr>
        <w:t xml:space="preserve">Ainsi pour savoir vers quel état (réactifs ou produits) est déplacé l’équilibre, il faudrait comparer les valeurs numériques du quotient de réaction et de la constante d’équilibre. </w:t>
      </w:r>
    </w:p>
    <w:p w:rsidR="00903C35" w:rsidRDefault="00903C35" w:rsidP="00903C35">
      <w:pPr>
        <w:pStyle w:val="Sansinterligne"/>
        <w:rPr>
          <w:rFonts w:eastAsiaTheme="minorEastAsia"/>
        </w:rPr>
      </w:pPr>
    </w:p>
    <w:p w:rsidR="00903C35" w:rsidRDefault="00903C35" w:rsidP="00903C35">
      <w:pPr>
        <w:pStyle w:val="Sansinterligne"/>
        <w:rPr>
          <w:rFonts w:eastAsiaTheme="minorEastAsia"/>
        </w:rPr>
      </w:pPr>
    </w:p>
    <w:p w:rsidR="00903C35" w:rsidRDefault="00903C35" w:rsidP="00903C35">
      <w:pPr>
        <w:pStyle w:val="Sansinterligne"/>
        <w:rPr>
          <w:rFonts w:eastAsiaTheme="minorEastAsia"/>
        </w:rPr>
      </w:pPr>
      <w:r>
        <w:rPr>
          <w:rFonts w:eastAsiaTheme="minorEastAsia"/>
        </w:rPr>
        <w:t>De façon générale, on peut appliquer le principe de modération de le Chatelier</w:t>
      </w:r>
      <w:r>
        <w:rPr>
          <w:rStyle w:val="Appelnotedebasdep"/>
          <w:rFonts w:eastAsiaTheme="minorEastAsia"/>
        </w:rPr>
        <w:footnoteReference w:id="3"/>
      </w:r>
      <w:r>
        <w:rPr>
          <w:rFonts w:eastAsiaTheme="minorEastAsia"/>
        </w:rPr>
        <w:t> :</w:t>
      </w:r>
    </w:p>
    <w:p w:rsidR="00903C35" w:rsidRDefault="00903C35" w:rsidP="00903C35">
      <w:pPr>
        <w:pStyle w:val="Sansinterligne"/>
        <w:rPr>
          <w:rFonts w:eastAsiaTheme="minorEastAsia"/>
        </w:rPr>
      </w:pPr>
      <w:r>
        <w:rPr>
          <w:rFonts w:eastAsiaTheme="minorEastAsia"/>
        </w:rPr>
        <w:t>« </w:t>
      </w:r>
      <w:r w:rsidRPr="00903C35">
        <w:rPr>
          <w:rFonts w:eastAsiaTheme="minorEastAsia"/>
        </w:rPr>
        <w:t>Lorsque les modifications extérieures apportées à un système physico-chimique en équilibre provoquent une évolution vers un nouvel état d'équilibre, l'évolution s'oppose aux perturbations qui l'ont engendrée et en modère l'effet</w:t>
      </w:r>
      <w:r>
        <w:rPr>
          <w:rFonts w:eastAsiaTheme="minorEastAsia"/>
        </w:rPr>
        <w:t> ».</w:t>
      </w:r>
    </w:p>
    <w:p w:rsidR="00903C35" w:rsidRDefault="00903C35" w:rsidP="00903C35">
      <w:pPr>
        <w:pStyle w:val="Sansinterligne"/>
        <w:rPr>
          <w:rFonts w:eastAsiaTheme="minorEastAsia"/>
        </w:rPr>
      </w:pPr>
    </w:p>
    <w:p w:rsidR="00903C35" w:rsidRDefault="00903C35" w:rsidP="00903C35">
      <w:pPr>
        <w:pStyle w:val="Sansinterligne"/>
        <w:rPr>
          <w:rFonts w:eastAsiaTheme="minorEastAsia"/>
        </w:rPr>
      </w:pPr>
      <w:r>
        <w:rPr>
          <w:rFonts w:eastAsiaTheme="minorEastAsia"/>
        </w:rPr>
        <w:t>En appliquant ce principe à une évolution de la pression, on peut dire que :</w:t>
      </w:r>
    </w:p>
    <w:p w:rsidR="00903C35" w:rsidRDefault="00903C35" w:rsidP="00903C35">
      <w:pPr>
        <w:pStyle w:val="Sansinterligne"/>
        <w:rPr>
          <w:rFonts w:eastAsiaTheme="minorEastAsia"/>
        </w:rPr>
      </w:pPr>
      <w:r>
        <w:rPr>
          <w:rFonts w:eastAsiaTheme="minorEastAsia"/>
        </w:rPr>
        <w:t>« </w:t>
      </w:r>
      <w:r w:rsidRPr="00903C35">
        <w:rPr>
          <w:rFonts w:eastAsiaTheme="minorEastAsia"/>
        </w:rPr>
        <w:t>Une augmentation de pression appliquée à un système fermé en équilibre et maintenu à température constante provoque un déplacement d'équilibre dans le sens pour lequel la réaction s'accompagne, à température et pression constantes, d'une </w:t>
      </w:r>
      <w:r w:rsidRPr="00DB6922">
        <w:rPr>
          <w:rFonts w:eastAsiaTheme="minorEastAsia"/>
        </w:rPr>
        <w:t>diminution d</w:t>
      </w:r>
      <w:r w:rsidR="00DB6922" w:rsidRPr="00DB6922">
        <w:rPr>
          <w:rFonts w:eastAsiaTheme="minorEastAsia"/>
        </w:rPr>
        <w:t xml:space="preserve">u nombre de moles de </w:t>
      </w:r>
      <w:r w:rsidR="00DB6922" w:rsidRPr="00DB6922">
        <w:rPr>
          <w:rFonts w:eastAsiaTheme="minorEastAsia"/>
        </w:rPr>
        <w:lastRenderedPageBreak/>
        <w:t>gaz</w:t>
      </w:r>
      <w:r w:rsidRPr="00DB6922">
        <w:rPr>
          <w:rFonts w:eastAsiaTheme="minorEastAsia"/>
        </w:rPr>
        <w:t>.</w:t>
      </w:r>
      <w:r>
        <w:rPr>
          <w:rFonts w:eastAsiaTheme="minorEastAsia"/>
        </w:rPr>
        <w:t> »</w:t>
      </w:r>
      <w:r w:rsidR="00391AD2" w:rsidRPr="00391AD2">
        <w:rPr>
          <w:rFonts w:eastAsiaTheme="minorEastAsia"/>
        </w:rPr>
        <w:t xml:space="preserve"> </w:t>
      </w:r>
      <w:r w:rsidR="00391AD2">
        <w:rPr>
          <w:rFonts w:eastAsiaTheme="minorEastAsia"/>
          <w:noProof/>
          <w:lang w:eastAsia="fr-FR"/>
        </w:rPr>
        <w:drawing>
          <wp:inline distT="0" distB="0" distL="0" distR="0">
            <wp:extent cx="5760720" cy="3732947"/>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60720" cy="3732947"/>
                    </a:xfrm>
                    <a:prstGeom prst="rect">
                      <a:avLst/>
                    </a:prstGeom>
                    <a:noFill/>
                    <a:ln w="9525">
                      <a:noFill/>
                      <a:miter lim="800000"/>
                      <a:headEnd/>
                      <a:tailEnd/>
                    </a:ln>
                  </pic:spPr>
                </pic:pic>
              </a:graphicData>
            </a:graphic>
          </wp:inline>
        </w:drawing>
      </w:r>
    </w:p>
    <w:p w:rsidR="00410F92" w:rsidRDefault="00410F92" w:rsidP="00903C35">
      <w:pPr>
        <w:pStyle w:val="Sansinterligne"/>
        <w:rPr>
          <w:rFonts w:eastAsiaTheme="minorEastAsia"/>
        </w:rPr>
      </w:pPr>
    </w:p>
    <w:p w:rsidR="00410F92" w:rsidRDefault="00410F92" w:rsidP="00903C35">
      <w:pPr>
        <w:pStyle w:val="Sansinterligne"/>
        <w:rPr>
          <w:rFonts w:eastAsiaTheme="minorEastAsia"/>
          <w:b/>
          <w:bCs/>
          <w:smallCaps/>
          <w:color w:val="FF0000"/>
        </w:rPr>
      </w:pPr>
      <w:r>
        <w:rPr>
          <w:rFonts w:eastAsiaTheme="minorEastAsia"/>
          <w:b/>
          <w:bCs/>
          <w:smallCaps/>
          <w:color w:val="FF0000"/>
        </w:rPr>
        <w:t xml:space="preserve">Conclusion : Nous avons vu au cours de cette leçon pourquoi l’enthalpie est la fonction d’état à utiliser dans le cas des transformations isobares et isothermes. Tandis que l’enthalpie libre de réaction nous permettait d’accéder à l’évolution du système chimique étudié au travers du critère d’évolution, l’enthalpie libre standard de réaction nous permet de remonter à la constante d’équilibre de la réaction, c’est-à-dire la composition du système chimique à l’équilibre. </w:t>
      </w:r>
    </w:p>
    <w:p w:rsidR="00410F92" w:rsidRDefault="00410F92" w:rsidP="00903C35">
      <w:pPr>
        <w:pStyle w:val="Sansinterligne"/>
        <w:rPr>
          <w:rFonts w:eastAsiaTheme="minorEastAsia"/>
          <w:b/>
          <w:bCs/>
          <w:smallCaps/>
          <w:color w:val="FF0000"/>
        </w:rPr>
      </w:pPr>
      <w:r>
        <w:rPr>
          <w:rFonts w:eastAsiaTheme="minorEastAsia"/>
          <w:b/>
          <w:bCs/>
          <w:smallCaps/>
          <w:color w:val="FF0000"/>
        </w:rPr>
        <w:t xml:space="preserve">À partir de toutes ces informations nous pouvons étudier la notion de déplacement d’équilibre dans le but d’optimiser un procédé chimique. Cela a par exemple était le cas dans l’optimisation du procédé de synthèse de l’ammoniac par Haber et Bosch. </w:t>
      </w:r>
    </w:p>
    <w:p w:rsidR="00410F92" w:rsidRDefault="00410F92" w:rsidP="00903C35">
      <w:pPr>
        <w:pStyle w:val="Sansinterligne"/>
        <w:rPr>
          <w:rFonts w:eastAsiaTheme="minorEastAsia"/>
          <w:b/>
          <w:bCs/>
          <w:smallCaps/>
          <w:color w:val="FF0000"/>
        </w:rPr>
      </w:pPr>
    </w:p>
    <w:p w:rsidR="00410F92" w:rsidRPr="00410F92" w:rsidRDefault="00410F92" w:rsidP="00410F92">
      <w:pPr>
        <w:pStyle w:val="Sansinterligne"/>
        <w:rPr>
          <w:b/>
          <w:bCs/>
          <w:i/>
          <w:iCs/>
          <w:smallCaps/>
          <w:color w:val="00B0F0"/>
          <w:lang w:eastAsia="fr-FR"/>
        </w:rPr>
      </w:pPr>
      <w:r w:rsidRPr="00410F92">
        <w:rPr>
          <w:b/>
          <w:bCs/>
          <w:i/>
          <w:iCs/>
          <w:smallCaps/>
          <w:color w:val="00B0F0"/>
          <w:lang w:eastAsia="fr-FR"/>
        </w:rPr>
        <w:t xml:space="preserve">Le procédé de Haber (1909 par Fritz Haber, chimiste allemand, prix Nobel en 1918 pour cette synthèse) repose sur l’hydrogénation du diazote </w:t>
      </w:r>
      <m:oMath>
        <m:sSub>
          <m:sSubPr>
            <m:ctrlPr>
              <w:rPr>
                <w:rFonts w:ascii="Cambria Math" w:hAnsi="Cambria Math"/>
                <w:b/>
                <w:bCs/>
                <w:i/>
                <w:iCs/>
                <w:smallCaps/>
                <w:color w:val="00B0F0"/>
                <w:lang w:eastAsia="fr-FR"/>
              </w:rPr>
            </m:ctrlPr>
          </m:sSubPr>
          <m:e>
            <m:sSub>
              <m:sSubPr>
                <m:ctrlPr>
                  <w:rPr>
                    <w:rFonts w:ascii="Cambria Math" w:hAnsi="Cambria Math"/>
                    <w:b/>
                    <w:bCs/>
                    <w:i/>
                    <w:iCs/>
                    <w:smallCaps/>
                    <w:color w:val="00B0F0"/>
                    <w:lang w:eastAsia="fr-FR"/>
                  </w:rPr>
                </m:ctrlPr>
              </m:sSubPr>
              <m:e>
                <m:r>
                  <m:rPr>
                    <m:sty m:val="bi"/>
                  </m:rPr>
                  <w:rPr>
                    <w:rFonts w:ascii="Cambria Math" w:hAnsi="Cambria Math"/>
                    <w:smallCaps/>
                    <w:color w:val="00B0F0"/>
                    <w:lang w:eastAsia="fr-FR"/>
                  </w:rPr>
                  <m:t>N</m:t>
                </m:r>
              </m:e>
              <m:sub>
                <m:r>
                  <m:rPr>
                    <m:sty m:val="bi"/>
                  </m:rPr>
                  <w:rPr>
                    <w:rFonts w:ascii="Cambria Math" w:hAnsi="Cambria Math"/>
                    <w:smallCaps/>
                    <w:color w:val="00B0F0"/>
                    <w:lang w:eastAsia="fr-FR"/>
                  </w:rPr>
                  <m:t>2</m:t>
                </m:r>
              </m:sub>
            </m:sSub>
          </m:e>
          <m:sub>
            <m:r>
              <m:rPr>
                <m:sty m:val="bi"/>
              </m:rPr>
              <w:rPr>
                <w:rFonts w:ascii="Cambria Math" w:hAnsi="Cambria Math"/>
                <w:smallCaps/>
                <w:color w:val="00B0F0"/>
                <w:lang w:eastAsia="fr-FR"/>
              </w:rPr>
              <m:t>(g)</m:t>
            </m:r>
          </m:sub>
        </m:sSub>
        <m:r>
          <m:rPr>
            <m:sty m:val="bi"/>
          </m:rPr>
          <w:rPr>
            <w:rFonts w:ascii="Cambria Math" w:hAnsi="Cambria Math"/>
            <w:smallCaps/>
            <w:color w:val="00B0F0"/>
            <w:lang w:eastAsia="fr-FR"/>
          </w:rPr>
          <m:t xml:space="preserve"> + 3</m:t>
        </m:r>
        <m:sSub>
          <m:sSubPr>
            <m:ctrlPr>
              <w:rPr>
                <w:rFonts w:ascii="Cambria Math" w:hAnsi="Cambria Math"/>
                <w:b/>
                <w:bCs/>
                <w:i/>
                <w:iCs/>
                <w:smallCaps/>
                <w:color w:val="00B0F0"/>
                <w:lang w:eastAsia="fr-FR"/>
              </w:rPr>
            </m:ctrlPr>
          </m:sSubPr>
          <m:e>
            <m:sSub>
              <m:sSubPr>
                <m:ctrlPr>
                  <w:rPr>
                    <w:rFonts w:ascii="Cambria Math" w:hAnsi="Cambria Math"/>
                    <w:b/>
                    <w:bCs/>
                    <w:i/>
                    <w:iCs/>
                    <w:smallCaps/>
                    <w:color w:val="00B0F0"/>
                    <w:lang w:eastAsia="fr-FR"/>
                  </w:rPr>
                </m:ctrlPr>
              </m:sSubPr>
              <m:e>
                <m:r>
                  <m:rPr>
                    <m:sty m:val="bi"/>
                  </m:rPr>
                  <w:rPr>
                    <w:rFonts w:ascii="Cambria Math" w:hAnsi="Cambria Math"/>
                    <w:smallCaps/>
                    <w:color w:val="00B0F0"/>
                    <w:lang w:eastAsia="fr-FR"/>
                  </w:rPr>
                  <m:t>H</m:t>
                </m:r>
              </m:e>
              <m:sub>
                <m:r>
                  <m:rPr>
                    <m:sty m:val="bi"/>
                  </m:rPr>
                  <w:rPr>
                    <w:rFonts w:ascii="Cambria Math" w:hAnsi="Cambria Math"/>
                    <w:smallCaps/>
                    <w:color w:val="00B0F0"/>
                    <w:lang w:eastAsia="fr-FR"/>
                  </w:rPr>
                  <m:t>2</m:t>
                </m:r>
              </m:sub>
            </m:sSub>
          </m:e>
          <m:sub>
            <m:r>
              <m:rPr>
                <m:sty m:val="bi"/>
              </m:rPr>
              <w:rPr>
                <w:rFonts w:ascii="Cambria Math" w:hAnsi="Cambria Math"/>
                <w:smallCaps/>
                <w:color w:val="00B0F0"/>
                <w:lang w:eastAsia="fr-FR"/>
              </w:rPr>
              <m:t>(g)</m:t>
            </m:r>
          </m:sub>
        </m:sSub>
        <m:r>
          <m:rPr>
            <m:sty m:val="bi"/>
          </m:rPr>
          <w:rPr>
            <w:rFonts w:ascii="Cambria Math" w:hAnsi="Cambria Math"/>
            <w:smallCaps/>
            <w:color w:val="00B0F0"/>
            <w:lang w:eastAsia="fr-FR"/>
          </w:rPr>
          <m:t xml:space="preserve"> = 2</m:t>
        </m:r>
        <m:r>
          <m:rPr>
            <m:sty m:val="bi"/>
          </m:rPr>
          <w:rPr>
            <w:rFonts w:ascii="Cambria Math" w:hAnsi="Cambria Math"/>
            <w:smallCaps/>
            <w:color w:val="00B0F0"/>
            <w:lang w:eastAsia="fr-FR"/>
          </w:rPr>
          <m:t>N</m:t>
        </m:r>
        <m:sSub>
          <m:sSubPr>
            <m:ctrlPr>
              <w:rPr>
                <w:rFonts w:ascii="Cambria Math" w:hAnsi="Cambria Math"/>
                <w:b/>
                <w:bCs/>
                <w:i/>
                <w:iCs/>
                <w:smallCaps/>
                <w:color w:val="00B0F0"/>
                <w:lang w:eastAsia="fr-FR"/>
              </w:rPr>
            </m:ctrlPr>
          </m:sSubPr>
          <m:e>
            <m:sSub>
              <m:sSubPr>
                <m:ctrlPr>
                  <w:rPr>
                    <w:rFonts w:ascii="Cambria Math" w:hAnsi="Cambria Math"/>
                    <w:b/>
                    <w:bCs/>
                    <w:i/>
                    <w:iCs/>
                    <w:smallCaps/>
                    <w:color w:val="00B0F0"/>
                    <w:lang w:eastAsia="fr-FR"/>
                  </w:rPr>
                </m:ctrlPr>
              </m:sSubPr>
              <m:e>
                <m:r>
                  <m:rPr>
                    <m:sty m:val="bi"/>
                  </m:rPr>
                  <w:rPr>
                    <w:rFonts w:ascii="Cambria Math" w:hAnsi="Cambria Math"/>
                    <w:smallCaps/>
                    <w:color w:val="00B0F0"/>
                    <w:lang w:eastAsia="fr-FR"/>
                  </w:rPr>
                  <m:t>H</m:t>
                </m:r>
              </m:e>
              <m:sub>
                <m:r>
                  <m:rPr>
                    <m:sty m:val="bi"/>
                  </m:rPr>
                  <w:rPr>
                    <w:rFonts w:ascii="Cambria Math" w:hAnsi="Cambria Math"/>
                    <w:smallCaps/>
                    <w:color w:val="00B0F0"/>
                    <w:lang w:eastAsia="fr-FR"/>
                  </w:rPr>
                  <m:t>3</m:t>
                </m:r>
              </m:sub>
            </m:sSub>
          </m:e>
          <m:sub>
            <m:r>
              <m:rPr>
                <m:sty m:val="bi"/>
              </m:rPr>
              <w:rPr>
                <w:rFonts w:ascii="Cambria Math" w:hAnsi="Cambria Math"/>
                <w:smallCaps/>
                <w:color w:val="00B0F0"/>
                <w:lang w:eastAsia="fr-FR"/>
              </w:rPr>
              <m:t>(g)</m:t>
            </m:r>
          </m:sub>
        </m:sSub>
      </m:oMath>
      <w:r w:rsidRPr="00410F92">
        <w:rPr>
          <w:rFonts w:eastAsiaTheme="minorEastAsia"/>
          <w:b/>
          <w:bCs/>
          <w:i/>
          <w:iCs/>
          <w:smallCaps/>
          <w:color w:val="00B0F0"/>
          <w:lang w:eastAsia="fr-FR"/>
        </w:rPr>
        <w:t>.</w:t>
      </w:r>
    </w:p>
    <w:p w:rsidR="00410F92" w:rsidRPr="00410F92" w:rsidRDefault="00410F92" w:rsidP="00410F92">
      <w:pPr>
        <w:pStyle w:val="Sansinterligne"/>
        <w:rPr>
          <w:b/>
          <w:bCs/>
          <w:i/>
          <w:iCs/>
          <w:smallCaps/>
          <w:color w:val="00B0F0"/>
          <w:lang w:eastAsia="fr-FR"/>
        </w:rPr>
      </w:pPr>
      <w:r w:rsidRPr="00410F92">
        <w:rPr>
          <w:b/>
          <w:bCs/>
          <w:i/>
          <w:iCs/>
          <w:smallCaps/>
          <w:color w:val="00B0F0"/>
          <w:lang w:eastAsia="fr-FR"/>
        </w:rPr>
        <w:t xml:space="preserve">Carl Bosch (chimiste allemand, prix Nobel en 1931 pour le développement de méthodes chimiques à haute pression) est le responsable de l’industrialisation de ce procédé en 1913. </w:t>
      </w:r>
    </w:p>
    <w:p w:rsidR="00410F92" w:rsidRPr="00410F92" w:rsidRDefault="00410F92" w:rsidP="00410F92">
      <w:pPr>
        <w:pStyle w:val="Sansinterligne"/>
        <w:rPr>
          <w:b/>
          <w:bCs/>
          <w:i/>
          <w:iCs/>
          <w:smallCaps/>
          <w:color w:val="00B0F0"/>
          <w:lang w:eastAsia="fr-FR"/>
        </w:rPr>
      </w:pPr>
      <w:r w:rsidRPr="00410F92">
        <w:rPr>
          <w:b/>
          <w:bCs/>
          <w:i/>
          <w:iCs/>
          <w:smallCaps/>
          <w:color w:val="00B0F0"/>
          <w:lang w:eastAsia="fr-FR"/>
        </w:rPr>
        <w:t>L’ammoniac est la base de plusieurs engrais azotés synthétiques et transformation en acide nitrique (qui permet de fabriquer la poudre à canon donc la TNT).</w:t>
      </w:r>
    </w:p>
    <w:p w:rsidR="00410F92" w:rsidRDefault="00410F92" w:rsidP="00410F92">
      <w:pPr>
        <w:pStyle w:val="Sansinterligne"/>
        <w:rPr>
          <w:b/>
          <w:bCs/>
          <w:i/>
          <w:iCs/>
          <w:smallCaps/>
          <w:color w:val="00B0F0"/>
          <w:lang w:eastAsia="fr-FR"/>
        </w:rPr>
      </w:pPr>
      <w:r w:rsidRPr="00410F92">
        <w:rPr>
          <w:b/>
          <w:bCs/>
          <w:i/>
          <w:iCs/>
          <w:smallCaps/>
          <w:color w:val="00B0F0"/>
          <w:lang w:eastAsia="fr-FR"/>
        </w:rPr>
        <w:t>Réaction à haute pression</w:t>
      </w:r>
      <w:r>
        <w:rPr>
          <w:b/>
          <w:bCs/>
          <w:i/>
          <w:iCs/>
          <w:smallCaps/>
          <w:color w:val="00B0F0"/>
          <w:lang w:eastAsia="fr-FR"/>
        </w:rPr>
        <w:t xml:space="preserve"> 200 </w:t>
      </w:r>
      <w:proofErr w:type="spellStart"/>
      <w:r>
        <w:rPr>
          <w:b/>
          <w:bCs/>
          <w:i/>
          <w:iCs/>
          <w:smallCaps/>
          <w:color w:val="00B0F0"/>
          <w:lang w:eastAsia="fr-FR"/>
        </w:rPr>
        <w:t>atm</w:t>
      </w:r>
      <w:proofErr w:type="spellEnd"/>
      <w:r>
        <w:rPr>
          <w:b/>
          <w:bCs/>
          <w:i/>
          <w:iCs/>
          <w:smallCaps/>
          <w:color w:val="00B0F0"/>
          <w:lang w:eastAsia="fr-FR"/>
        </w:rPr>
        <w:t xml:space="preserve"> (loi de modération de le Chatelier)</w:t>
      </w:r>
      <w:r w:rsidRPr="00410F92">
        <w:rPr>
          <w:b/>
          <w:bCs/>
          <w:i/>
          <w:iCs/>
          <w:smallCaps/>
          <w:color w:val="00B0F0"/>
          <w:lang w:eastAsia="fr-FR"/>
        </w:rPr>
        <w:t xml:space="preserve"> et à 450°C (pour des raisons cinétiques</w:t>
      </w:r>
      <w:r>
        <w:rPr>
          <w:b/>
          <w:bCs/>
          <w:i/>
          <w:iCs/>
          <w:smallCaps/>
          <w:color w:val="00B0F0"/>
          <w:lang w:eastAsia="fr-FR"/>
        </w:rPr>
        <w:t xml:space="preserve"> car </w:t>
      </w:r>
      <m:oMath>
        <m:sSub>
          <m:sSubPr>
            <m:ctrlPr>
              <w:rPr>
                <w:rFonts w:ascii="Cambria Math" w:hAnsi="Cambria Math"/>
                <w:b/>
                <w:bCs/>
                <w:i/>
                <w:iCs/>
                <w:smallCaps/>
                <w:color w:val="00B0F0"/>
                <w:lang w:eastAsia="fr-FR"/>
              </w:rPr>
            </m:ctrlPr>
          </m:sSubPr>
          <m:e>
            <m:r>
              <m:rPr>
                <m:sty m:val="b"/>
              </m:rPr>
              <w:rPr>
                <w:rFonts w:ascii="Cambria Math" w:hAnsi="Cambria Math"/>
                <w:smallCaps/>
                <w:color w:val="00B0F0"/>
                <w:lang w:eastAsia="fr-FR"/>
              </w:rPr>
              <m:t>Δ</m:t>
            </m:r>
            <m:ctrlPr>
              <w:rPr>
                <w:rFonts w:ascii="Cambria Math" w:hAnsi="Cambria Math"/>
                <w:b/>
                <w:bCs/>
                <w:iCs/>
                <w:smallCaps/>
                <w:color w:val="00B0F0"/>
                <w:lang w:eastAsia="fr-FR"/>
              </w:rPr>
            </m:ctrlPr>
          </m:e>
          <m:sub>
            <m:r>
              <m:rPr>
                <m:sty m:val="bi"/>
              </m:rPr>
              <w:rPr>
                <w:rFonts w:ascii="Cambria Math" w:hAnsi="Cambria Math"/>
                <w:smallCaps/>
                <w:color w:val="00B0F0"/>
                <w:lang w:eastAsia="fr-FR"/>
              </w:rPr>
              <m:t>r</m:t>
            </m:r>
          </m:sub>
        </m:sSub>
        <m:sSup>
          <m:sSupPr>
            <m:ctrlPr>
              <w:rPr>
                <w:rFonts w:ascii="Cambria Math" w:hAnsi="Cambria Math"/>
                <w:b/>
                <w:bCs/>
                <w:i/>
                <w:iCs/>
                <w:smallCaps/>
                <w:color w:val="00B0F0"/>
                <w:lang w:eastAsia="fr-FR"/>
              </w:rPr>
            </m:ctrlPr>
          </m:sSupPr>
          <m:e>
            <m:r>
              <m:rPr>
                <m:sty m:val="bi"/>
              </m:rPr>
              <w:rPr>
                <w:rFonts w:ascii="Cambria Math" w:hAnsi="Cambria Math"/>
                <w:smallCaps/>
                <w:color w:val="00B0F0"/>
                <w:lang w:eastAsia="fr-FR"/>
              </w:rPr>
              <m:t>H</m:t>
            </m:r>
          </m:e>
          <m:sup>
            <m:r>
              <m:rPr>
                <m:sty m:val="bi"/>
              </m:rPr>
              <w:rPr>
                <w:rFonts w:ascii="Cambria Math" w:hAnsi="Cambria Math"/>
                <w:smallCaps/>
                <w:color w:val="00B0F0"/>
                <w:lang w:eastAsia="fr-FR"/>
              </w:rPr>
              <m:t>°</m:t>
            </m:r>
          </m:sup>
        </m:sSup>
        <m:r>
          <m:rPr>
            <m:sty m:val="bi"/>
          </m:rPr>
          <w:rPr>
            <w:rFonts w:ascii="Cambria Math" w:hAnsi="Cambria Math"/>
            <w:smallCaps/>
            <w:color w:val="00B0F0"/>
            <w:lang w:eastAsia="fr-FR"/>
          </w:rPr>
          <m:t>= -91.8 kJ.mo</m:t>
        </m:r>
        <m:sSup>
          <m:sSupPr>
            <m:ctrlPr>
              <w:rPr>
                <w:rFonts w:ascii="Cambria Math" w:hAnsi="Cambria Math"/>
                <w:b/>
                <w:bCs/>
                <w:i/>
                <w:iCs/>
                <w:smallCaps/>
                <w:color w:val="00B0F0"/>
                <w:lang w:eastAsia="fr-FR"/>
              </w:rPr>
            </m:ctrlPr>
          </m:sSupPr>
          <m:e>
            <m:r>
              <m:rPr>
                <m:sty m:val="bi"/>
              </m:rPr>
              <w:rPr>
                <w:rFonts w:ascii="Cambria Math" w:hAnsi="Cambria Math"/>
                <w:smallCaps/>
                <w:color w:val="00B0F0"/>
                <w:lang w:eastAsia="fr-FR"/>
              </w:rPr>
              <m:t>l</m:t>
            </m:r>
          </m:e>
          <m:sup>
            <m:r>
              <m:rPr>
                <m:sty m:val="bi"/>
              </m:rPr>
              <w:rPr>
                <w:rFonts w:ascii="Cambria Math" w:hAnsi="Cambria Math"/>
                <w:smallCaps/>
                <w:color w:val="00B0F0"/>
                <w:lang w:eastAsia="fr-FR"/>
              </w:rPr>
              <m:t>-1</m:t>
            </m:r>
          </m:sup>
        </m:sSup>
      </m:oMath>
      <w:r w:rsidRPr="00410F92">
        <w:rPr>
          <w:b/>
          <w:bCs/>
          <w:i/>
          <w:iCs/>
          <w:smallCaps/>
          <w:color w:val="00B0F0"/>
          <w:lang w:eastAsia="fr-FR"/>
        </w:rPr>
        <w:t>) avec utilisation d’un catalyseur.</w:t>
      </w:r>
    </w:p>
    <w:p w:rsidR="00025BCD" w:rsidRPr="00410F92" w:rsidRDefault="00025BCD" w:rsidP="00410F92">
      <w:pPr>
        <w:pStyle w:val="Sansinterligne"/>
        <w:rPr>
          <w:b/>
          <w:bCs/>
          <w:i/>
          <w:iCs/>
          <w:smallCaps/>
          <w:color w:val="00B0F0"/>
          <w:lang w:eastAsia="fr-FR"/>
        </w:rPr>
      </w:pPr>
    </w:p>
    <w:p w:rsidR="00410F92" w:rsidRDefault="00F01326" w:rsidP="00903C35">
      <w:pPr>
        <w:pStyle w:val="Sansinterligne"/>
        <w:rPr>
          <w:rFonts w:eastAsiaTheme="minorEastAsia"/>
          <w:b/>
          <w:bCs/>
          <w:i/>
          <w:iCs/>
          <w:smallCaps/>
          <w:color w:val="00B0F0"/>
        </w:rPr>
      </w:pPr>
      <w:r>
        <w:rPr>
          <w:rFonts w:eastAsiaTheme="minorEastAsia"/>
          <w:b/>
          <w:bCs/>
          <w:i/>
          <w:iCs/>
          <w:smallCaps/>
          <w:color w:val="00B0F0"/>
        </w:rPr>
        <w:t xml:space="preserve">On peut aussi parler de l’utilisation de Dean-Stark pour augmenter les rendements d’estérifications. </w:t>
      </w:r>
    </w:p>
    <w:p w:rsidR="00025BCD" w:rsidRDefault="00025BCD" w:rsidP="00903C35">
      <w:pPr>
        <w:pStyle w:val="Sansinterligne"/>
        <w:rPr>
          <w:rFonts w:eastAsiaTheme="minorEastAsia"/>
          <w:b/>
          <w:bCs/>
          <w:i/>
          <w:iCs/>
          <w:smallCaps/>
          <w:color w:val="00B0F0"/>
        </w:rPr>
      </w:pPr>
    </w:p>
    <w:p w:rsidR="00643AE6" w:rsidRDefault="00643AE6" w:rsidP="00903C35">
      <w:pPr>
        <w:pStyle w:val="Sansinterligne"/>
        <w:rPr>
          <w:rFonts w:eastAsiaTheme="minorEastAsia"/>
          <w:b/>
          <w:bCs/>
          <w:i/>
          <w:iCs/>
          <w:smallCaps/>
          <w:color w:val="00B0F0"/>
        </w:rPr>
      </w:pPr>
      <w:r>
        <w:rPr>
          <w:rFonts w:eastAsiaTheme="minorEastAsia"/>
          <w:b/>
          <w:bCs/>
          <w:i/>
          <w:iCs/>
          <w:smallCaps/>
          <w:color w:val="00B0F0"/>
        </w:rPr>
        <w:t>Diagramme d’</w:t>
      </w:r>
      <w:proofErr w:type="spellStart"/>
      <w:r>
        <w:rPr>
          <w:rFonts w:eastAsiaTheme="minorEastAsia"/>
          <w:b/>
          <w:bCs/>
          <w:i/>
          <w:iCs/>
          <w:smallCaps/>
          <w:color w:val="00B0F0"/>
        </w:rPr>
        <w:t>Ellingham</w:t>
      </w:r>
      <w:proofErr w:type="spellEnd"/>
      <w:r>
        <w:rPr>
          <w:rFonts w:eastAsiaTheme="minorEastAsia"/>
          <w:b/>
          <w:bCs/>
          <w:i/>
          <w:iCs/>
          <w:smallCaps/>
          <w:color w:val="00B0F0"/>
        </w:rPr>
        <w:t xml:space="preserve"> : Consiste à tracer </w:t>
      </w:r>
      <m:oMath>
        <m:sSub>
          <m:sSubPr>
            <m:ctrlPr>
              <w:rPr>
                <w:rFonts w:ascii="Cambria Math" w:eastAsiaTheme="minorEastAsia" w:hAnsi="Cambria Math"/>
                <w:b/>
                <w:bCs/>
                <w:i/>
                <w:iCs/>
                <w:smallCaps/>
                <w:color w:val="00B0F0"/>
              </w:rPr>
            </m:ctrlPr>
          </m:sSubPr>
          <m:e>
            <m:r>
              <m:rPr>
                <m:sty m:val="b"/>
              </m:rPr>
              <w:rPr>
                <w:rFonts w:ascii="Cambria Math" w:eastAsiaTheme="minorEastAsia" w:hAnsi="Cambria Math"/>
                <w:smallCaps/>
                <w:color w:val="00B0F0"/>
              </w:rPr>
              <m:t>Δ</m:t>
            </m:r>
            <m:ctrlPr>
              <w:rPr>
                <w:rFonts w:ascii="Cambria Math" w:eastAsiaTheme="minorEastAsia" w:hAnsi="Cambria Math"/>
                <w:b/>
                <w:bCs/>
                <w:iCs/>
                <w:smallCaps/>
                <w:color w:val="00B0F0"/>
              </w:rPr>
            </m:ctrlPr>
          </m:e>
          <m:sub>
            <m:r>
              <m:rPr>
                <m:sty m:val="bi"/>
              </m:rPr>
              <w:rPr>
                <w:rFonts w:ascii="Cambria Math" w:eastAsiaTheme="minorEastAsia" w:hAnsi="Cambria Math"/>
                <w:smallCaps/>
                <w:color w:val="00B0F0"/>
              </w:rPr>
              <m:t>r</m:t>
            </m:r>
          </m:sub>
        </m:sSub>
        <m:sSup>
          <m:sSupPr>
            <m:ctrlPr>
              <w:rPr>
                <w:rFonts w:ascii="Cambria Math" w:eastAsiaTheme="minorEastAsia" w:hAnsi="Cambria Math"/>
                <w:b/>
                <w:bCs/>
                <w:i/>
                <w:iCs/>
                <w:smallCaps/>
                <w:color w:val="00B0F0"/>
              </w:rPr>
            </m:ctrlPr>
          </m:sSupPr>
          <m:e>
            <m:r>
              <m:rPr>
                <m:sty m:val="bi"/>
              </m:rPr>
              <w:rPr>
                <w:rFonts w:ascii="Cambria Math" w:eastAsiaTheme="minorEastAsia" w:hAnsi="Cambria Math"/>
                <w:smallCaps/>
                <w:color w:val="00B0F0"/>
              </w:rPr>
              <m:t>G</m:t>
            </m:r>
          </m:e>
          <m:sup>
            <m:r>
              <m:rPr>
                <m:sty m:val="bi"/>
              </m:rPr>
              <w:rPr>
                <w:rFonts w:ascii="Cambria Math" w:eastAsiaTheme="minorEastAsia" w:hAnsi="Cambria Math"/>
                <w:smallCaps/>
                <w:color w:val="00B0F0"/>
              </w:rPr>
              <m:t>°</m:t>
            </m:r>
          </m:sup>
        </m:sSup>
      </m:oMath>
      <w:r>
        <w:rPr>
          <w:rFonts w:eastAsiaTheme="minorEastAsia"/>
          <w:b/>
          <w:bCs/>
          <w:i/>
          <w:iCs/>
          <w:smallCaps/>
          <w:color w:val="00B0F0"/>
        </w:rPr>
        <w:t xml:space="preserve"> en fonction de la température. Il s’agit de portions de droites. Ces diagrammes sont utilisés pour l’oxydation des métaux </w:t>
      </w:r>
    </w:p>
    <w:p w:rsidR="00643AE6" w:rsidRDefault="00643AE6" w:rsidP="00903C35">
      <w:pPr>
        <w:pStyle w:val="Sansinterligne"/>
        <w:rPr>
          <w:rFonts w:eastAsiaTheme="minorEastAsia"/>
          <w:b/>
          <w:bCs/>
          <w:i/>
          <w:iCs/>
          <w:smallCaps/>
          <w:color w:val="00B0F0"/>
        </w:rPr>
      </w:pPr>
      <w:r>
        <w:rPr>
          <w:noProof/>
          <w:lang w:eastAsia="fr-FR"/>
        </w:rPr>
        <w:drawing>
          <wp:anchor distT="0" distB="0" distL="114300" distR="114300" simplePos="0" relativeHeight="251660288" behindDoc="0" locked="0" layoutInCell="1" allowOverlap="1">
            <wp:simplePos x="0" y="0"/>
            <wp:positionH relativeFrom="column">
              <wp:posOffset>-4445</wp:posOffset>
            </wp:positionH>
            <wp:positionV relativeFrom="paragraph">
              <wp:posOffset>3175</wp:posOffset>
            </wp:positionV>
            <wp:extent cx="2200275" cy="1574087"/>
            <wp:effectExtent l="0" t="0" r="0" b="762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00275" cy="1574087"/>
                    </a:xfrm>
                    <a:prstGeom prst="rect">
                      <a:avLst/>
                    </a:prstGeom>
                  </pic:spPr>
                </pic:pic>
              </a:graphicData>
            </a:graphic>
          </wp:anchor>
        </w:drawing>
      </w:r>
      <w:r>
        <w:rPr>
          <w:rFonts w:eastAsiaTheme="minorEastAsia"/>
          <w:b/>
          <w:bCs/>
          <w:i/>
          <w:iCs/>
          <w:smallCaps/>
          <w:color w:val="00B0F0"/>
        </w:rPr>
        <w:t xml:space="preserve">Ces diagrammes permettent de savoir rapidement quelles réactions peuvent avoir lieu. </w:t>
      </w:r>
    </w:p>
    <w:p w:rsidR="00643AE6" w:rsidRDefault="00643AE6" w:rsidP="00903C35">
      <w:pPr>
        <w:pStyle w:val="Sansinterligne"/>
        <w:rPr>
          <w:rFonts w:eastAsiaTheme="minorEastAsia"/>
          <w:b/>
          <w:bCs/>
          <w:i/>
          <w:iCs/>
          <w:smallCaps/>
          <w:color w:val="00B0F0"/>
        </w:rPr>
      </w:pPr>
      <w:r>
        <w:rPr>
          <w:rFonts w:eastAsiaTheme="minorEastAsia"/>
          <w:b/>
          <w:bCs/>
          <w:i/>
          <w:iCs/>
          <w:smallCaps/>
          <w:color w:val="00B0F0"/>
        </w:rPr>
        <w:t xml:space="preserve">Ces diagrammes sont totalement hors programme. </w:t>
      </w:r>
    </w:p>
    <w:p w:rsidR="00576708" w:rsidRDefault="00576708" w:rsidP="00903C35">
      <w:pPr>
        <w:pStyle w:val="Sansinterligne"/>
        <w:rPr>
          <w:rFonts w:eastAsiaTheme="minorEastAsia"/>
          <w:b/>
          <w:bCs/>
          <w:i/>
          <w:iCs/>
          <w:smallCaps/>
          <w:color w:val="00B0F0"/>
        </w:rPr>
      </w:pPr>
    </w:p>
    <w:p w:rsidR="00576708" w:rsidRDefault="00576708" w:rsidP="00903C35">
      <w:pPr>
        <w:pStyle w:val="Sansinterligne"/>
        <w:rPr>
          <w:rFonts w:eastAsiaTheme="minorEastAsia"/>
          <w:b/>
          <w:bCs/>
          <w:i/>
          <w:iCs/>
          <w:smallCaps/>
          <w:color w:val="00B0F0"/>
        </w:rPr>
      </w:pPr>
    </w:p>
    <w:p w:rsidR="00576708" w:rsidRDefault="00576708" w:rsidP="00903C35">
      <w:pPr>
        <w:pStyle w:val="Sansinterligne"/>
        <w:rPr>
          <w:rFonts w:eastAsiaTheme="minorEastAsia"/>
          <w:b/>
          <w:bCs/>
          <w:i/>
          <w:iCs/>
          <w:smallCaps/>
          <w:color w:val="00B0F0"/>
        </w:rPr>
      </w:pPr>
    </w:p>
    <w:p w:rsidR="00576708" w:rsidRDefault="00576708" w:rsidP="00903C35">
      <w:pPr>
        <w:pStyle w:val="Sansinterligne"/>
        <w:rPr>
          <w:rFonts w:eastAsiaTheme="minorEastAsia"/>
          <w:b/>
          <w:bCs/>
          <w:i/>
          <w:iCs/>
          <w:smallCaps/>
          <w:color w:val="00B0F0"/>
        </w:rPr>
      </w:pPr>
    </w:p>
    <w:p w:rsidR="00576708" w:rsidRDefault="00576708" w:rsidP="00903C35">
      <w:pPr>
        <w:pStyle w:val="Sansinterligne"/>
        <w:rPr>
          <w:rFonts w:eastAsiaTheme="minorEastAsia"/>
          <w:b/>
          <w:bCs/>
          <w:i/>
          <w:iCs/>
          <w:smallCaps/>
          <w:color w:val="00B0F0"/>
        </w:rPr>
      </w:pPr>
    </w:p>
    <w:p w:rsidR="00576708" w:rsidRDefault="00576708" w:rsidP="00903C35">
      <w:pPr>
        <w:pStyle w:val="Sansinterligne"/>
        <w:rPr>
          <w:rFonts w:eastAsiaTheme="minorEastAsia"/>
          <w:b/>
          <w:bCs/>
          <w:i/>
          <w:iCs/>
          <w:smallCaps/>
          <w:color w:val="00B0F0"/>
        </w:rPr>
      </w:pPr>
    </w:p>
    <w:p w:rsidR="00576708" w:rsidRDefault="00576708" w:rsidP="00903C35">
      <w:pPr>
        <w:pStyle w:val="Sansinterligne"/>
        <w:rPr>
          <w:rFonts w:eastAsiaTheme="minorEastAsia"/>
          <w:b/>
          <w:bCs/>
          <w:i/>
          <w:iCs/>
          <w:smallCaps/>
          <w:color w:val="00B0F0"/>
        </w:rPr>
      </w:pPr>
    </w:p>
    <w:p w:rsidR="00576708" w:rsidRDefault="00576708" w:rsidP="00903C35">
      <w:pPr>
        <w:pStyle w:val="Sansinterligne"/>
        <w:rPr>
          <w:rFonts w:eastAsiaTheme="minorEastAsia"/>
          <w:b/>
          <w:bCs/>
          <w:i/>
          <w:iCs/>
          <w:smallCaps/>
          <w:color w:val="00B0F0"/>
        </w:rPr>
      </w:pPr>
    </w:p>
    <w:p w:rsidR="00576708" w:rsidRDefault="00576708" w:rsidP="00576708">
      <w:pPr>
        <w:pStyle w:val="Sansinterligne"/>
        <w:jc w:val="center"/>
        <w:rPr>
          <w:b/>
          <w:bCs/>
          <w:u w:val="single"/>
        </w:rPr>
      </w:pPr>
      <w:r>
        <w:rPr>
          <w:b/>
          <w:bCs/>
          <w:u w:val="single"/>
        </w:rPr>
        <w:t>Questions possibles</w:t>
      </w:r>
    </w:p>
    <w:p w:rsidR="00576708" w:rsidRDefault="00576708" w:rsidP="00576708">
      <w:pPr>
        <w:pStyle w:val="Sansinterligne"/>
        <w:jc w:val="center"/>
        <w:rPr>
          <w:b/>
          <w:bCs/>
          <w:u w:val="single"/>
        </w:rPr>
      </w:pPr>
    </w:p>
    <w:p w:rsidR="00576708" w:rsidRDefault="00576708" w:rsidP="00576708">
      <w:pPr>
        <w:pStyle w:val="Sansinterligne"/>
        <w:rPr>
          <w:b/>
          <w:bCs/>
        </w:rPr>
      </w:pPr>
      <w:r>
        <w:rPr>
          <w:b/>
          <w:bCs/>
        </w:rPr>
        <w:t>Définition de l’équilibre thermodynamique et d’un système fermé ?</w:t>
      </w:r>
    </w:p>
    <w:p w:rsidR="00576708" w:rsidRDefault="00576708" w:rsidP="00576708">
      <w:pPr>
        <w:pStyle w:val="Sansinterligne"/>
        <w:rPr>
          <w:i/>
          <w:iCs/>
        </w:rPr>
      </w:pPr>
      <w:r>
        <w:rPr>
          <w:i/>
          <w:iCs/>
        </w:rPr>
        <w:tab/>
        <w:t>Un système isolé est à l’équilibre thermodynamique lorsque son état macroscopique n’évolue pas spontanément au cours du temps. Il est donc à l’équilibre chimique, thermique, mécanique, magnétique… et il est caractérisé par sa température, sa pression, son potentiel chimique…</w:t>
      </w:r>
    </w:p>
    <w:p w:rsidR="00576708" w:rsidRDefault="00576708" w:rsidP="00576708">
      <w:pPr>
        <w:pStyle w:val="Sansinterligne"/>
        <w:rPr>
          <w:i/>
          <w:iCs/>
        </w:rPr>
      </w:pPr>
      <w:r>
        <w:rPr>
          <w:i/>
          <w:iCs/>
        </w:rPr>
        <w:tab/>
        <w:t>Un système est dit fermé s’il n’échange pas de matière avec l’extérieur.</w:t>
      </w:r>
    </w:p>
    <w:p w:rsidR="00576708" w:rsidRDefault="00576708" w:rsidP="00576708">
      <w:pPr>
        <w:pStyle w:val="Sansinterligne"/>
        <w:rPr>
          <w:i/>
          <w:iCs/>
        </w:rPr>
      </w:pPr>
    </w:p>
    <w:p w:rsidR="00576708" w:rsidRDefault="00576708" w:rsidP="00576708">
      <w:pPr>
        <w:pStyle w:val="Sansinterligne"/>
        <w:rPr>
          <w:b/>
          <w:bCs/>
        </w:rPr>
      </w:pPr>
      <w:r>
        <w:rPr>
          <w:b/>
          <w:bCs/>
        </w:rPr>
        <w:t>Comment faites-vous pour monter un Dean-Stark ?</w:t>
      </w:r>
    </w:p>
    <w:p w:rsidR="00576708" w:rsidRDefault="00576708" w:rsidP="00576708">
      <w:pPr>
        <w:pStyle w:val="Sansinterligne"/>
        <w:rPr>
          <w:i/>
          <w:iCs/>
        </w:rPr>
      </w:pPr>
      <w:r>
        <w:rPr>
          <w:i/>
          <w:iCs/>
        </w:rPr>
        <w:tab/>
        <w:t>Voir le livre d’ASB</w:t>
      </w:r>
    </w:p>
    <w:p w:rsidR="00576708" w:rsidRDefault="00576708" w:rsidP="00903C35">
      <w:pPr>
        <w:pStyle w:val="Sansinterligne"/>
        <w:rPr>
          <w:rFonts w:eastAsiaTheme="minorEastAsia"/>
          <w:b/>
          <w:bCs/>
          <w:i/>
          <w:iCs/>
          <w:smallCaps/>
          <w:color w:val="00B0F0"/>
        </w:rPr>
      </w:pPr>
    </w:p>
    <w:p w:rsidR="00C84D90" w:rsidRDefault="00C84D90" w:rsidP="00903C35">
      <w:pPr>
        <w:pStyle w:val="Sansinterligne"/>
        <w:rPr>
          <w:rFonts w:eastAsiaTheme="minorEastAsia"/>
          <w:b/>
          <w:bCs/>
          <w:i/>
          <w:iCs/>
          <w:smallCaps/>
          <w:color w:val="00B0F0"/>
        </w:rPr>
      </w:pPr>
    </w:p>
    <w:p w:rsidR="00C84D90" w:rsidRDefault="00C84D90" w:rsidP="00903C35">
      <w:pPr>
        <w:pStyle w:val="Sansinterligne"/>
        <w:rPr>
          <w:rFonts w:eastAsiaTheme="minorEastAsia"/>
          <w:b/>
          <w:bCs/>
          <w:i/>
          <w:iCs/>
          <w:smallCaps/>
          <w:color w:val="00B0F0"/>
        </w:rPr>
      </w:pPr>
      <w:r>
        <w:rPr>
          <w:rFonts w:eastAsiaTheme="minorEastAsia"/>
          <w:b/>
          <w:bCs/>
          <w:i/>
          <w:iCs/>
          <w:smallCaps/>
          <w:noProof/>
          <w:color w:val="00B0F0"/>
          <w:lang w:eastAsia="fr-FR"/>
        </w:rPr>
        <w:lastRenderedPageBreak/>
        <w:drawing>
          <wp:inline distT="0" distB="0" distL="0" distR="0">
            <wp:extent cx="5760720" cy="5979056"/>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60720" cy="5979056"/>
                    </a:xfrm>
                    <a:prstGeom prst="rect">
                      <a:avLst/>
                    </a:prstGeom>
                    <a:noFill/>
                    <a:ln w="9525">
                      <a:noFill/>
                      <a:miter lim="800000"/>
                      <a:headEnd/>
                      <a:tailEnd/>
                    </a:ln>
                  </pic:spPr>
                </pic:pic>
              </a:graphicData>
            </a:graphic>
          </wp:inline>
        </w:drawing>
      </w:r>
    </w:p>
    <w:p w:rsidR="00C84D90" w:rsidRPr="00410F92" w:rsidRDefault="00C84D90" w:rsidP="00903C35">
      <w:pPr>
        <w:pStyle w:val="Sansinterligne"/>
        <w:rPr>
          <w:rFonts w:eastAsiaTheme="minorEastAsia"/>
          <w:b/>
          <w:bCs/>
          <w:i/>
          <w:iCs/>
          <w:smallCaps/>
          <w:color w:val="00B0F0"/>
        </w:rPr>
      </w:pPr>
      <w:r>
        <w:rPr>
          <w:rFonts w:eastAsiaTheme="minorEastAsia"/>
          <w:b/>
          <w:bCs/>
          <w:i/>
          <w:iCs/>
          <w:smallCaps/>
          <w:noProof/>
          <w:color w:val="00B0F0"/>
          <w:lang w:eastAsia="fr-FR"/>
        </w:rPr>
        <w:lastRenderedPageBreak/>
        <w:drawing>
          <wp:inline distT="0" distB="0" distL="0" distR="0">
            <wp:extent cx="6286500" cy="8057696"/>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286500" cy="8057696"/>
                    </a:xfrm>
                    <a:prstGeom prst="rect">
                      <a:avLst/>
                    </a:prstGeom>
                    <a:noFill/>
                    <a:ln w="9525">
                      <a:noFill/>
                      <a:miter lim="800000"/>
                      <a:headEnd/>
                      <a:tailEnd/>
                    </a:ln>
                  </pic:spPr>
                </pic:pic>
              </a:graphicData>
            </a:graphic>
          </wp:inline>
        </w:drawing>
      </w:r>
    </w:p>
    <w:sectPr w:rsidR="00C84D90" w:rsidRPr="00410F92" w:rsidSect="00B03C0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7F09" w:rsidRDefault="00007F09" w:rsidP="00A06968">
      <w:pPr>
        <w:spacing w:after="0" w:line="240" w:lineRule="auto"/>
      </w:pPr>
      <w:r>
        <w:separator/>
      </w:r>
    </w:p>
  </w:endnote>
  <w:endnote w:type="continuationSeparator" w:id="0">
    <w:p w:rsidR="00007F09" w:rsidRDefault="00007F09" w:rsidP="00A069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7F09" w:rsidRDefault="00007F09" w:rsidP="00A06968">
      <w:pPr>
        <w:spacing w:after="0" w:line="240" w:lineRule="auto"/>
      </w:pPr>
      <w:r>
        <w:separator/>
      </w:r>
    </w:p>
  </w:footnote>
  <w:footnote w:type="continuationSeparator" w:id="0">
    <w:p w:rsidR="00007F09" w:rsidRDefault="00007F09" w:rsidP="00A06968">
      <w:pPr>
        <w:spacing w:after="0" w:line="240" w:lineRule="auto"/>
      </w:pPr>
      <w:r>
        <w:continuationSeparator/>
      </w:r>
    </w:p>
  </w:footnote>
  <w:footnote w:id="1">
    <w:p w:rsidR="00576708" w:rsidRDefault="00576708">
      <w:pPr>
        <w:pStyle w:val="Notedebasdepage"/>
      </w:pPr>
      <w:r>
        <w:rPr>
          <w:rStyle w:val="Appelnotedebasdep"/>
        </w:rPr>
        <w:footnoteRef/>
      </w:r>
      <w:r>
        <w:t xml:space="preserve"> Chimiste néerlandais né en 1852 et mort en 1911. Prix Nobel en 1901 pour ses travaux sur la cinétique chimique et sur la pression osmotique</w:t>
      </w:r>
    </w:p>
  </w:footnote>
  <w:footnote w:id="2">
    <w:p w:rsidR="00576708" w:rsidRDefault="00576708">
      <w:pPr>
        <w:pStyle w:val="Notedebasdepage"/>
      </w:pPr>
      <w:r>
        <w:rPr>
          <w:rStyle w:val="Appelnotedebasdep"/>
        </w:rPr>
        <w:footnoteRef/>
      </w:r>
      <w:r>
        <w:t xml:space="preserve"> Physicien et chimiste britannique né en 1897 et mort en 1975</w:t>
      </w:r>
    </w:p>
  </w:footnote>
  <w:footnote w:id="3">
    <w:p w:rsidR="00576708" w:rsidRDefault="00576708">
      <w:pPr>
        <w:pStyle w:val="Notedebasdepage"/>
      </w:pPr>
      <w:r>
        <w:rPr>
          <w:rStyle w:val="Appelnotedebasdep"/>
        </w:rPr>
        <w:footnoteRef/>
      </w:r>
      <w:r>
        <w:t xml:space="preserve"> Chimiste français né en 1850 et mort en 1936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30423"/>
    <w:multiLevelType w:val="hybridMultilevel"/>
    <w:tmpl w:val="40E61BBA"/>
    <w:lvl w:ilvl="0" w:tplc="207EF7E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52C1745"/>
    <w:multiLevelType w:val="hybridMultilevel"/>
    <w:tmpl w:val="EB0E26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1D4AA1"/>
    <w:multiLevelType w:val="hybridMultilevel"/>
    <w:tmpl w:val="2B42CE4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A97EE4"/>
    <w:multiLevelType w:val="hybridMultilevel"/>
    <w:tmpl w:val="29C26D64"/>
    <w:lvl w:ilvl="0" w:tplc="D338C74C">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1A9B5548"/>
    <w:multiLevelType w:val="hybridMultilevel"/>
    <w:tmpl w:val="FEE4F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BF409C9"/>
    <w:multiLevelType w:val="hybridMultilevel"/>
    <w:tmpl w:val="86F6EC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C285CC9"/>
    <w:multiLevelType w:val="hybridMultilevel"/>
    <w:tmpl w:val="4CD27460"/>
    <w:lvl w:ilvl="0" w:tplc="F90CEAD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1FDD285C"/>
    <w:multiLevelType w:val="hybridMultilevel"/>
    <w:tmpl w:val="F21E2F34"/>
    <w:lvl w:ilvl="0" w:tplc="12F465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24DC36DE"/>
    <w:multiLevelType w:val="hybridMultilevel"/>
    <w:tmpl w:val="E020C97A"/>
    <w:lvl w:ilvl="0" w:tplc="8BAEFA38">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2C7B2511"/>
    <w:multiLevelType w:val="hybridMultilevel"/>
    <w:tmpl w:val="4A3EA1D0"/>
    <w:lvl w:ilvl="0" w:tplc="79089D4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2E1F1FEE"/>
    <w:multiLevelType w:val="hybridMultilevel"/>
    <w:tmpl w:val="6D6E7C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2400AA6"/>
    <w:multiLevelType w:val="hybridMultilevel"/>
    <w:tmpl w:val="F8C40E0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B97DCC"/>
    <w:multiLevelType w:val="hybridMultilevel"/>
    <w:tmpl w:val="C92AF75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3C131A7"/>
    <w:multiLevelType w:val="hybridMultilevel"/>
    <w:tmpl w:val="1EA03AE2"/>
    <w:lvl w:ilvl="0" w:tplc="AFF8727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3AD405D3"/>
    <w:multiLevelType w:val="hybridMultilevel"/>
    <w:tmpl w:val="C512E306"/>
    <w:lvl w:ilvl="0" w:tplc="B7AA6F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3E53251E"/>
    <w:multiLevelType w:val="hybridMultilevel"/>
    <w:tmpl w:val="0F78BE9C"/>
    <w:lvl w:ilvl="0" w:tplc="0A3E70A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nsid w:val="42C82597"/>
    <w:multiLevelType w:val="hybridMultilevel"/>
    <w:tmpl w:val="6292EC5E"/>
    <w:lvl w:ilvl="0" w:tplc="A52ACC7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46643587"/>
    <w:multiLevelType w:val="hybridMultilevel"/>
    <w:tmpl w:val="84B813F8"/>
    <w:lvl w:ilvl="0" w:tplc="C4162F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A641B1"/>
    <w:multiLevelType w:val="hybridMultilevel"/>
    <w:tmpl w:val="424EFFE4"/>
    <w:lvl w:ilvl="0" w:tplc="D6F6410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nsid w:val="4FFE7740"/>
    <w:multiLevelType w:val="hybridMultilevel"/>
    <w:tmpl w:val="65B663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1044A6"/>
    <w:multiLevelType w:val="hybridMultilevel"/>
    <w:tmpl w:val="2E4C8BBC"/>
    <w:lvl w:ilvl="0" w:tplc="315CEB1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nsid w:val="582977D4"/>
    <w:multiLevelType w:val="hybridMultilevel"/>
    <w:tmpl w:val="EC64394E"/>
    <w:lvl w:ilvl="0" w:tplc="D49C01A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5C601D28"/>
    <w:multiLevelType w:val="hybridMultilevel"/>
    <w:tmpl w:val="176A832A"/>
    <w:lvl w:ilvl="0" w:tplc="7112210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nsid w:val="5FB60F1D"/>
    <w:multiLevelType w:val="hybridMultilevel"/>
    <w:tmpl w:val="824E49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23C2EF7"/>
    <w:multiLevelType w:val="hybridMultilevel"/>
    <w:tmpl w:val="3E06FAC2"/>
    <w:lvl w:ilvl="0" w:tplc="1404379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CF52306"/>
    <w:multiLevelType w:val="hybridMultilevel"/>
    <w:tmpl w:val="64EC47A8"/>
    <w:lvl w:ilvl="0" w:tplc="08644F5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25"/>
  </w:num>
  <w:num w:numId="3">
    <w:abstractNumId w:val="2"/>
  </w:num>
  <w:num w:numId="4">
    <w:abstractNumId w:val="7"/>
  </w:num>
  <w:num w:numId="5">
    <w:abstractNumId w:val="10"/>
  </w:num>
  <w:num w:numId="6">
    <w:abstractNumId w:val="3"/>
  </w:num>
  <w:num w:numId="7">
    <w:abstractNumId w:val="5"/>
  </w:num>
  <w:num w:numId="8">
    <w:abstractNumId w:val="16"/>
  </w:num>
  <w:num w:numId="9">
    <w:abstractNumId w:val="19"/>
  </w:num>
  <w:num w:numId="10">
    <w:abstractNumId w:val="11"/>
  </w:num>
  <w:num w:numId="11">
    <w:abstractNumId w:val="17"/>
  </w:num>
  <w:num w:numId="12">
    <w:abstractNumId w:val="12"/>
  </w:num>
  <w:num w:numId="13">
    <w:abstractNumId w:val="13"/>
  </w:num>
  <w:num w:numId="14">
    <w:abstractNumId w:val="23"/>
  </w:num>
  <w:num w:numId="15">
    <w:abstractNumId w:val="24"/>
  </w:num>
  <w:num w:numId="16">
    <w:abstractNumId w:val="15"/>
  </w:num>
  <w:num w:numId="17">
    <w:abstractNumId w:val="22"/>
  </w:num>
  <w:num w:numId="18">
    <w:abstractNumId w:val="14"/>
  </w:num>
  <w:num w:numId="19">
    <w:abstractNumId w:val="6"/>
  </w:num>
  <w:num w:numId="20">
    <w:abstractNumId w:val="4"/>
  </w:num>
  <w:num w:numId="21">
    <w:abstractNumId w:val="20"/>
  </w:num>
  <w:num w:numId="22">
    <w:abstractNumId w:val="8"/>
  </w:num>
  <w:num w:numId="23">
    <w:abstractNumId w:val="26"/>
  </w:num>
  <w:num w:numId="24">
    <w:abstractNumId w:val="9"/>
  </w:num>
  <w:num w:numId="25">
    <w:abstractNumId w:val="1"/>
  </w:num>
  <w:num w:numId="26">
    <w:abstractNumId w:val="0"/>
  </w:num>
  <w:num w:numId="27">
    <w:abstractNumId w:val="21"/>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242"/>
  <w:proofState w:spelling="clean" w:grammar="clean"/>
  <w:defaultTabStop w:val="708"/>
  <w:hyphenationZone w:val="425"/>
  <w:characterSpacingControl w:val="doNotCompress"/>
  <w:footnotePr>
    <w:footnote w:id="-1"/>
    <w:footnote w:id="0"/>
  </w:footnotePr>
  <w:endnotePr>
    <w:endnote w:id="-1"/>
    <w:endnote w:id="0"/>
  </w:endnotePr>
  <w:compat/>
  <w:rsids>
    <w:rsidRoot w:val="004214CF"/>
    <w:rsid w:val="000000B4"/>
    <w:rsid w:val="00007F09"/>
    <w:rsid w:val="0001064F"/>
    <w:rsid w:val="000115F6"/>
    <w:rsid w:val="00012601"/>
    <w:rsid w:val="000134FE"/>
    <w:rsid w:val="0001481E"/>
    <w:rsid w:val="00016977"/>
    <w:rsid w:val="00017335"/>
    <w:rsid w:val="000173F7"/>
    <w:rsid w:val="00020F2C"/>
    <w:rsid w:val="00021E90"/>
    <w:rsid w:val="00022B75"/>
    <w:rsid w:val="00023909"/>
    <w:rsid w:val="00023AE4"/>
    <w:rsid w:val="00024DEC"/>
    <w:rsid w:val="00025BCD"/>
    <w:rsid w:val="00031E1D"/>
    <w:rsid w:val="00033801"/>
    <w:rsid w:val="00034414"/>
    <w:rsid w:val="0003781D"/>
    <w:rsid w:val="00041BF6"/>
    <w:rsid w:val="00042B70"/>
    <w:rsid w:val="000473AD"/>
    <w:rsid w:val="0005225A"/>
    <w:rsid w:val="00057E0C"/>
    <w:rsid w:val="00061875"/>
    <w:rsid w:val="000652C5"/>
    <w:rsid w:val="0006564A"/>
    <w:rsid w:val="00065C19"/>
    <w:rsid w:val="0006651F"/>
    <w:rsid w:val="00066D69"/>
    <w:rsid w:val="0007304E"/>
    <w:rsid w:val="00073F91"/>
    <w:rsid w:val="00081460"/>
    <w:rsid w:val="00081D21"/>
    <w:rsid w:val="00082752"/>
    <w:rsid w:val="00093D37"/>
    <w:rsid w:val="00094625"/>
    <w:rsid w:val="000948D4"/>
    <w:rsid w:val="000A3F8B"/>
    <w:rsid w:val="000A5834"/>
    <w:rsid w:val="000A758C"/>
    <w:rsid w:val="000A7AC8"/>
    <w:rsid w:val="000B6C12"/>
    <w:rsid w:val="000C01B5"/>
    <w:rsid w:val="000C0D39"/>
    <w:rsid w:val="000C188A"/>
    <w:rsid w:val="000C77A9"/>
    <w:rsid w:val="000C7C08"/>
    <w:rsid w:val="000D165D"/>
    <w:rsid w:val="000D1A5D"/>
    <w:rsid w:val="000D1CA2"/>
    <w:rsid w:val="000D1FB2"/>
    <w:rsid w:val="000D2476"/>
    <w:rsid w:val="000D4731"/>
    <w:rsid w:val="000D7D61"/>
    <w:rsid w:val="000E00CF"/>
    <w:rsid w:val="000E1A27"/>
    <w:rsid w:val="000E234D"/>
    <w:rsid w:val="000F3D5A"/>
    <w:rsid w:val="000F3EE6"/>
    <w:rsid w:val="000F58C8"/>
    <w:rsid w:val="000F59BF"/>
    <w:rsid w:val="000F5D77"/>
    <w:rsid w:val="000F7266"/>
    <w:rsid w:val="000F766D"/>
    <w:rsid w:val="001003E6"/>
    <w:rsid w:val="001013BA"/>
    <w:rsid w:val="0010158E"/>
    <w:rsid w:val="001037A3"/>
    <w:rsid w:val="00103E1F"/>
    <w:rsid w:val="001040CD"/>
    <w:rsid w:val="00104588"/>
    <w:rsid w:val="001045C2"/>
    <w:rsid w:val="001061B1"/>
    <w:rsid w:val="00107AF0"/>
    <w:rsid w:val="001126C7"/>
    <w:rsid w:val="00122226"/>
    <w:rsid w:val="001230F6"/>
    <w:rsid w:val="001269FA"/>
    <w:rsid w:val="001319A7"/>
    <w:rsid w:val="00131AA1"/>
    <w:rsid w:val="00132791"/>
    <w:rsid w:val="00132AD0"/>
    <w:rsid w:val="00135493"/>
    <w:rsid w:val="00143595"/>
    <w:rsid w:val="00143A40"/>
    <w:rsid w:val="00144A30"/>
    <w:rsid w:val="00146398"/>
    <w:rsid w:val="00150C8E"/>
    <w:rsid w:val="00151F76"/>
    <w:rsid w:val="00154310"/>
    <w:rsid w:val="00164527"/>
    <w:rsid w:val="001664B0"/>
    <w:rsid w:val="0017189A"/>
    <w:rsid w:val="00173D9D"/>
    <w:rsid w:val="00174A06"/>
    <w:rsid w:val="001773BF"/>
    <w:rsid w:val="00177EBE"/>
    <w:rsid w:val="00191F3D"/>
    <w:rsid w:val="001959E4"/>
    <w:rsid w:val="001A47CE"/>
    <w:rsid w:val="001A5A58"/>
    <w:rsid w:val="001A73EF"/>
    <w:rsid w:val="001B00ED"/>
    <w:rsid w:val="001B248F"/>
    <w:rsid w:val="001B2C0E"/>
    <w:rsid w:val="001B3CA7"/>
    <w:rsid w:val="001B6EBF"/>
    <w:rsid w:val="001C1A47"/>
    <w:rsid w:val="001C41D7"/>
    <w:rsid w:val="001C491B"/>
    <w:rsid w:val="001C5136"/>
    <w:rsid w:val="001C5E23"/>
    <w:rsid w:val="001C78BB"/>
    <w:rsid w:val="001C7E3E"/>
    <w:rsid w:val="001D4532"/>
    <w:rsid w:val="001D6424"/>
    <w:rsid w:val="001D64C2"/>
    <w:rsid w:val="001D7E1C"/>
    <w:rsid w:val="001E3A19"/>
    <w:rsid w:val="001E7D3C"/>
    <w:rsid w:val="001F0B7D"/>
    <w:rsid w:val="001F2C29"/>
    <w:rsid w:val="001F4682"/>
    <w:rsid w:val="001F6F61"/>
    <w:rsid w:val="001F7C8C"/>
    <w:rsid w:val="002017C6"/>
    <w:rsid w:val="00201AFD"/>
    <w:rsid w:val="00201BBC"/>
    <w:rsid w:val="00201FB3"/>
    <w:rsid w:val="0020275E"/>
    <w:rsid w:val="0020481D"/>
    <w:rsid w:val="002122E7"/>
    <w:rsid w:val="002137EE"/>
    <w:rsid w:val="00214B75"/>
    <w:rsid w:val="0022289B"/>
    <w:rsid w:val="002236B5"/>
    <w:rsid w:val="00223B8D"/>
    <w:rsid w:val="00224BED"/>
    <w:rsid w:val="002310FB"/>
    <w:rsid w:val="002338F1"/>
    <w:rsid w:val="002344FB"/>
    <w:rsid w:val="00234AD4"/>
    <w:rsid w:val="0023546E"/>
    <w:rsid w:val="00235B21"/>
    <w:rsid w:val="00235BA6"/>
    <w:rsid w:val="002371B4"/>
    <w:rsid w:val="0024152D"/>
    <w:rsid w:val="00243CE4"/>
    <w:rsid w:val="002454C1"/>
    <w:rsid w:val="00255EF8"/>
    <w:rsid w:val="00260AB1"/>
    <w:rsid w:val="00262694"/>
    <w:rsid w:val="00271EA3"/>
    <w:rsid w:val="00275F0C"/>
    <w:rsid w:val="00276575"/>
    <w:rsid w:val="00281EE7"/>
    <w:rsid w:val="0028202F"/>
    <w:rsid w:val="00284536"/>
    <w:rsid w:val="002928D6"/>
    <w:rsid w:val="002953D6"/>
    <w:rsid w:val="002A1787"/>
    <w:rsid w:val="002A2788"/>
    <w:rsid w:val="002A64EC"/>
    <w:rsid w:val="002A685B"/>
    <w:rsid w:val="002B0CDC"/>
    <w:rsid w:val="002B3633"/>
    <w:rsid w:val="002B4F31"/>
    <w:rsid w:val="002C3750"/>
    <w:rsid w:val="002C40C4"/>
    <w:rsid w:val="002C4B4D"/>
    <w:rsid w:val="002C6171"/>
    <w:rsid w:val="002C7747"/>
    <w:rsid w:val="002D0C32"/>
    <w:rsid w:val="002D162C"/>
    <w:rsid w:val="002D6EF0"/>
    <w:rsid w:val="002D6F0F"/>
    <w:rsid w:val="002D7777"/>
    <w:rsid w:val="002D7D3A"/>
    <w:rsid w:val="002E3D67"/>
    <w:rsid w:val="002E52DA"/>
    <w:rsid w:val="002E7388"/>
    <w:rsid w:val="002F11EE"/>
    <w:rsid w:val="002F2FAF"/>
    <w:rsid w:val="002F67AE"/>
    <w:rsid w:val="003019F5"/>
    <w:rsid w:val="00303CAD"/>
    <w:rsid w:val="00312058"/>
    <w:rsid w:val="003132FB"/>
    <w:rsid w:val="00316A07"/>
    <w:rsid w:val="00322BA8"/>
    <w:rsid w:val="00325F0B"/>
    <w:rsid w:val="003268A5"/>
    <w:rsid w:val="00327864"/>
    <w:rsid w:val="00331A2B"/>
    <w:rsid w:val="00331C57"/>
    <w:rsid w:val="00333DAF"/>
    <w:rsid w:val="00336811"/>
    <w:rsid w:val="00337E24"/>
    <w:rsid w:val="003420A2"/>
    <w:rsid w:val="00343926"/>
    <w:rsid w:val="00346DD1"/>
    <w:rsid w:val="0034700F"/>
    <w:rsid w:val="00347B53"/>
    <w:rsid w:val="00350477"/>
    <w:rsid w:val="0035264D"/>
    <w:rsid w:val="00353B0E"/>
    <w:rsid w:val="003568A7"/>
    <w:rsid w:val="00362383"/>
    <w:rsid w:val="00364858"/>
    <w:rsid w:val="00364ACF"/>
    <w:rsid w:val="00365C14"/>
    <w:rsid w:val="00365F03"/>
    <w:rsid w:val="003661B7"/>
    <w:rsid w:val="00372E4B"/>
    <w:rsid w:val="003749EE"/>
    <w:rsid w:val="00380C12"/>
    <w:rsid w:val="00382EC4"/>
    <w:rsid w:val="00384446"/>
    <w:rsid w:val="00391852"/>
    <w:rsid w:val="00391AD2"/>
    <w:rsid w:val="00394708"/>
    <w:rsid w:val="0039588D"/>
    <w:rsid w:val="00397DD1"/>
    <w:rsid w:val="003A0755"/>
    <w:rsid w:val="003A11A8"/>
    <w:rsid w:val="003A41D4"/>
    <w:rsid w:val="003A5853"/>
    <w:rsid w:val="003A66C8"/>
    <w:rsid w:val="003B1033"/>
    <w:rsid w:val="003B10D7"/>
    <w:rsid w:val="003B1452"/>
    <w:rsid w:val="003C3C6C"/>
    <w:rsid w:val="003C58FC"/>
    <w:rsid w:val="003C5C63"/>
    <w:rsid w:val="003C684E"/>
    <w:rsid w:val="003C7AB0"/>
    <w:rsid w:val="003D0FFB"/>
    <w:rsid w:val="003D2915"/>
    <w:rsid w:val="003D6276"/>
    <w:rsid w:val="003D64C9"/>
    <w:rsid w:val="003D7B08"/>
    <w:rsid w:val="003E4BA1"/>
    <w:rsid w:val="003E6D02"/>
    <w:rsid w:val="003F45E6"/>
    <w:rsid w:val="003F6819"/>
    <w:rsid w:val="003F701A"/>
    <w:rsid w:val="003F7BEB"/>
    <w:rsid w:val="00404A13"/>
    <w:rsid w:val="004061F3"/>
    <w:rsid w:val="00410CBA"/>
    <w:rsid w:val="00410D01"/>
    <w:rsid w:val="00410F92"/>
    <w:rsid w:val="00414F6D"/>
    <w:rsid w:val="00415417"/>
    <w:rsid w:val="004155F8"/>
    <w:rsid w:val="00415A6B"/>
    <w:rsid w:val="00415E7E"/>
    <w:rsid w:val="00415EA2"/>
    <w:rsid w:val="0041708B"/>
    <w:rsid w:val="004214CF"/>
    <w:rsid w:val="00423622"/>
    <w:rsid w:val="00424073"/>
    <w:rsid w:val="0042492A"/>
    <w:rsid w:val="00424DAA"/>
    <w:rsid w:val="0043131D"/>
    <w:rsid w:val="00432B9B"/>
    <w:rsid w:val="0043486F"/>
    <w:rsid w:val="00434FBE"/>
    <w:rsid w:val="0044076E"/>
    <w:rsid w:val="004412FC"/>
    <w:rsid w:val="00446529"/>
    <w:rsid w:val="0044673E"/>
    <w:rsid w:val="00450B76"/>
    <w:rsid w:val="0045118E"/>
    <w:rsid w:val="0045262E"/>
    <w:rsid w:val="004546BC"/>
    <w:rsid w:val="00455327"/>
    <w:rsid w:val="00456087"/>
    <w:rsid w:val="004566A8"/>
    <w:rsid w:val="0046144E"/>
    <w:rsid w:val="00462B7C"/>
    <w:rsid w:val="0046669E"/>
    <w:rsid w:val="004668DD"/>
    <w:rsid w:val="004706DE"/>
    <w:rsid w:val="004739E4"/>
    <w:rsid w:val="00473A59"/>
    <w:rsid w:val="00475763"/>
    <w:rsid w:val="00480139"/>
    <w:rsid w:val="00480C50"/>
    <w:rsid w:val="004822B2"/>
    <w:rsid w:val="00485038"/>
    <w:rsid w:val="00486264"/>
    <w:rsid w:val="00490DFC"/>
    <w:rsid w:val="004923C1"/>
    <w:rsid w:val="004923CE"/>
    <w:rsid w:val="0049264A"/>
    <w:rsid w:val="004A0174"/>
    <w:rsid w:val="004A09D4"/>
    <w:rsid w:val="004A2568"/>
    <w:rsid w:val="004A4892"/>
    <w:rsid w:val="004A7863"/>
    <w:rsid w:val="004C0448"/>
    <w:rsid w:val="004D0305"/>
    <w:rsid w:val="004D3FBD"/>
    <w:rsid w:val="004E1A8E"/>
    <w:rsid w:val="004E4543"/>
    <w:rsid w:val="004E57F4"/>
    <w:rsid w:val="004E6099"/>
    <w:rsid w:val="004F3430"/>
    <w:rsid w:val="004F4174"/>
    <w:rsid w:val="004F4BD2"/>
    <w:rsid w:val="004F7221"/>
    <w:rsid w:val="004F7224"/>
    <w:rsid w:val="004F7246"/>
    <w:rsid w:val="00501513"/>
    <w:rsid w:val="00501FD8"/>
    <w:rsid w:val="00502D5A"/>
    <w:rsid w:val="005113F8"/>
    <w:rsid w:val="00513BAD"/>
    <w:rsid w:val="005163D0"/>
    <w:rsid w:val="0052245C"/>
    <w:rsid w:val="00522873"/>
    <w:rsid w:val="00523F00"/>
    <w:rsid w:val="005254B2"/>
    <w:rsid w:val="0052616B"/>
    <w:rsid w:val="005269AD"/>
    <w:rsid w:val="005271A3"/>
    <w:rsid w:val="00531010"/>
    <w:rsid w:val="005405A1"/>
    <w:rsid w:val="0054320B"/>
    <w:rsid w:val="005435AB"/>
    <w:rsid w:val="005520AF"/>
    <w:rsid w:val="00552DC7"/>
    <w:rsid w:val="005540D3"/>
    <w:rsid w:val="00556386"/>
    <w:rsid w:val="00563D57"/>
    <w:rsid w:val="00565EC7"/>
    <w:rsid w:val="00566C06"/>
    <w:rsid w:val="005675EA"/>
    <w:rsid w:val="00567F55"/>
    <w:rsid w:val="00571565"/>
    <w:rsid w:val="005723B7"/>
    <w:rsid w:val="00572DC9"/>
    <w:rsid w:val="005733C0"/>
    <w:rsid w:val="00573DA2"/>
    <w:rsid w:val="00574A95"/>
    <w:rsid w:val="005763BF"/>
    <w:rsid w:val="00576708"/>
    <w:rsid w:val="00577C64"/>
    <w:rsid w:val="00580015"/>
    <w:rsid w:val="00581595"/>
    <w:rsid w:val="00583083"/>
    <w:rsid w:val="00585E31"/>
    <w:rsid w:val="00586FE5"/>
    <w:rsid w:val="005902F2"/>
    <w:rsid w:val="00590A52"/>
    <w:rsid w:val="0059281F"/>
    <w:rsid w:val="00595CBE"/>
    <w:rsid w:val="00596FED"/>
    <w:rsid w:val="00597AAF"/>
    <w:rsid w:val="005A104C"/>
    <w:rsid w:val="005A3332"/>
    <w:rsid w:val="005A7039"/>
    <w:rsid w:val="005A7BFD"/>
    <w:rsid w:val="005A7EB9"/>
    <w:rsid w:val="005B22F4"/>
    <w:rsid w:val="005B6C6D"/>
    <w:rsid w:val="005C01F8"/>
    <w:rsid w:val="005C2121"/>
    <w:rsid w:val="005C5C7D"/>
    <w:rsid w:val="005D10E8"/>
    <w:rsid w:val="005D1215"/>
    <w:rsid w:val="005D475F"/>
    <w:rsid w:val="005D4D1D"/>
    <w:rsid w:val="005E0DFF"/>
    <w:rsid w:val="005E75F4"/>
    <w:rsid w:val="005F1CA5"/>
    <w:rsid w:val="005F6079"/>
    <w:rsid w:val="005F60DF"/>
    <w:rsid w:val="006017E7"/>
    <w:rsid w:val="0060391D"/>
    <w:rsid w:val="00603B2A"/>
    <w:rsid w:val="006046C7"/>
    <w:rsid w:val="006054B6"/>
    <w:rsid w:val="006058B6"/>
    <w:rsid w:val="00606A80"/>
    <w:rsid w:val="00610A89"/>
    <w:rsid w:val="00611ACD"/>
    <w:rsid w:val="00612D94"/>
    <w:rsid w:val="00615239"/>
    <w:rsid w:val="006156EA"/>
    <w:rsid w:val="00616DF9"/>
    <w:rsid w:val="0062291D"/>
    <w:rsid w:val="00623708"/>
    <w:rsid w:val="0062394A"/>
    <w:rsid w:val="00624F6E"/>
    <w:rsid w:val="00625E1D"/>
    <w:rsid w:val="00626898"/>
    <w:rsid w:val="006312BA"/>
    <w:rsid w:val="006365A1"/>
    <w:rsid w:val="00636E43"/>
    <w:rsid w:val="00643AE6"/>
    <w:rsid w:val="006446DB"/>
    <w:rsid w:val="006467C7"/>
    <w:rsid w:val="00651602"/>
    <w:rsid w:val="006530EC"/>
    <w:rsid w:val="00661E0D"/>
    <w:rsid w:val="00661F5B"/>
    <w:rsid w:val="006641FA"/>
    <w:rsid w:val="006704C8"/>
    <w:rsid w:val="0067448A"/>
    <w:rsid w:val="00676E9D"/>
    <w:rsid w:val="00677B15"/>
    <w:rsid w:val="00680A79"/>
    <w:rsid w:val="00680BE8"/>
    <w:rsid w:val="00687027"/>
    <w:rsid w:val="006873A5"/>
    <w:rsid w:val="00691B68"/>
    <w:rsid w:val="006A3317"/>
    <w:rsid w:val="006A3CF6"/>
    <w:rsid w:val="006A3F21"/>
    <w:rsid w:val="006A5CF0"/>
    <w:rsid w:val="006B0D7E"/>
    <w:rsid w:val="006B401D"/>
    <w:rsid w:val="006B4A1A"/>
    <w:rsid w:val="006B6180"/>
    <w:rsid w:val="006B61B8"/>
    <w:rsid w:val="006C4EDF"/>
    <w:rsid w:val="006C6E21"/>
    <w:rsid w:val="006D17AC"/>
    <w:rsid w:val="006D1AC6"/>
    <w:rsid w:val="006D257B"/>
    <w:rsid w:val="006D384C"/>
    <w:rsid w:val="006D67AB"/>
    <w:rsid w:val="006E25ED"/>
    <w:rsid w:val="006E2A97"/>
    <w:rsid w:val="006E3E10"/>
    <w:rsid w:val="006E4DA0"/>
    <w:rsid w:val="006E77CE"/>
    <w:rsid w:val="006F0B13"/>
    <w:rsid w:val="006F3382"/>
    <w:rsid w:val="00702A36"/>
    <w:rsid w:val="00702DB7"/>
    <w:rsid w:val="007035BF"/>
    <w:rsid w:val="00703ED7"/>
    <w:rsid w:val="00704C0C"/>
    <w:rsid w:val="00704C19"/>
    <w:rsid w:val="00705066"/>
    <w:rsid w:val="00706389"/>
    <w:rsid w:val="007069BE"/>
    <w:rsid w:val="00711C2C"/>
    <w:rsid w:val="00711E27"/>
    <w:rsid w:val="00713F5C"/>
    <w:rsid w:val="00714497"/>
    <w:rsid w:val="00715594"/>
    <w:rsid w:val="007226DF"/>
    <w:rsid w:val="007232F7"/>
    <w:rsid w:val="0072481C"/>
    <w:rsid w:val="00725AC1"/>
    <w:rsid w:val="00727C7E"/>
    <w:rsid w:val="0073045B"/>
    <w:rsid w:val="007320CA"/>
    <w:rsid w:val="00732327"/>
    <w:rsid w:val="0073353F"/>
    <w:rsid w:val="00733EDB"/>
    <w:rsid w:val="00735F1E"/>
    <w:rsid w:val="00736405"/>
    <w:rsid w:val="00740838"/>
    <w:rsid w:val="00747602"/>
    <w:rsid w:val="00750363"/>
    <w:rsid w:val="0075075D"/>
    <w:rsid w:val="00751138"/>
    <w:rsid w:val="0075642B"/>
    <w:rsid w:val="00761A31"/>
    <w:rsid w:val="0076223C"/>
    <w:rsid w:val="00763F20"/>
    <w:rsid w:val="007671C0"/>
    <w:rsid w:val="00767647"/>
    <w:rsid w:val="007721EA"/>
    <w:rsid w:val="0077595D"/>
    <w:rsid w:val="00777AD5"/>
    <w:rsid w:val="00777B95"/>
    <w:rsid w:val="00777E66"/>
    <w:rsid w:val="00784621"/>
    <w:rsid w:val="00787B1B"/>
    <w:rsid w:val="007908D7"/>
    <w:rsid w:val="00795797"/>
    <w:rsid w:val="00796489"/>
    <w:rsid w:val="007A1289"/>
    <w:rsid w:val="007A12FA"/>
    <w:rsid w:val="007A3F09"/>
    <w:rsid w:val="007A4BC0"/>
    <w:rsid w:val="007A72B4"/>
    <w:rsid w:val="007B1658"/>
    <w:rsid w:val="007B21F3"/>
    <w:rsid w:val="007B5DA2"/>
    <w:rsid w:val="007B7213"/>
    <w:rsid w:val="007B749F"/>
    <w:rsid w:val="007B7C7E"/>
    <w:rsid w:val="007C077C"/>
    <w:rsid w:val="007D0D08"/>
    <w:rsid w:val="007D101A"/>
    <w:rsid w:val="007D3491"/>
    <w:rsid w:val="007D4220"/>
    <w:rsid w:val="007D4B98"/>
    <w:rsid w:val="007E3221"/>
    <w:rsid w:val="007E4AAA"/>
    <w:rsid w:val="007F30DC"/>
    <w:rsid w:val="00803021"/>
    <w:rsid w:val="00810A1C"/>
    <w:rsid w:val="00812C4E"/>
    <w:rsid w:val="00813008"/>
    <w:rsid w:val="0081434B"/>
    <w:rsid w:val="00815F9F"/>
    <w:rsid w:val="00817A2A"/>
    <w:rsid w:val="008217A3"/>
    <w:rsid w:val="008220D6"/>
    <w:rsid w:val="00822B6A"/>
    <w:rsid w:val="00822BD8"/>
    <w:rsid w:val="00825271"/>
    <w:rsid w:val="00826E0A"/>
    <w:rsid w:val="008276EC"/>
    <w:rsid w:val="00835122"/>
    <w:rsid w:val="008379EC"/>
    <w:rsid w:val="008424D6"/>
    <w:rsid w:val="00843FF9"/>
    <w:rsid w:val="0084427E"/>
    <w:rsid w:val="00846A7E"/>
    <w:rsid w:val="00853C47"/>
    <w:rsid w:val="008554CA"/>
    <w:rsid w:val="008563F1"/>
    <w:rsid w:val="008616EF"/>
    <w:rsid w:val="00865677"/>
    <w:rsid w:val="00867CE1"/>
    <w:rsid w:val="008762FE"/>
    <w:rsid w:val="008764D9"/>
    <w:rsid w:val="00882A17"/>
    <w:rsid w:val="008868B5"/>
    <w:rsid w:val="008920C0"/>
    <w:rsid w:val="00894402"/>
    <w:rsid w:val="0089464B"/>
    <w:rsid w:val="00895B0D"/>
    <w:rsid w:val="0089608E"/>
    <w:rsid w:val="00897F55"/>
    <w:rsid w:val="008A42ED"/>
    <w:rsid w:val="008B3CAE"/>
    <w:rsid w:val="008B4D35"/>
    <w:rsid w:val="008C3C9F"/>
    <w:rsid w:val="008E035E"/>
    <w:rsid w:val="008E198C"/>
    <w:rsid w:val="008E2DC5"/>
    <w:rsid w:val="008E2E7A"/>
    <w:rsid w:val="008E30BB"/>
    <w:rsid w:val="008E3BDD"/>
    <w:rsid w:val="008E5663"/>
    <w:rsid w:val="008E64D2"/>
    <w:rsid w:val="008E678A"/>
    <w:rsid w:val="008F1EBF"/>
    <w:rsid w:val="008F75C7"/>
    <w:rsid w:val="009016E0"/>
    <w:rsid w:val="00901CF4"/>
    <w:rsid w:val="00903C35"/>
    <w:rsid w:val="00904622"/>
    <w:rsid w:val="0090604C"/>
    <w:rsid w:val="00906625"/>
    <w:rsid w:val="00906D7D"/>
    <w:rsid w:val="00907E33"/>
    <w:rsid w:val="00913DE0"/>
    <w:rsid w:val="00914C9A"/>
    <w:rsid w:val="0092180E"/>
    <w:rsid w:val="00925227"/>
    <w:rsid w:val="00927509"/>
    <w:rsid w:val="00931B4B"/>
    <w:rsid w:val="00934FED"/>
    <w:rsid w:val="00935470"/>
    <w:rsid w:val="00936624"/>
    <w:rsid w:val="009367CB"/>
    <w:rsid w:val="00937013"/>
    <w:rsid w:val="00937E62"/>
    <w:rsid w:val="009407DC"/>
    <w:rsid w:val="009411DF"/>
    <w:rsid w:val="0094221C"/>
    <w:rsid w:val="00943ECF"/>
    <w:rsid w:val="00944154"/>
    <w:rsid w:val="00946249"/>
    <w:rsid w:val="00947486"/>
    <w:rsid w:val="00955301"/>
    <w:rsid w:val="00955600"/>
    <w:rsid w:val="00955DA4"/>
    <w:rsid w:val="009568BA"/>
    <w:rsid w:val="00957974"/>
    <w:rsid w:val="00961670"/>
    <w:rsid w:val="0096666F"/>
    <w:rsid w:val="0096671B"/>
    <w:rsid w:val="00967F13"/>
    <w:rsid w:val="00973284"/>
    <w:rsid w:val="00973B26"/>
    <w:rsid w:val="00977E46"/>
    <w:rsid w:val="00983D50"/>
    <w:rsid w:val="00986918"/>
    <w:rsid w:val="00990EED"/>
    <w:rsid w:val="009932FD"/>
    <w:rsid w:val="00996E7B"/>
    <w:rsid w:val="0099797E"/>
    <w:rsid w:val="00997D51"/>
    <w:rsid w:val="009A0292"/>
    <w:rsid w:val="009A21F6"/>
    <w:rsid w:val="009A39EA"/>
    <w:rsid w:val="009A7D39"/>
    <w:rsid w:val="009B3A3E"/>
    <w:rsid w:val="009B481C"/>
    <w:rsid w:val="009B6084"/>
    <w:rsid w:val="009B74DF"/>
    <w:rsid w:val="009C1E24"/>
    <w:rsid w:val="009C397F"/>
    <w:rsid w:val="009D381E"/>
    <w:rsid w:val="009D5F3A"/>
    <w:rsid w:val="009D6D66"/>
    <w:rsid w:val="009E0E46"/>
    <w:rsid w:val="009E6E05"/>
    <w:rsid w:val="009E7162"/>
    <w:rsid w:val="009E7DB8"/>
    <w:rsid w:val="009F1021"/>
    <w:rsid w:val="009F3FB8"/>
    <w:rsid w:val="009F6B32"/>
    <w:rsid w:val="00A0202C"/>
    <w:rsid w:val="00A0266A"/>
    <w:rsid w:val="00A02749"/>
    <w:rsid w:val="00A028B3"/>
    <w:rsid w:val="00A04532"/>
    <w:rsid w:val="00A046A0"/>
    <w:rsid w:val="00A046F7"/>
    <w:rsid w:val="00A06968"/>
    <w:rsid w:val="00A07174"/>
    <w:rsid w:val="00A16433"/>
    <w:rsid w:val="00A27575"/>
    <w:rsid w:val="00A3207E"/>
    <w:rsid w:val="00A32C9F"/>
    <w:rsid w:val="00A337D3"/>
    <w:rsid w:val="00A3629A"/>
    <w:rsid w:val="00A37009"/>
    <w:rsid w:val="00A4122F"/>
    <w:rsid w:val="00A432F4"/>
    <w:rsid w:val="00A455A2"/>
    <w:rsid w:val="00A53AFE"/>
    <w:rsid w:val="00A5663F"/>
    <w:rsid w:val="00A570E4"/>
    <w:rsid w:val="00A625F4"/>
    <w:rsid w:val="00A6361F"/>
    <w:rsid w:val="00A63CAF"/>
    <w:rsid w:val="00A6497D"/>
    <w:rsid w:val="00A677CD"/>
    <w:rsid w:val="00A70AEC"/>
    <w:rsid w:val="00A744F7"/>
    <w:rsid w:val="00A77BD3"/>
    <w:rsid w:val="00A82F6C"/>
    <w:rsid w:val="00A83C2D"/>
    <w:rsid w:val="00A83EBD"/>
    <w:rsid w:val="00A86EE2"/>
    <w:rsid w:val="00A90D4C"/>
    <w:rsid w:val="00A91D7D"/>
    <w:rsid w:val="00A93F6B"/>
    <w:rsid w:val="00A942C1"/>
    <w:rsid w:val="00A9541D"/>
    <w:rsid w:val="00A95741"/>
    <w:rsid w:val="00AA0EE0"/>
    <w:rsid w:val="00AA497F"/>
    <w:rsid w:val="00AA4B52"/>
    <w:rsid w:val="00AA5A6F"/>
    <w:rsid w:val="00AA5F0C"/>
    <w:rsid w:val="00AA7063"/>
    <w:rsid w:val="00AB0E25"/>
    <w:rsid w:val="00AB324D"/>
    <w:rsid w:val="00AB4D3A"/>
    <w:rsid w:val="00AC2AFB"/>
    <w:rsid w:val="00AC65F2"/>
    <w:rsid w:val="00AC7B2D"/>
    <w:rsid w:val="00AC7D3F"/>
    <w:rsid w:val="00AD1B0F"/>
    <w:rsid w:val="00AD67F4"/>
    <w:rsid w:val="00AE6DE8"/>
    <w:rsid w:val="00AF1CE8"/>
    <w:rsid w:val="00AF6892"/>
    <w:rsid w:val="00AF7FB2"/>
    <w:rsid w:val="00B000DD"/>
    <w:rsid w:val="00B01C67"/>
    <w:rsid w:val="00B03C03"/>
    <w:rsid w:val="00B077AC"/>
    <w:rsid w:val="00B170E9"/>
    <w:rsid w:val="00B21D0D"/>
    <w:rsid w:val="00B30344"/>
    <w:rsid w:val="00B31BDC"/>
    <w:rsid w:val="00B36D33"/>
    <w:rsid w:val="00B371AA"/>
    <w:rsid w:val="00B375A4"/>
    <w:rsid w:val="00B50FC9"/>
    <w:rsid w:val="00B53226"/>
    <w:rsid w:val="00B5405F"/>
    <w:rsid w:val="00B54FC9"/>
    <w:rsid w:val="00B563E0"/>
    <w:rsid w:val="00B56DF0"/>
    <w:rsid w:val="00B60143"/>
    <w:rsid w:val="00B61924"/>
    <w:rsid w:val="00B65F39"/>
    <w:rsid w:val="00B671E3"/>
    <w:rsid w:val="00B67BC0"/>
    <w:rsid w:val="00B71C3B"/>
    <w:rsid w:val="00B72BC5"/>
    <w:rsid w:val="00B73CCD"/>
    <w:rsid w:val="00B7446A"/>
    <w:rsid w:val="00B746FC"/>
    <w:rsid w:val="00B75306"/>
    <w:rsid w:val="00B760BB"/>
    <w:rsid w:val="00B836BE"/>
    <w:rsid w:val="00B83E2D"/>
    <w:rsid w:val="00B87463"/>
    <w:rsid w:val="00B875FB"/>
    <w:rsid w:val="00B91169"/>
    <w:rsid w:val="00B91F81"/>
    <w:rsid w:val="00BA11A1"/>
    <w:rsid w:val="00BA5778"/>
    <w:rsid w:val="00BB121A"/>
    <w:rsid w:val="00BB5F0E"/>
    <w:rsid w:val="00BC1AAE"/>
    <w:rsid w:val="00BC1AB7"/>
    <w:rsid w:val="00BC25A6"/>
    <w:rsid w:val="00BC4191"/>
    <w:rsid w:val="00BC4E24"/>
    <w:rsid w:val="00BC6B85"/>
    <w:rsid w:val="00BD020F"/>
    <w:rsid w:val="00BD0A9A"/>
    <w:rsid w:val="00BD1272"/>
    <w:rsid w:val="00BD2A4B"/>
    <w:rsid w:val="00BD418D"/>
    <w:rsid w:val="00BD52A9"/>
    <w:rsid w:val="00BD5B03"/>
    <w:rsid w:val="00BE047C"/>
    <w:rsid w:val="00BE0673"/>
    <w:rsid w:val="00BE0F62"/>
    <w:rsid w:val="00BE5F7F"/>
    <w:rsid w:val="00BE77E6"/>
    <w:rsid w:val="00BF13E3"/>
    <w:rsid w:val="00BF2417"/>
    <w:rsid w:val="00BF2AE2"/>
    <w:rsid w:val="00BF2FF3"/>
    <w:rsid w:val="00BF35AB"/>
    <w:rsid w:val="00BF484B"/>
    <w:rsid w:val="00BF5339"/>
    <w:rsid w:val="00BF7261"/>
    <w:rsid w:val="00BF76C4"/>
    <w:rsid w:val="00BF79E2"/>
    <w:rsid w:val="00C03C8B"/>
    <w:rsid w:val="00C10DB8"/>
    <w:rsid w:val="00C11BB8"/>
    <w:rsid w:val="00C14B73"/>
    <w:rsid w:val="00C21721"/>
    <w:rsid w:val="00C219DF"/>
    <w:rsid w:val="00C23EF1"/>
    <w:rsid w:val="00C24BB9"/>
    <w:rsid w:val="00C27105"/>
    <w:rsid w:val="00C27B19"/>
    <w:rsid w:val="00C3006D"/>
    <w:rsid w:val="00C3374C"/>
    <w:rsid w:val="00C4012D"/>
    <w:rsid w:val="00C40282"/>
    <w:rsid w:val="00C44461"/>
    <w:rsid w:val="00C51D31"/>
    <w:rsid w:val="00C52A29"/>
    <w:rsid w:val="00C5522B"/>
    <w:rsid w:val="00C57081"/>
    <w:rsid w:val="00C606BE"/>
    <w:rsid w:val="00C634AC"/>
    <w:rsid w:val="00C64568"/>
    <w:rsid w:val="00C66547"/>
    <w:rsid w:val="00C711C8"/>
    <w:rsid w:val="00C7127F"/>
    <w:rsid w:val="00C72470"/>
    <w:rsid w:val="00C84D90"/>
    <w:rsid w:val="00C921F1"/>
    <w:rsid w:val="00C94886"/>
    <w:rsid w:val="00C95BE0"/>
    <w:rsid w:val="00C96E81"/>
    <w:rsid w:val="00CA211B"/>
    <w:rsid w:val="00CA31DC"/>
    <w:rsid w:val="00CA35C4"/>
    <w:rsid w:val="00CA50B8"/>
    <w:rsid w:val="00CA60C3"/>
    <w:rsid w:val="00CA7DC9"/>
    <w:rsid w:val="00CB131B"/>
    <w:rsid w:val="00CB19B5"/>
    <w:rsid w:val="00CB5815"/>
    <w:rsid w:val="00CB5BF8"/>
    <w:rsid w:val="00CC292E"/>
    <w:rsid w:val="00CC4FED"/>
    <w:rsid w:val="00CD0C76"/>
    <w:rsid w:val="00CD1BB3"/>
    <w:rsid w:val="00CD5194"/>
    <w:rsid w:val="00CD7D15"/>
    <w:rsid w:val="00CE0300"/>
    <w:rsid w:val="00CE0314"/>
    <w:rsid w:val="00CE1C25"/>
    <w:rsid w:val="00CE5191"/>
    <w:rsid w:val="00CF1944"/>
    <w:rsid w:val="00CF3B10"/>
    <w:rsid w:val="00CF5A80"/>
    <w:rsid w:val="00CF7603"/>
    <w:rsid w:val="00D00208"/>
    <w:rsid w:val="00D01835"/>
    <w:rsid w:val="00D032E9"/>
    <w:rsid w:val="00D057E7"/>
    <w:rsid w:val="00D0584B"/>
    <w:rsid w:val="00D07D6C"/>
    <w:rsid w:val="00D10B3A"/>
    <w:rsid w:val="00D13DF6"/>
    <w:rsid w:val="00D22E9A"/>
    <w:rsid w:val="00D23EF2"/>
    <w:rsid w:val="00D24F3E"/>
    <w:rsid w:val="00D27564"/>
    <w:rsid w:val="00D27B17"/>
    <w:rsid w:val="00D34A2D"/>
    <w:rsid w:val="00D34DAF"/>
    <w:rsid w:val="00D401A1"/>
    <w:rsid w:val="00D408D1"/>
    <w:rsid w:val="00D4260A"/>
    <w:rsid w:val="00D428C3"/>
    <w:rsid w:val="00D42BBD"/>
    <w:rsid w:val="00D45EE5"/>
    <w:rsid w:val="00D50270"/>
    <w:rsid w:val="00D5137C"/>
    <w:rsid w:val="00D51752"/>
    <w:rsid w:val="00D53EA2"/>
    <w:rsid w:val="00D5422F"/>
    <w:rsid w:val="00D56655"/>
    <w:rsid w:val="00D56C6A"/>
    <w:rsid w:val="00D577F3"/>
    <w:rsid w:val="00D63A28"/>
    <w:rsid w:val="00D642E3"/>
    <w:rsid w:val="00D65606"/>
    <w:rsid w:val="00D71276"/>
    <w:rsid w:val="00D74BC6"/>
    <w:rsid w:val="00D75FCC"/>
    <w:rsid w:val="00D8117E"/>
    <w:rsid w:val="00D83904"/>
    <w:rsid w:val="00D869FD"/>
    <w:rsid w:val="00D86E21"/>
    <w:rsid w:val="00D91081"/>
    <w:rsid w:val="00D94509"/>
    <w:rsid w:val="00D9761E"/>
    <w:rsid w:val="00DA1F43"/>
    <w:rsid w:val="00DA404B"/>
    <w:rsid w:val="00DB12DF"/>
    <w:rsid w:val="00DB324B"/>
    <w:rsid w:val="00DB3AD7"/>
    <w:rsid w:val="00DB3DBB"/>
    <w:rsid w:val="00DB46A5"/>
    <w:rsid w:val="00DB5478"/>
    <w:rsid w:val="00DB5B5F"/>
    <w:rsid w:val="00DB6922"/>
    <w:rsid w:val="00DB7AF3"/>
    <w:rsid w:val="00DC141B"/>
    <w:rsid w:val="00DC2696"/>
    <w:rsid w:val="00DC3B55"/>
    <w:rsid w:val="00DC3CEB"/>
    <w:rsid w:val="00DC59F6"/>
    <w:rsid w:val="00DE0CE6"/>
    <w:rsid w:val="00DE154A"/>
    <w:rsid w:val="00DE4353"/>
    <w:rsid w:val="00DE6DEE"/>
    <w:rsid w:val="00DE7CAB"/>
    <w:rsid w:val="00DF17CF"/>
    <w:rsid w:val="00DF2253"/>
    <w:rsid w:val="00DF228E"/>
    <w:rsid w:val="00DF39F8"/>
    <w:rsid w:val="00DF4D4E"/>
    <w:rsid w:val="00E0185A"/>
    <w:rsid w:val="00E041CB"/>
    <w:rsid w:val="00E05BA5"/>
    <w:rsid w:val="00E07A1A"/>
    <w:rsid w:val="00E07D57"/>
    <w:rsid w:val="00E11454"/>
    <w:rsid w:val="00E11A46"/>
    <w:rsid w:val="00E12F45"/>
    <w:rsid w:val="00E2050F"/>
    <w:rsid w:val="00E22A71"/>
    <w:rsid w:val="00E23ABA"/>
    <w:rsid w:val="00E248DE"/>
    <w:rsid w:val="00E357E9"/>
    <w:rsid w:val="00E35ED8"/>
    <w:rsid w:val="00E36FA0"/>
    <w:rsid w:val="00E40B81"/>
    <w:rsid w:val="00E43396"/>
    <w:rsid w:val="00E51019"/>
    <w:rsid w:val="00E5418F"/>
    <w:rsid w:val="00E621E3"/>
    <w:rsid w:val="00E63AA7"/>
    <w:rsid w:val="00E67CFF"/>
    <w:rsid w:val="00E71A0B"/>
    <w:rsid w:val="00E84457"/>
    <w:rsid w:val="00E879DC"/>
    <w:rsid w:val="00E91A36"/>
    <w:rsid w:val="00E924D9"/>
    <w:rsid w:val="00E93520"/>
    <w:rsid w:val="00E94F16"/>
    <w:rsid w:val="00EA086B"/>
    <w:rsid w:val="00EA0BC5"/>
    <w:rsid w:val="00EA2097"/>
    <w:rsid w:val="00EA2509"/>
    <w:rsid w:val="00EA3095"/>
    <w:rsid w:val="00EA3B03"/>
    <w:rsid w:val="00EB2660"/>
    <w:rsid w:val="00EB3182"/>
    <w:rsid w:val="00EB3E8F"/>
    <w:rsid w:val="00EB5F2B"/>
    <w:rsid w:val="00EC0F98"/>
    <w:rsid w:val="00EC7112"/>
    <w:rsid w:val="00ED08D2"/>
    <w:rsid w:val="00ED2099"/>
    <w:rsid w:val="00ED2FCC"/>
    <w:rsid w:val="00ED7DF2"/>
    <w:rsid w:val="00EE4570"/>
    <w:rsid w:val="00EE4583"/>
    <w:rsid w:val="00EE611E"/>
    <w:rsid w:val="00EE6273"/>
    <w:rsid w:val="00EF2337"/>
    <w:rsid w:val="00EF4DC5"/>
    <w:rsid w:val="00EF6134"/>
    <w:rsid w:val="00F00A62"/>
    <w:rsid w:val="00F01326"/>
    <w:rsid w:val="00F014FD"/>
    <w:rsid w:val="00F11818"/>
    <w:rsid w:val="00F22DE9"/>
    <w:rsid w:val="00F22F8A"/>
    <w:rsid w:val="00F23204"/>
    <w:rsid w:val="00F261BC"/>
    <w:rsid w:val="00F3172E"/>
    <w:rsid w:val="00F31FF5"/>
    <w:rsid w:val="00F32760"/>
    <w:rsid w:val="00F33901"/>
    <w:rsid w:val="00F42309"/>
    <w:rsid w:val="00F4371F"/>
    <w:rsid w:val="00F44E86"/>
    <w:rsid w:val="00F47A2A"/>
    <w:rsid w:val="00F507DE"/>
    <w:rsid w:val="00F51AB5"/>
    <w:rsid w:val="00F5318B"/>
    <w:rsid w:val="00F55E05"/>
    <w:rsid w:val="00F564E1"/>
    <w:rsid w:val="00F62685"/>
    <w:rsid w:val="00F63A78"/>
    <w:rsid w:val="00F72A36"/>
    <w:rsid w:val="00F73571"/>
    <w:rsid w:val="00F75763"/>
    <w:rsid w:val="00F773FB"/>
    <w:rsid w:val="00F823B3"/>
    <w:rsid w:val="00F904AF"/>
    <w:rsid w:val="00F935A7"/>
    <w:rsid w:val="00F944C6"/>
    <w:rsid w:val="00F94D8E"/>
    <w:rsid w:val="00F95E62"/>
    <w:rsid w:val="00FA28F7"/>
    <w:rsid w:val="00FA5F3F"/>
    <w:rsid w:val="00FB1997"/>
    <w:rsid w:val="00FB54AC"/>
    <w:rsid w:val="00FB7042"/>
    <w:rsid w:val="00FC01EF"/>
    <w:rsid w:val="00FC115C"/>
    <w:rsid w:val="00FC3565"/>
    <w:rsid w:val="00FC481E"/>
    <w:rsid w:val="00FC7637"/>
    <w:rsid w:val="00FC7E11"/>
    <w:rsid w:val="00FD0C66"/>
    <w:rsid w:val="00FD2A5C"/>
    <w:rsid w:val="00FD2EE3"/>
    <w:rsid w:val="00FD5869"/>
    <w:rsid w:val="00FF14D8"/>
    <w:rsid w:val="00FF371E"/>
    <w:rsid w:val="00FF65A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C0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3CCD"/>
    <w:pPr>
      <w:spacing w:after="0" w:line="240" w:lineRule="auto"/>
    </w:pPr>
  </w:style>
  <w:style w:type="paragraph" w:styleId="Notedebasdepage">
    <w:name w:val="footnote text"/>
    <w:basedOn w:val="Normal"/>
    <w:link w:val="NotedebasdepageCar"/>
    <w:uiPriority w:val="99"/>
    <w:semiHidden/>
    <w:unhideWhenUsed/>
    <w:rsid w:val="00A069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6968"/>
    <w:rPr>
      <w:sz w:val="20"/>
      <w:szCs w:val="20"/>
    </w:rPr>
  </w:style>
  <w:style w:type="character" w:styleId="Appelnotedebasdep">
    <w:name w:val="footnote reference"/>
    <w:basedOn w:val="Policepardfaut"/>
    <w:uiPriority w:val="99"/>
    <w:semiHidden/>
    <w:unhideWhenUsed/>
    <w:rsid w:val="00A06968"/>
    <w:rPr>
      <w:vertAlign w:val="superscript"/>
    </w:rPr>
  </w:style>
  <w:style w:type="character" w:styleId="Lienhypertexte">
    <w:name w:val="Hyperlink"/>
    <w:basedOn w:val="Policepardfaut"/>
    <w:uiPriority w:val="99"/>
    <w:unhideWhenUsed/>
    <w:rsid w:val="0096671B"/>
    <w:rPr>
      <w:color w:val="0000FF"/>
      <w:u w:val="single"/>
    </w:rPr>
  </w:style>
  <w:style w:type="paragraph" w:styleId="Paragraphedeliste">
    <w:name w:val="List Paragraph"/>
    <w:basedOn w:val="Normal"/>
    <w:uiPriority w:val="34"/>
    <w:qFormat/>
    <w:rsid w:val="00CD5194"/>
    <w:pPr>
      <w:ind w:left="720"/>
      <w:contextualSpacing/>
    </w:pPr>
  </w:style>
  <w:style w:type="paragraph" w:styleId="En-tte">
    <w:name w:val="header"/>
    <w:basedOn w:val="Normal"/>
    <w:link w:val="En-tteCar"/>
    <w:uiPriority w:val="99"/>
    <w:unhideWhenUsed/>
    <w:rsid w:val="004F7224"/>
    <w:pPr>
      <w:tabs>
        <w:tab w:val="center" w:pos="4536"/>
        <w:tab w:val="right" w:pos="9072"/>
      </w:tabs>
      <w:spacing w:after="0" w:line="240" w:lineRule="auto"/>
    </w:pPr>
  </w:style>
  <w:style w:type="character" w:customStyle="1" w:styleId="En-tteCar">
    <w:name w:val="En-tête Car"/>
    <w:basedOn w:val="Policepardfaut"/>
    <w:link w:val="En-tte"/>
    <w:uiPriority w:val="99"/>
    <w:rsid w:val="004F7224"/>
  </w:style>
  <w:style w:type="paragraph" w:styleId="Pieddepage">
    <w:name w:val="footer"/>
    <w:basedOn w:val="Normal"/>
    <w:link w:val="PieddepageCar"/>
    <w:uiPriority w:val="99"/>
    <w:unhideWhenUsed/>
    <w:rsid w:val="004F72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224"/>
  </w:style>
  <w:style w:type="character" w:customStyle="1" w:styleId="UnresolvedMention">
    <w:name w:val="Unresolved Mention"/>
    <w:basedOn w:val="Policepardfaut"/>
    <w:uiPriority w:val="99"/>
    <w:semiHidden/>
    <w:unhideWhenUsed/>
    <w:rsid w:val="00777E66"/>
    <w:rPr>
      <w:color w:val="605E5C"/>
      <w:shd w:val="clear" w:color="auto" w:fill="E1DFDD"/>
    </w:rPr>
  </w:style>
  <w:style w:type="character" w:styleId="Textedelespacerserv">
    <w:name w:val="Placeholder Text"/>
    <w:basedOn w:val="Policepardfaut"/>
    <w:uiPriority w:val="99"/>
    <w:semiHidden/>
    <w:rsid w:val="00F31FF5"/>
    <w:rPr>
      <w:color w:val="808080"/>
    </w:rPr>
  </w:style>
  <w:style w:type="character" w:styleId="Lienhypertextesuivivisit">
    <w:name w:val="FollowedHyperlink"/>
    <w:basedOn w:val="Policepardfaut"/>
    <w:uiPriority w:val="99"/>
    <w:semiHidden/>
    <w:unhideWhenUsed/>
    <w:rsid w:val="00CA31DC"/>
    <w:rPr>
      <w:color w:val="954F72" w:themeColor="followedHyperlink"/>
      <w:u w:val="single"/>
    </w:rPr>
  </w:style>
  <w:style w:type="table" w:styleId="Grilledutableau">
    <w:name w:val="Table Grid"/>
    <w:basedOn w:val="TableauNormal"/>
    <w:uiPriority w:val="39"/>
    <w:rsid w:val="006F3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322BA8"/>
    <w:rPr>
      <w:sz w:val="16"/>
      <w:szCs w:val="16"/>
    </w:rPr>
  </w:style>
  <w:style w:type="paragraph" w:styleId="Commentaire">
    <w:name w:val="annotation text"/>
    <w:basedOn w:val="Normal"/>
    <w:link w:val="CommentaireCar"/>
    <w:uiPriority w:val="99"/>
    <w:semiHidden/>
    <w:unhideWhenUsed/>
    <w:rsid w:val="00322BA8"/>
    <w:pPr>
      <w:spacing w:line="240" w:lineRule="auto"/>
    </w:pPr>
    <w:rPr>
      <w:sz w:val="20"/>
      <w:szCs w:val="20"/>
    </w:rPr>
  </w:style>
  <w:style w:type="character" w:customStyle="1" w:styleId="CommentaireCar">
    <w:name w:val="Commentaire Car"/>
    <w:basedOn w:val="Policepardfaut"/>
    <w:link w:val="Commentaire"/>
    <w:uiPriority w:val="99"/>
    <w:semiHidden/>
    <w:rsid w:val="00322BA8"/>
    <w:rPr>
      <w:sz w:val="20"/>
      <w:szCs w:val="20"/>
    </w:rPr>
  </w:style>
  <w:style w:type="paragraph" w:styleId="Objetducommentaire">
    <w:name w:val="annotation subject"/>
    <w:basedOn w:val="Commentaire"/>
    <w:next w:val="Commentaire"/>
    <w:link w:val="ObjetducommentaireCar"/>
    <w:uiPriority w:val="99"/>
    <w:semiHidden/>
    <w:unhideWhenUsed/>
    <w:rsid w:val="00322BA8"/>
    <w:rPr>
      <w:b/>
      <w:bCs/>
    </w:rPr>
  </w:style>
  <w:style w:type="character" w:customStyle="1" w:styleId="ObjetducommentaireCar">
    <w:name w:val="Objet du commentaire Car"/>
    <w:basedOn w:val="CommentaireCar"/>
    <w:link w:val="Objetducommentaire"/>
    <w:uiPriority w:val="99"/>
    <w:semiHidden/>
    <w:rsid w:val="00322BA8"/>
    <w:rPr>
      <w:b/>
      <w:bCs/>
      <w:sz w:val="20"/>
      <w:szCs w:val="20"/>
    </w:rPr>
  </w:style>
  <w:style w:type="paragraph" w:styleId="Textedebulles">
    <w:name w:val="Balloon Text"/>
    <w:basedOn w:val="Normal"/>
    <w:link w:val="TextedebullesCar"/>
    <w:uiPriority w:val="99"/>
    <w:semiHidden/>
    <w:unhideWhenUsed/>
    <w:rsid w:val="00322B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2BA8"/>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96025231">
      <w:bodyDiv w:val="1"/>
      <w:marLeft w:val="0"/>
      <w:marRight w:val="0"/>
      <w:marTop w:val="0"/>
      <w:marBottom w:val="0"/>
      <w:divBdr>
        <w:top w:val="none" w:sz="0" w:space="0" w:color="auto"/>
        <w:left w:val="none" w:sz="0" w:space="0" w:color="auto"/>
        <w:bottom w:val="none" w:sz="0" w:space="0" w:color="auto"/>
        <w:right w:val="none" w:sz="0" w:space="0" w:color="auto"/>
      </w:divBdr>
    </w:div>
    <w:div w:id="642078587">
      <w:bodyDiv w:val="1"/>
      <w:marLeft w:val="0"/>
      <w:marRight w:val="0"/>
      <w:marTop w:val="0"/>
      <w:marBottom w:val="0"/>
      <w:divBdr>
        <w:top w:val="none" w:sz="0" w:space="0" w:color="auto"/>
        <w:left w:val="none" w:sz="0" w:space="0" w:color="auto"/>
        <w:bottom w:val="none" w:sz="0" w:space="0" w:color="auto"/>
        <w:right w:val="none" w:sz="0" w:space="0" w:color="auto"/>
      </w:divBdr>
    </w:div>
    <w:div w:id="816723639">
      <w:bodyDiv w:val="1"/>
      <w:marLeft w:val="0"/>
      <w:marRight w:val="0"/>
      <w:marTop w:val="0"/>
      <w:marBottom w:val="0"/>
      <w:divBdr>
        <w:top w:val="none" w:sz="0" w:space="0" w:color="auto"/>
        <w:left w:val="none" w:sz="0" w:space="0" w:color="auto"/>
        <w:bottom w:val="none" w:sz="0" w:space="0" w:color="auto"/>
        <w:right w:val="none" w:sz="0" w:space="0" w:color="auto"/>
      </w:divBdr>
    </w:div>
    <w:div w:id="1063872506">
      <w:bodyDiv w:val="1"/>
      <w:marLeft w:val="0"/>
      <w:marRight w:val="0"/>
      <w:marTop w:val="0"/>
      <w:marBottom w:val="0"/>
      <w:divBdr>
        <w:top w:val="none" w:sz="0" w:space="0" w:color="auto"/>
        <w:left w:val="none" w:sz="0" w:space="0" w:color="auto"/>
        <w:bottom w:val="none" w:sz="0" w:space="0" w:color="auto"/>
        <w:right w:val="none" w:sz="0" w:space="0" w:color="auto"/>
      </w:divBdr>
    </w:div>
    <w:div w:id="1070079657">
      <w:bodyDiv w:val="1"/>
      <w:marLeft w:val="0"/>
      <w:marRight w:val="0"/>
      <w:marTop w:val="0"/>
      <w:marBottom w:val="0"/>
      <w:divBdr>
        <w:top w:val="none" w:sz="0" w:space="0" w:color="auto"/>
        <w:left w:val="none" w:sz="0" w:space="0" w:color="auto"/>
        <w:bottom w:val="none" w:sz="0" w:space="0" w:color="auto"/>
        <w:right w:val="none" w:sz="0" w:space="0" w:color="auto"/>
      </w:divBdr>
    </w:div>
    <w:div w:id="1397165125">
      <w:bodyDiv w:val="1"/>
      <w:marLeft w:val="0"/>
      <w:marRight w:val="0"/>
      <w:marTop w:val="0"/>
      <w:marBottom w:val="0"/>
      <w:divBdr>
        <w:top w:val="none" w:sz="0" w:space="0" w:color="auto"/>
        <w:left w:val="none" w:sz="0" w:space="0" w:color="auto"/>
        <w:bottom w:val="none" w:sz="0" w:space="0" w:color="auto"/>
        <w:right w:val="none" w:sz="0" w:space="0" w:color="auto"/>
      </w:divBdr>
    </w:div>
    <w:div w:id="1601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C3klPMRnwo" TargetMode="External"/><Relationship Id="rId13" Type="http://schemas.openxmlformats.org/officeDocument/2006/relationships/hyperlink" Target="http://culturesciences.chimie.ens.fr/content/fiche-sur-la-mesure-dun-ph-914"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youtube.com/watch?v=L6GfhqoCz8Y"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D9197-0244-480F-8FEA-CAF8C9144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10</Pages>
  <Words>2102</Words>
  <Characters>11563</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Rémy BONNEMORT</dc:creator>
  <cp:lastModifiedBy>Julie Corjon</cp:lastModifiedBy>
  <cp:revision>3</cp:revision>
  <cp:lastPrinted>2020-06-17T16:18:00Z</cp:lastPrinted>
  <dcterms:created xsi:type="dcterms:W3CDTF">2020-06-23T12:02:00Z</dcterms:created>
  <dcterms:modified xsi:type="dcterms:W3CDTF">2020-06-23T19:00:00Z</dcterms:modified>
</cp:coreProperties>
</file>