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D85A8F" w:rsidRPr="00B73CCD" w:rsidRDefault="00D85A8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D85A8F" w:rsidRPr="00B73CCD" w:rsidRDefault="00D85A8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27</w:t>
                      </w:r>
                    </w:p>
                  </w:txbxContent>
                </v:textbox>
              </v:shape>
            </w:pict>
          </mc:Fallback>
        </mc:AlternateContent>
      </w:r>
      <w:r w:rsidR="00B73CCD">
        <w:tab/>
      </w:r>
      <w:proofErr w:type="spellStart"/>
      <w:r w:rsidR="00B73CCD">
        <w:t>Sép</w:t>
      </w:r>
      <w:proofErr w:type="spellEnd"/>
      <w:r w:rsidR="00B73CCD">
        <w:tab/>
      </w:r>
      <w:r w:rsidR="00B73CCD">
        <w:tab/>
      </w:r>
    </w:p>
    <w:p w:rsidR="00A93F6B" w:rsidRDefault="00954DE6" w:rsidP="00D91081">
      <w:pPr>
        <w:pStyle w:val="Sansinterligne"/>
        <w:ind w:left="2124" w:firstLine="6"/>
        <w:rPr>
          <w:b/>
          <w:bCs/>
          <w:sz w:val="24"/>
          <w:szCs w:val="24"/>
        </w:rPr>
      </w:pPr>
      <w:r>
        <w:rPr>
          <w:b/>
          <w:bCs/>
          <w:sz w:val="32"/>
          <w:szCs w:val="32"/>
        </w:rPr>
        <w:t>Solubilité</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 xml:space="preserve">Niveau : </w:t>
      </w:r>
      <w:r w:rsidR="00704C19">
        <w:rPr>
          <w:i/>
          <w:iCs/>
        </w:rPr>
        <w:t>CPGE</w:t>
      </w:r>
    </w:p>
    <w:p w:rsidR="00B73CCD" w:rsidRPr="00B73CCD" w:rsidRDefault="00B73CCD" w:rsidP="00B73CCD"/>
    <w:p w:rsidR="00B73CCD" w:rsidRDefault="00B73CCD" w:rsidP="00B73CCD">
      <w:pPr>
        <w:tabs>
          <w:tab w:val="left" w:pos="1770"/>
        </w:tabs>
        <w:rPr>
          <w:b/>
          <w:bCs/>
          <w:sz w:val="24"/>
          <w:szCs w:val="24"/>
        </w:rPr>
      </w:pPr>
    </w:p>
    <w:p w:rsidR="00B73CCD" w:rsidRDefault="00B73CCD" w:rsidP="00CB5815">
      <w:pPr>
        <w:pStyle w:val="Sansinterligne"/>
        <w:pBdr>
          <w:top w:val="single" w:sz="4" w:space="1" w:color="auto"/>
        </w:pBdr>
        <w:rPr>
          <w:b/>
          <w:bCs/>
          <w:u w:val="single"/>
        </w:rPr>
      </w:pPr>
      <w:r>
        <w:rPr>
          <w:b/>
          <w:bCs/>
          <w:u w:val="single"/>
        </w:rPr>
        <w:t xml:space="preserve">Bibliographie : </w:t>
      </w:r>
    </w:p>
    <w:p w:rsidR="00247BA1" w:rsidRDefault="00247BA1" w:rsidP="00CB5815">
      <w:pPr>
        <w:pStyle w:val="Sansinterligne"/>
        <w:pBdr>
          <w:top w:val="single" w:sz="4" w:space="1" w:color="auto"/>
        </w:pBdr>
      </w:pPr>
      <w:r>
        <w:t xml:space="preserve">[1] </w:t>
      </w:r>
      <w:bookmarkStart w:id="0" w:name="OLE_LINK1"/>
      <w:bookmarkStart w:id="1" w:name="OLE_LINK2"/>
      <w:r w:rsidRPr="00247BA1">
        <w:t>Bruno FOSSET, Jean-Bernard BAUDIN et Frédéric LAHITÈTE. Chimie tout-en-un PCSI. Dunod,2016.</w:t>
      </w:r>
      <w:r>
        <w:t xml:space="preserve"> </w:t>
      </w:r>
      <w:bookmarkEnd w:id="0"/>
      <w:bookmarkEnd w:id="1"/>
      <w:r>
        <w:t>(Chapitre 14)</w:t>
      </w:r>
    </w:p>
    <w:p w:rsidR="0033622F" w:rsidRDefault="0033622F" w:rsidP="00CB5815">
      <w:pPr>
        <w:pStyle w:val="Sansinterligne"/>
        <w:pBdr>
          <w:top w:val="single" w:sz="4" w:space="1" w:color="auto"/>
        </w:pBdr>
      </w:pPr>
      <w:r>
        <w:t xml:space="preserve">[2] </w:t>
      </w:r>
      <w:hyperlink r:id="rId8" w:history="1">
        <w:r>
          <w:rPr>
            <w:rStyle w:val="Lienhypertexte"/>
          </w:rPr>
          <w:t>https://www.periodni.com/fr/constantes_du_produit_de_solubilite.html</w:t>
        </w:r>
      </w:hyperlink>
    </w:p>
    <w:p w:rsidR="00D66234" w:rsidRPr="00A04C68" w:rsidRDefault="00D66234" w:rsidP="00CB5815">
      <w:pPr>
        <w:pStyle w:val="Sansinterligne"/>
        <w:pBdr>
          <w:top w:val="single" w:sz="4" w:space="1" w:color="auto"/>
        </w:pBdr>
        <w:rPr>
          <w:lang w:val="en-GB"/>
        </w:rPr>
      </w:pPr>
      <w:r w:rsidRPr="00D66234">
        <w:rPr>
          <w:lang w:val="en-GB"/>
        </w:rPr>
        <w:t xml:space="preserve">[3] John RUMBLE, David LIDE, Thomas BRUNO et al. Handbook of Chemistry and Physics. </w:t>
      </w:r>
      <w:r w:rsidRPr="00A04C68">
        <w:rPr>
          <w:lang w:val="en-GB"/>
        </w:rPr>
        <w:t>CRC Press,2019.</w:t>
      </w:r>
    </w:p>
    <w:p w:rsidR="00FA7EB2" w:rsidRPr="00A04C68" w:rsidRDefault="00FA7EB2" w:rsidP="00CB5815">
      <w:pPr>
        <w:pStyle w:val="Sansinterligne"/>
        <w:pBdr>
          <w:top w:val="single" w:sz="4" w:space="1" w:color="auto"/>
        </w:pBdr>
        <w:rPr>
          <w:sz w:val="20"/>
          <w:szCs w:val="20"/>
          <w:lang w:val="en-GB"/>
        </w:rPr>
      </w:pPr>
      <w:r w:rsidRPr="00A04C68">
        <w:rPr>
          <w:lang w:val="en-GB"/>
        </w:rPr>
        <w:t>[4]</w:t>
      </w:r>
      <w:hyperlink r:id="rId9" w:history="1">
        <w:r w:rsidRPr="00A04C68">
          <w:rPr>
            <w:rStyle w:val="Lienhypertexte"/>
            <w:sz w:val="20"/>
            <w:szCs w:val="20"/>
            <w:lang w:val="en-GB"/>
          </w:rPr>
          <w:t>https://www.suezwaterhandbook.fr/eau-et-generalites/processus-elementaires-du-genie-physico-chimique-en-traitement-de-l-eau/precipitations-chimiques/autres-precipitations-cas-des-anions</w:t>
        </w:r>
      </w:hyperlink>
    </w:p>
    <w:p w:rsidR="00FA7EB2" w:rsidRPr="00A04C68" w:rsidRDefault="00FA7EB2" w:rsidP="00CB5815">
      <w:pPr>
        <w:pStyle w:val="Sansinterligne"/>
        <w:pBdr>
          <w:top w:val="single" w:sz="4" w:space="1" w:color="auto"/>
        </w:pBdr>
        <w:rPr>
          <w:sz w:val="20"/>
          <w:szCs w:val="20"/>
          <w:lang w:val="en-GB"/>
        </w:rPr>
      </w:pPr>
      <w:r w:rsidRPr="00A04C68">
        <w:rPr>
          <w:sz w:val="20"/>
          <w:szCs w:val="20"/>
          <w:lang w:val="en-GB"/>
        </w:rPr>
        <w:t>[5]</w:t>
      </w:r>
      <w:hyperlink r:id="rId10" w:history="1">
        <w:r w:rsidRPr="00A04C68">
          <w:rPr>
            <w:rStyle w:val="Lienhypertexte"/>
            <w:sz w:val="20"/>
            <w:szCs w:val="20"/>
            <w:lang w:val="en-GB"/>
          </w:rPr>
          <w:t xml:space="preserve"> https://www.suezwaterhandbook.fr/eau-et-generalites/processus-elementaires-du-genie-physico-chimique-en-traitement-de-l-eau/precipitations-chimiques/precipitation-des-metaux</w:t>
        </w:r>
      </w:hyperlink>
    </w:p>
    <w:p w:rsidR="0021095D" w:rsidRPr="00A04C68" w:rsidRDefault="0021095D" w:rsidP="00CB5815">
      <w:pPr>
        <w:pStyle w:val="Sansinterligne"/>
        <w:rPr>
          <w:lang w:val="en-GB"/>
        </w:rPr>
      </w:pPr>
    </w:p>
    <w:p w:rsidR="00B73CCD" w:rsidRDefault="00B73CCD" w:rsidP="00CB5815">
      <w:pPr>
        <w:pStyle w:val="Sansinterligne"/>
        <w:pBdr>
          <w:top w:val="single" w:sz="4" w:space="1" w:color="auto"/>
        </w:pBdr>
        <w:rPr>
          <w:b/>
          <w:bCs/>
          <w:u w:val="single"/>
        </w:rPr>
      </w:pPr>
      <w:r w:rsidRPr="005D1215">
        <w:rPr>
          <w:b/>
          <w:bCs/>
          <w:u w:val="single"/>
        </w:rPr>
        <w:t>Expériences</w:t>
      </w:r>
      <w:r w:rsidR="00480C50">
        <w:rPr>
          <w:b/>
          <w:bCs/>
          <w:u w:val="single"/>
        </w:rPr>
        <w:t> </w:t>
      </w:r>
      <w:r w:rsidRPr="005D1215">
        <w:rPr>
          <w:b/>
          <w:bCs/>
          <w:u w:val="single"/>
        </w:rPr>
        <w:t>:</w:t>
      </w:r>
    </w:p>
    <w:p w:rsidR="00496F91" w:rsidRDefault="0033622F" w:rsidP="00B72F63">
      <w:pPr>
        <w:pStyle w:val="Sansinterligne"/>
        <w:numPr>
          <w:ilvl w:val="0"/>
          <w:numId w:val="31"/>
        </w:numPr>
      </w:pPr>
      <w:r>
        <w:t>Dissolution du sel dans l’eau</w:t>
      </w:r>
    </w:p>
    <w:p w:rsidR="0033622F" w:rsidRDefault="0033622F" w:rsidP="00B72F63">
      <w:pPr>
        <w:pStyle w:val="Sansinterligne"/>
        <w:numPr>
          <w:ilvl w:val="0"/>
          <w:numId w:val="31"/>
        </w:numPr>
      </w:pPr>
      <w:r>
        <w:t>Pluie d’or</w:t>
      </w:r>
    </w:p>
    <w:p w:rsidR="0033622F" w:rsidRPr="00B72F63" w:rsidRDefault="0033622F" w:rsidP="00B72F63">
      <w:pPr>
        <w:pStyle w:val="Sansinterligne"/>
        <w:numPr>
          <w:ilvl w:val="0"/>
          <w:numId w:val="31"/>
        </w:numPr>
      </w:pPr>
      <w:proofErr w:type="spellStart"/>
      <w:r>
        <w:t>pKs</w:t>
      </w:r>
      <w:proofErr w:type="spellEnd"/>
      <w:r>
        <w:t xml:space="preserve"> de PbI</w:t>
      </w:r>
      <w:r>
        <w:rPr>
          <w:vertAlign w:val="subscript"/>
        </w:rPr>
        <w:t>2</w:t>
      </w:r>
    </w:p>
    <w:p w:rsidR="00260AB1" w:rsidRDefault="00260AB1" w:rsidP="000518AB">
      <w:pPr>
        <w:pStyle w:val="Sansinterligne"/>
      </w:pPr>
    </w:p>
    <w:p w:rsidR="00B73CCD" w:rsidRDefault="00B73CCD" w:rsidP="00B65F39">
      <w:pPr>
        <w:pStyle w:val="Sansinterligne"/>
        <w:pBdr>
          <w:top w:val="single" w:sz="4" w:space="1" w:color="auto"/>
        </w:pBdr>
        <w:rPr>
          <w:b/>
          <w:bCs/>
          <w:u w:val="single"/>
        </w:rPr>
      </w:pPr>
      <w:r>
        <w:rPr>
          <w:b/>
          <w:bCs/>
          <w:u w:val="single"/>
        </w:rPr>
        <w:t>Prérequis</w:t>
      </w:r>
      <w:r w:rsidR="00480C50">
        <w:rPr>
          <w:b/>
          <w:bCs/>
          <w:u w:val="single"/>
        </w:rPr>
        <w:t> </w:t>
      </w:r>
      <w:r>
        <w:rPr>
          <w:b/>
          <w:bCs/>
          <w:u w:val="single"/>
        </w:rPr>
        <w:t>:</w:t>
      </w:r>
    </w:p>
    <w:p w:rsidR="004209CC" w:rsidRDefault="00654EB9" w:rsidP="004209CC">
      <w:pPr>
        <w:pStyle w:val="Sansinterligne"/>
        <w:numPr>
          <w:ilvl w:val="0"/>
          <w:numId w:val="1"/>
        </w:numPr>
      </w:pPr>
      <w:r>
        <w:t>Constante d’équilibre</w:t>
      </w:r>
    </w:p>
    <w:p w:rsidR="00654EB9" w:rsidRDefault="00654EB9" w:rsidP="004209CC">
      <w:pPr>
        <w:pStyle w:val="Sansinterligne"/>
        <w:numPr>
          <w:ilvl w:val="0"/>
          <w:numId w:val="1"/>
        </w:numPr>
      </w:pPr>
      <w:r>
        <w:t>Enthalpie standard de réaction</w:t>
      </w:r>
      <w:r w:rsidR="00A36B01">
        <w:t xml:space="preserve"> et enthalpie libre de réaction</w:t>
      </w:r>
    </w:p>
    <w:p w:rsidR="00654EB9" w:rsidRDefault="00867F08" w:rsidP="004209CC">
      <w:pPr>
        <w:pStyle w:val="Sansinterligne"/>
        <w:numPr>
          <w:ilvl w:val="0"/>
          <w:numId w:val="1"/>
        </w:numPr>
      </w:pPr>
      <w:r>
        <w:t xml:space="preserve">Relation </w:t>
      </w:r>
      <w:r w:rsidR="00654EB9">
        <w:t xml:space="preserve">de </w:t>
      </w:r>
      <w:proofErr w:type="spellStart"/>
      <w:r w:rsidR="00654EB9">
        <w:t>van’t</w:t>
      </w:r>
      <w:proofErr w:type="spellEnd"/>
      <w:r w:rsidR="00654EB9">
        <w:t xml:space="preserve"> Hoff</w:t>
      </w:r>
    </w:p>
    <w:p w:rsidR="00654EB9" w:rsidRDefault="00654EB9" w:rsidP="004209CC">
      <w:pPr>
        <w:pStyle w:val="Sansinterligne"/>
        <w:numPr>
          <w:ilvl w:val="0"/>
          <w:numId w:val="1"/>
        </w:numPr>
      </w:pPr>
      <w:r>
        <w:t>pH</w:t>
      </w:r>
    </w:p>
    <w:p w:rsidR="0083287C" w:rsidRDefault="0083287C" w:rsidP="004209CC">
      <w:pPr>
        <w:pStyle w:val="Sansinterligne"/>
        <w:numPr>
          <w:ilvl w:val="0"/>
          <w:numId w:val="1"/>
        </w:numPr>
      </w:pPr>
      <w:r>
        <w:t>Conductimétrie</w:t>
      </w:r>
    </w:p>
    <w:p w:rsidR="00654EB9" w:rsidRDefault="00654EB9" w:rsidP="00654EB9">
      <w:pPr>
        <w:pStyle w:val="Sansinterligne"/>
        <w:ind w:left="720"/>
      </w:pPr>
    </w:p>
    <w:p w:rsidR="00E31711" w:rsidRDefault="00E31711" w:rsidP="0047363F">
      <w:pPr>
        <w:pStyle w:val="Sansinterligne"/>
        <w:pBdr>
          <w:top w:val="single" w:sz="4" w:space="1" w:color="auto"/>
        </w:pBdr>
        <w:rPr>
          <w:b/>
          <w:bCs/>
        </w:rPr>
      </w:pPr>
      <w:r>
        <w:rPr>
          <w:b/>
          <w:bCs/>
        </w:rPr>
        <w:t>Introduction :</w:t>
      </w:r>
    </w:p>
    <w:p w:rsidR="000518AB" w:rsidRDefault="000518AB" w:rsidP="0047363F">
      <w:pPr>
        <w:pStyle w:val="Sansinterligne"/>
        <w:pBdr>
          <w:top w:val="single" w:sz="4" w:space="1" w:color="auto"/>
        </w:pBdr>
        <w:rPr>
          <w:b/>
          <w:bCs/>
        </w:rPr>
      </w:pPr>
    </w:p>
    <w:p w:rsidR="006B7889" w:rsidRDefault="006B7889" w:rsidP="006B7889">
      <w:pPr>
        <w:pStyle w:val="Sansinterligne"/>
        <w:pBdr>
          <w:left w:val="thinThickSmallGap" w:sz="24" w:space="4" w:color="FFC000"/>
        </w:pBdr>
        <w:rPr>
          <w:u w:val="single"/>
        </w:rPr>
      </w:pPr>
      <w:r>
        <w:rPr>
          <w:u w:val="single"/>
        </w:rPr>
        <w:t xml:space="preserve">Expérience déclenchante : dissolution de </w:t>
      </w:r>
      <w:proofErr w:type="spellStart"/>
      <w:r>
        <w:rPr>
          <w:u w:val="single"/>
        </w:rPr>
        <w:t>NaCl</w:t>
      </w:r>
      <w:proofErr w:type="spellEnd"/>
      <w:r>
        <w:rPr>
          <w:u w:val="single"/>
        </w:rPr>
        <w:t xml:space="preserve"> dans l’eau : montrer la limite de solubilité</w:t>
      </w:r>
    </w:p>
    <w:p w:rsidR="006B7889" w:rsidRDefault="006B7889" w:rsidP="006B7889">
      <w:pPr>
        <w:pStyle w:val="Sansinterligne"/>
        <w:pBdr>
          <w:left w:val="thinThickSmallGap" w:sz="24" w:space="4" w:color="FFC000"/>
        </w:pBdr>
        <w:rPr>
          <w:i/>
          <w:iCs/>
        </w:rPr>
      </w:pPr>
      <w:r>
        <w:tab/>
      </w:r>
      <w:r>
        <w:rPr>
          <w:i/>
          <w:iCs/>
        </w:rPr>
        <w:t>Autour de 20-25°C, la solubilité du sel dans l’eau est autour de 360g/L.</w:t>
      </w:r>
    </w:p>
    <w:p w:rsidR="006B7889" w:rsidRDefault="006B7889" w:rsidP="006B7889">
      <w:pPr>
        <w:pStyle w:val="Sansinterligne"/>
        <w:pBdr>
          <w:left w:val="thinThickSmallGap" w:sz="24" w:space="4" w:color="FFC000"/>
        </w:pBdr>
        <w:rPr>
          <w:i/>
          <w:iCs/>
        </w:rPr>
      </w:pPr>
      <w:r>
        <w:tab/>
        <w:t xml:space="preserve">Prélever 50 </w:t>
      </w:r>
      <w:proofErr w:type="spellStart"/>
      <w:r>
        <w:t>mL</w:t>
      </w:r>
      <w:proofErr w:type="spellEnd"/>
      <w:r>
        <w:t xml:space="preserve"> d’eau placée dans un bécher</w:t>
      </w:r>
      <w:r w:rsidR="00247BA1">
        <w:t xml:space="preserve"> avec agitation</w:t>
      </w:r>
      <w:r>
        <w:t xml:space="preserve">. </w:t>
      </w:r>
      <w:r>
        <w:rPr>
          <w:i/>
          <w:iCs/>
        </w:rPr>
        <w:t>On s’attend donc à pouvoir dissoudre environ 18g de sel.</w:t>
      </w:r>
      <w:r w:rsidR="00247BA1">
        <w:rPr>
          <w:i/>
          <w:iCs/>
        </w:rPr>
        <w:t xml:space="preserve"> Laisser l’agitation pour montrer qu’il ne s’agit pas d’une réaction lente.</w:t>
      </w:r>
    </w:p>
    <w:p w:rsidR="006B7889" w:rsidRDefault="006B7889" w:rsidP="006B7889">
      <w:pPr>
        <w:pStyle w:val="Sansinterligne"/>
        <w:pBdr>
          <w:left w:val="thinThickSmallGap" w:sz="24" w:space="4" w:color="FFC000"/>
        </w:pBdr>
      </w:pPr>
      <w:r>
        <w:tab/>
        <w:t xml:space="preserve">Ajouter le sel 5 grammes par 5 grammes au départ puis au-delà de 15g, ajouter cela gramme par gramme. </w:t>
      </w:r>
    </w:p>
    <w:p w:rsidR="006B7889" w:rsidRDefault="006B7889" w:rsidP="006B7889">
      <w:pPr>
        <w:pStyle w:val="Sansinterligne"/>
        <w:pBdr>
          <w:left w:val="thinThickSmallGap" w:sz="24" w:space="4" w:color="FFC000"/>
        </w:pBdr>
      </w:pPr>
      <w:r>
        <w:tab/>
        <w:t>Monter qu’au bout d’une certaine quantité, il reste du sel dans non dissous dans l’eau.</w:t>
      </w:r>
    </w:p>
    <w:p w:rsidR="006B7889" w:rsidRDefault="006B7889" w:rsidP="006B7889">
      <w:pPr>
        <w:pStyle w:val="Sansinterligne"/>
        <w:pBdr>
          <w:left w:val="thinThickSmallGap" w:sz="24" w:space="4" w:color="FFC000"/>
        </w:pBdr>
      </w:pPr>
    </w:p>
    <w:p w:rsidR="006B7889" w:rsidRDefault="006B7889" w:rsidP="006B7889">
      <w:pPr>
        <w:pStyle w:val="Sansinterligne"/>
        <w:pBdr>
          <w:left w:val="thinThickSmallGap" w:sz="24" w:space="4" w:color="FFC000"/>
        </w:pBdr>
        <w:rPr>
          <w:i/>
          <w:iCs/>
        </w:rPr>
      </w:pPr>
      <w:r>
        <w:rPr>
          <w:i/>
          <w:iCs/>
        </w:rPr>
        <w:tab/>
        <w:t>Attention : pour de grandes concentrations, l’activité d’une espèce n’est plus assimilable à sa concentration mais il faut prendre en compte le facteur d’activité en plus.</w:t>
      </w:r>
    </w:p>
    <w:p w:rsidR="006B7889" w:rsidRDefault="006B7889" w:rsidP="006B7889">
      <w:pPr>
        <w:pStyle w:val="Sansinterligne"/>
        <w:rPr>
          <w:i/>
          <w:iCs/>
        </w:rPr>
      </w:pPr>
    </w:p>
    <w:p w:rsidR="006B7889" w:rsidRDefault="006B7889" w:rsidP="006B7889">
      <w:pPr>
        <w:pStyle w:val="Sansinterligne"/>
      </w:pPr>
      <w:r>
        <w:t xml:space="preserve">Ainsi, il existe une limite à la dissolution d’un solide dans un solvant donné. </w:t>
      </w:r>
    </w:p>
    <w:p w:rsidR="006B7889" w:rsidRDefault="006B7889" w:rsidP="006B7889">
      <w:pPr>
        <w:pStyle w:val="Sansinterligne"/>
      </w:pPr>
    </w:p>
    <w:p w:rsidR="006B7889" w:rsidRDefault="006B7889" w:rsidP="006B7889">
      <w:pPr>
        <w:pStyle w:val="Sansinterligne"/>
      </w:pPr>
      <w:r>
        <w:t>Nous allons voir au cours de cette leçon que le phénomène de dissolution est complexe et nous allons voir quels facteurs peuvent influencer cette dissolution.</w:t>
      </w:r>
    </w:p>
    <w:p w:rsidR="000477A3" w:rsidRPr="000477A3" w:rsidRDefault="000477A3" w:rsidP="006B7889">
      <w:pPr>
        <w:pStyle w:val="Sansinterligne"/>
      </w:pPr>
      <w:r>
        <w:t>Les coquillages et les coraux présents dans l</w:t>
      </w:r>
      <w:r w:rsidR="0033622F">
        <w:t>a</w:t>
      </w:r>
      <w:r>
        <w:t xml:space="preserve"> mer sont composés principalement du solide CaCO</w:t>
      </w:r>
      <w:r>
        <w:rPr>
          <w:vertAlign w:val="subscript"/>
        </w:rPr>
        <w:t>3</w:t>
      </w:r>
      <w:r>
        <w:t xml:space="preserve"> (carbonate de calcium) et sont donc potentiellement soumis </w:t>
      </w:r>
      <w:r w:rsidR="00D85A8F">
        <w:t>au phénomène de dissolution</w:t>
      </w:r>
      <w:r>
        <w:t>.</w:t>
      </w:r>
    </w:p>
    <w:p w:rsidR="006B7889" w:rsidRDefault="006B7889" w:rsidP="006B7889">
      <w:pPr>
        <w:pStyle w:val="Sansinterligne"/>
      </w:pPr>
    </w:p>
    <w:p w:rsidR="0014306D" w:rsidRDefault="0014306D" w:rsidP="006B7889">
      <w:pPr>
        <w:pStyle w:val="Sansinterligne"/>
      </w:pPr>
    </w:p>
    <w:p w:rsidR="0014306D" w:rsidRDefault="0014306D" w:rsidP="006B7889">
      <w:pPr>
        <w:pStyle w:val="Sansinterligne"/>
      </w:pPr>
    </w:p>
    <w:p w:rsidR="006B7889" w:rsidRDefault="00247BA1" w:rsidP="00247BA1">
      <w:pPr>
        <w:pStyle w:val="Sansinterligne"/>
        <w:numPr>
          <w:ilvl w:val="0"/>
          <w:numId w:val="37"/>
        </w:numPr>
        <w:rPr>
          <w:b/>
          <w:bCs/>
          <w:u w:val="single"/>
        </w:rPr>
      </w:pPr>
      <w:r>
        <w:rPr>
          <w:b/>
          <w:bCs/>
          <w:u w:val="single"/>
        </w:rPr>
        <w:lastRenderedPageBreak/>
        <w:t>Vision thermodynamique de la dissolution</w:t>
      </w:r>
    </w:p>
    <w:p w:rsidR="00247BA1" w:rsidRDefault="00247BA1" w:rsidP="006B7889">
      <w:pPr>
        <w:pStyle w:val="Sansinterligne"/>
        <w:numPr>
          <w:ilvl w:val="0"/>
          <w:numId w:val="38"/>
        </w:numPr>
        <w:rPr>
          <w:b/>
          <w:bCs/>
        </w:rPr>
      </w:pPr>
      <w:r>
        <w:rPr>
          <w:b/>
          <w:bCs/>
        </w:rPr>
        <w:t>Équilibre de dissolution</w:t>
      </w:r>
    </w:p>
    <w:p w:rsidR="00247BA1" w:rsidRDefault="00247BA1" w:rsidP="00247BA1">
      <w:pPr>
        <w:pStyle w:val="Sansinterligne"/>
        <w:rPr>
          <w:b/>
          <w:bCs/>
        </w:rPr>
      </w:pPr>
    </w:p>
    <w:p w:rsidR="00247BA1" w:rsidRDefault="00247BA1" w:rsidP="00247BA1">
      <w:pPr>
        <w:pStyle w:val="Sansinterligne"/>
      </w:pPr>
      <w:r>
        <w:t xml:space="preserve">On a vu lors de l’expérience précédente que l’équilibre entre un solide et une solution est possible. </w:t>
      </w:r>
    </w:p>
    <w:p w:rsidR="00247BA1" w:rsidRDefault="00247BA1" w:rsidP="00247BA1">
      <w:pPr>
        <w:pStyle w:val="Sansinterligne"/>
      </w:pPr>
    </w:p>
    <w:p w:rsidR="00727E8A" w:rsidRDefault="00247BA1" w:rsidP="00247BA1">
      <w:pPr>
        <w:pStyle w:val="Sansinterligne"/>
      </w:pPr>
      <w:r>
        <w:t xml:space="preserve">[1] </w:t>
      </w:r>
      <w:r w:rsidR="00727E8A">
        <w:t xml:space="preserve">Un solide (précipité) peut apparaitre dans le milieu et il s’établit un </w:t>
      </w:r>
      <w:r w:rsidR="00727E8A">
        <w:rPr>
          <w:i/>
          <w:iCs/>
        </w:rPr>
        <w:t>équilibre hétérogène</w:t>
      </w:r>
      <w:r w:rsidR="00727E8A">
        <w:t xml:space="preserve"> entre le solide (ou le gaz) est des espèces en solution.</w:t>
      </w:r>
    </w:p>
    <w:p w:rsidR="00727E8A" w:rsidRDefault="00727E8A" w:rsidP="00247BA1">
      <w:pPr>
        <w:pStyle w:val="Sansinterligne"/>
      </w:pPr>
    </w:p>
    <w:p w:rsidR="00B01923" w:rsidRDefault="00727E8A" w:rsidP="00247BA1">
      <w:pPr>
        <w:pStyle w:val="Sansinterligne"/>
      </w:pPr>
      <w:r>
        <w:t xml:space="preserve">Comme tout équilibre, on lui associé une constante d’équilibre. On donne par exemple l’expression de la constante associée </w:t>
      </w:r>
      <w:r w:rsidR="00B01923">
        <w:t xml:space="preserve">à la dissolution de </w:t>
      </w:r>
      <w:proofErr w:type="spellStart"/>
      <w:r w:rsidR="00B01923">
        <w:t>NaCl</w:t>
      </w:r>
      <w:proofErr w:type="spellEnd"/>
      <w:r w:rsidR="00B01923">
        <w:t xml:space="preserve"> dans l’eau :</w:t>
      </w:r>
    </w:p>
    <w:p w:rsidR="00B01923" w:rsidRDefault="00B01923" w:rsidP="00247BA1">
      <w:pPr>
        <w:pStyle w:val="Sansinterligne"/>
      </w:pPr>
      <m:oMathPara>
        <m:oMath>
          <m:r>
            <w:rPr>
              <w:rFonts w:ascii="Cambria Math" w:hAnsi="Cambria Math"/>
            </w:rPr>
            <m:t>NaC</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=N</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+C</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oMath>
      </m:oMathPara>
    </w:p>
    <w:p w:rsidR="00B01923" w:rsidRPr="00B01923" w:rsidRDefault="00D85A8F" w:rsidP="00B01923">
      <w:pPr>
        <w:pStyle w:val="Sansinterligne"/>
        <w:jc w:val="center"/>
        <w:rPr>
          <w:rFonts w:eastAsiaTheme="minor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e>
                <m:sub>
                  <m:r>
                    <w:rPr>
                      <w:rFonts w:ascii="Cambria Math" w:eastAsiaTheme="minorEastAsia" w:hAnsi="Cambria Math"/>
                    </w:rPr>
                    <m:t>eq</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NaCl</m:t>
                  </m:r>
                </m:sub>
              </m:sSub>
            </m:den>
          </m:f>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e>
                        <m:sub>
                          <m:r>
                            <w:rPr>
                              <w:rFonts w:ascii="Cambria Math" w:eastAsiaTheme="minorEastAsia" w:hAnsi="Cambria Math"/>
                            </w:rPr>
                            <m:t>eq</m:t>
                          </m:r>
                        </m:sub>
                      </m:sSub>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e>
                        <m:sub>
                          <m:r>
                            <w:rPr>
                              <w:rFonts w:ascii="Cambria Math" w:eastAsiaTheme="minorEastAsia" w:hAnsi="Cambria Math"/>
                            </w:rPr>
                            <m:t>eq</m:t>
                          </m:r>
                        </m:sub>
                      </m:sSub>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en>
                  </m:f>
                </m:e>
              </m:d>
            </m:num>
            <m:den>
              <m:r>
                <w:rPr>
                  <w:rFonts w:ascii="Cambria Math" w:eastAsiaTheme="minorEastAsia" w:hAnsi="Cambria Math"/>
                </w:rPr>
                <m:t>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(T)</m:t>
          </m:r>
        </m:oMath>
      </m:oMathPara>
    </w:p>
    <w:p w:rsidR="00B01923" w:rsidRDefault="00B01923" w:rsidP="00247BA1">
      <w:pPr>
        <w:pStyle w:val="Sansinterligne"/>
      </w:pPr>
    </w:p>
    <w:p w:rsidR="000477A3" w:rsidRDefault="000477A3" w:rsidP="00247BA1">
      <w:pPr>
        <w:pStyle w:val="Sansinterligne"/>
      </w:pPr>
      <w:r>
        <w:t>De même pour le carbonate de calcium :</w:t>
      </w:r>
    </w:p>
    <w:p w:rsidR="000477A3" w:rsidRPr="000477A3" w:rsidRDefault="000477A3" w:rsidP="00247BA1">
      <w:pPr>
        <w:pStyle w:val="Sansinterligne"/>
        <w:rPr>
          <w:rFonts w:eastAsiaTheme="minorEastAsia"/>
        </w:rPr>
      </w:pPr>
      <m:oMathPara>
        <m:oMath>
          <m:r>
            <w:rPr>
              <w:rFonts w:ascii="Cambria Math" w:hAnsi="Cambria Math"/>
            </w:rPr>
            <m:t>CaC</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3</m:t>
                  </m:r>
                </m:sub>
              </m:sSub>
            </m:e>
            <m:sub>
              <m:r>
                <w:rPr>
                  <w:rFonts w:ascii="Cambria Math" w:hAnsi="Cambria Math"/>
                </w:rPr>
                <m:t>(s)</m:t>
              </m:r>
            </m:sub>
          </m:sSub>
          <m:r>
            <w:rPr>
              <w:rFonts w:ascii="Cambria Math" w:hAnsi="Cambria Math"/>
            </w:rPr>
            <m:t>=C</m:t>
          </m:r>
          <m:sSubSup>
            <m:sSubSupPr>
              <m:ctrlPr>
                <w:rPr>
                  <w:rFonts w:ascii="Cambria Math" w:hAnsi="Cambria Math"/>
                  <w:i/>
                </w:rPr>
              </m:ctrlPr>
            </m:sSubSupPr>
            <m:e>
              <m:r>
                <w:rPr>
                  <w:rFonts w:ascii="Cambria Math" w:hAnsi="Cambria Math"/>
                </w:rPr>
                <m:t>a</m:t>
              </m:r>
            </m:e>
            <m:sub>
              <m:r>
                <w:rPr>
                  <w:rFonts w:ascii="Cambria Math" w:hAnsi="Cambria Math"/>
                </w:rPr>
                <m:t>(aq)</m:t>
              </m:r>
            </m:sub>
            <m:sup>
              <m:r>
                <w:rPr>
                  <w:rFonts w:ascii="Cambria Math" w:hAnsi="Cambria Math"/>
                </w:rPr>
                <m:t xml:space="preserve"> 2+</m:t>
              </m:r>
            </m:sup>
          </m:sSubSup>
          <m:r>
            <w:rPr>
              <w:rFonts w:ascii="Cambria Math" w:eastAsiaTheme="minorEastAsia" w:hAnsi="Cambria Math"/>
            </w:rPr>
            <m:t>+C</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e>
            <m:sub>
              <m:r>
                <w:rPr>
                  <w:rFonts w:ascii="Cambria Math" w:eastAsiaTheme="minorEastAsia" w:hAnsi="Cambria Math"/>
                </w:rPr>
                <m:t>(aq)</m:t>
              </m:r>
            </m:sub>
          </m:sSub>
        </m:oMath>
      </m:oMathPara>
    </w:p>
    <w:p w:rsidR="000477A3" w:rsidRPr="00D760D7" w:rsidRDefault="000477A3" w:rsidP="00247BA1">
      <w:pPr>
        <w:pStyle w:val="Sansinterligne"/>
        <w:rPr>
          <w:rFonts w:eastAsiaTheme="minorEastAsia"/>
        </w:rPr>
      </w:pPr>
      <m:oMathPara>
        <m:oMath>
          <m:r>
            <w:rPr>
              <w:rFonts w:ascii="Cambria Math" w:hAnsi="Cambria Math"/>
            </w:rPr>
            <m:t>Ks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d>
                </m:e>
                <m:sub>
                  <m:r>
                    <w:rPr>
                      <w:rFonts w:ascii="Cambria Math" w:hAnsi="Cambria Math"/>
                    </w:rPr>
                    <m:t>eq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e>
                  </m:d>
                </m:e>
                <m:sub>
                  <m:r>
                    <w:rPr>
                      <w:rFonts w:ascii="Cambria Math" w:hAnsi="Cambria Math"/>
                    </w:rPr>
                    <m:t>eq</m:t>
                  </m:r>
                </m:sub>
              </m:sSub>
            </m:num>
            <m:den>
              <m:r>
                <w:rPr>
                  <w:rFonts w:ascii="Cambria Math" w:hAnsi="Cambria Math"/>
                </w:rPr>
                <m:t>1</m:t>
              </m:r>
            </m:den>
          </m:f>
        </m:oMath>
      </m:oMathPara>
    </w:p>
    <w:p w:rsidR="00D760D7" w:rsidRPr="000477A3" w:rsidRDefault="00D760D7" w:rsidP="00247BA1">
      <w:pPr>
        <w:pStyle w:val="Sansinterligne"/>
        <w:rPr>
          <w:rFonts w:eastAsiaTheme="minorEastAsia"/>
        </w:rPr>
      </w:pPr>
    </w:p>
    <w:p w:rsidR="00D760D7" w:rsidRDefault="00D760D7" w:rsidP="00247BA1">
      <w:pPr>
        <w:pStyle w:val="Sansinterligne"/>
        <w:rPr>
          <w:rFonts w:eastAsiaTheme="minorEastAsia"/>
        </w:rPr>
      </w:pPr>
      <w:r>
        <w:rPr>
          <w:rFonts w:eastAsiaTheme="minorEastAsia"/>
        </w:rPr>
        <w:t>Le carbonate calcium présente différentes formes polymorphes :</w:t>
      </w:r>
    </w:p>
    <w:p w:rsidR="000477A3" w:rsidRDefault="00D760D7" w:rsidP="0033622F">
      <w:pPr>
        <w:pStyle w:val="Sansinterligne"/>
        <w:rPr>
          <w:rFonts w:eastAsiaTheme="minorEastAsia"/>
        </w:rPr>
      </w:pPr>
      <w:r>
        <w:rPr>
          <w:rFonts w:eastAsiaTheme="minorEastAsia"/>
        </w:rPr>
        <w:tab/>
      </w:r>
      <w:r w:rsidR="0033622F">
        <w:rPr>
          <w:rFonts w:eastAsiaTheme="minorEastAsia"/>
        </w:rPr>
        <w:t xml:space="preserve">[2] </w:t>
      </w:r>
      <w:r>
        <w:rPr>
          <w:rFonts w:eastAsiaTheme="minorEastAsia"/>
        </w:rPr>
        <w:t xml:space="preserve">La calcite dont la constante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T=25°C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3,36.10</m:t>
            </m:r>
          </m:e>
          <m:sup>
            <m:r>
              <w:rPr>
                <w:rFonts w:ascii="Cambria Math" w:eastAsiaTheme="minorEastAsia" w:hAnsi="Cambria Math"/>
              </w:rPr>
              <m:t>-9</m:t>
            </m:r>
          </m:sup>
        </m:sSup>
      </m:oMath>
      <w:r>
        <w:rPr>
          <w:rFonts w:eastAsiaTheme="minorEastAsia"/>
        </w:rPr>
        <w:t xml:space="preserve"> stables dans les conditions ambiantes de pression et de température</w:t>
      </w:r>
      <w:r w:rsidR="00A04C68">
        <w:rPr>
          <w:rFonts w:eastAsiaTheme="minorEastAsia"/>
        </w:rPr>
        <w:t>, structure trigonale</w:t>
      </w:r>
    </w:p>
    <w:p w:rsidR="00D760D7" w:rsidRDefault="00D760D7" w:rsidP="0033622F">
      <w:pPr>
        <w:pStyle w:val="Sansinterligne"/>
        <w:rPr>
          <w:rFonts w:eastAsiaTheme="minorEastAsia"/>
        </w:rPr>
      </w:pPr>
      <w:r>
        <w:rPr>
          <w:rFonts w:eastAsiaTheme="minorEastAsia"/>
        </w:rPr>
        <w:tab/>
        <w:t xml:space="preserve">L’aragonite dont la constante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T=25°C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6,0.10</m:t>
            </m:r>
          </m:e>
          <m:sup>
            <m:r>
              <w:rPr>
                <w:rFonts w:ascii="Cambria Math" w:eastAsiaTheme="minorEastAsia" w:hAnsi="Cambria Math"/>
              </w:rPr>
              <m:t>-9</m:t>
            </m:r>
          </m:sup>
        </m:sSup>
      </m:oMath>
      <w:r>
        <w:rPr>
          <w:rFonts w:eastAsiaTheme="minorEastAsia"/>
        </w:rPr>
        <w:t xml:space="preserve"> stable à hautes température et pression</w:t>
      </w:r>
      <w:r w:rsidR="00A04C68">
        <w:rPr>
          <w:rFonts w:eastAsiaTheme="minorEastAsia"/>
        </w:rPr>
        <w:t>, structure orthorhombique</w:t>
      </w:r>
    </w:p>
    <w:p w:rsidR="00D760D7" w:rsidRPr="00D760D7" w:rsidRDefault="00D760D7" w:rsidP="0033622F">
      <w:pPr>
        <w:pStyle w:val="Sansinterligne"/>
        <w:rPr>
          <w:rFonts w:eastAsiaTheme="minorEastAsia"/>
          <w:i/>
          <w:iCs/>
        </w:rPr>
      </w:pPr>
      <w:r>
        <w:rPr>
          <w:rFonts w:eastAsiaTheme="minorEastAsia"/>
          <w:i/>
          <w:iCs/>
        </w:rPr>
        <w:t xml:space="preserve">Il existe une troisième forme appelée </w:t>
      </w:r>
      <w:proofErr w:type="spellStart"/>
      <w:r>
        <w:rPr>
          <w:rFonts w:eastAsiaTheme="minorEastAsia"/>
          <w:i/>
          <w:iCs/>
        </w:rPr>
        <w:t>vatérite</w:t>
      </w:r>
      <w:proofErr w:type="spellEnd"/>
      <w:r>
        <w:rPr>
          <w:rFonts w:eastAsiaTheme="minorEastAsia"/>
          <w:i/>
          <w:iCs/>
        </w:rPr>
        <w:t xml:space="preserve"> rare car instable.</w:t>
      </w:r>
    </w:p>
    <w:p w:rsidR="00B01923" w:rsidRDefault="00B01923" w:rsidP="00247BA1">
      <w:pPr>
        <w:pStyle w:val="Sansinterligne"/>
        <w:rPr>
          <w:rFonts w:eastAsiaTheme="minorEastAsia"/>
        </w:rPr>
      </w:pPr>
    </w:p>
    <w:p w:rsidR="00B01923" w:rsidRPr="00B01923" w:rsidRDefault="00B01923" w:rsidP="00B01923">
      <w:pPr>
        <w:pStyle w:val="Sansinterligne"/>
        <w:pBdr>
          <w:left w:val="thinThickSmallGap" w:sz="24" w:space="4" w:color="00B050"/>
        </w:pBdr>
        <w:rPr>
          <w:rFonts w:eastAsiaTheme="minorEastAsia"/>
          <w:b/>
          <w:bCs/>
          <w:smallCaps/>
        </w:rPr>
      </w:pPr>
      <w:r>
        <w:rPr>
          <w:rFonts w:eastAsiaTheme="minorEastAsia"/>
          <w:b/>
          <w:bCs/>
          <w:smallCaps/>
        </w:rPr>
        <w:t>Transition : Dans l’expérience de dissolution du chlorure de sodium dans l’eau, nous avons vu dans un premier temps la dissolution totale d</w:t>
      </w:r>
      <w:r w:rsidR="00D85A8F">
        <w:rPr>
          <w:rFonts w:eastAsiaTheme="minorEastAsia"/>
          <w:b/>
          <w:bCs/>
          <w:smallCaps/>
        </w:rPr>
        <w:t xml:space="preserve">e </w:t>
      </w:r>
      <w:r>
        <w:rPr>
          <w:rFonts w:eastAsiaTheme="minorEastAsia"/>
          <w:b/>
          <w:bCs/>
          <w:smallCaps/>
        </w:rPr>
        <w:t>cette espèce dans l’eau puis à partir d’un certain seuil, nous avons du solide dans le milieu. Ainsi l’équilibre n’a pas toujours lieu, comment caractériser sa mise en place ?</w:t>
      </w:r>
    </w:p>
    <w:p w:rsidR="00247BA1" w:rsidRDefault="00247BA1" w:rsidP="00B01923">
      <w:pPr>
        <w:pStyle w:val="Sansinterligne"/>
      </w:pPr>
    </w:p>
    <w:p w:rsidR="00B01923" w:rsidRDefault="00B01923" w:rsidP="00B01923">
      <w:pPr>
        <w:pStyle w:val="Sansinterligne"/>
        <w:numPr>
          <w:ilvl w:val="0"/>
          <w:numId w:val="38"/>
        </w:numPr>
        <w:rPr>
          <w:b/>
          <w:bCs/>
        </w:rPr>
      </w:pPr>
      <w:r>
        <w:rPr>
          <w:b/>
          <w:bCs/>
        </w:rPr>
        <w:t>Condition d’existence</w:t>
      </w:r>
    </w:p>
    <w:p w:rsidR="00B01923" w:rsidRDefault="00B01923" w:rsidP="00B01923">
      <w:pPr>
        <w:pStyle w:val="Sansinterligne"/>
      </w:pPr>
    </w:p>
    <w:p w:rsidR="00B01923" w:rsidRDefault="00B01923" w:rsidP="00B01923">
      <w:pPr>
        <w:pStyle w:val="Sansinterligne"/>
      </w:pPr>
      <w:r>
        <w:t xml:space="preserve">L’équilibre n’est vérifié que lorsque le solide est réellement présent dans le milieu. </w:t>
      </w:r>
    </w:p>
    <w:p w:rsidR="00B01923" w:rsidRDefault="00B01923" w:rsidP="00B01923">
      <w:pPr>
        <w:pStyle w:val="Sansinterligne"/>
      </w:pPr>
      <w:r>
        <w:t>Il faut noter que les concentrations intervenant dans l’expression de la constante K</w:t>
      </w:r>
      <w:r>
        <w:rPr>
          <w:vertAlign w:val="subscript"/>
        </w:rPr>
        <w:t>s</w:t>
      </w:r>
      <w:r>
        <w:t xml:space="preserve"> </w:t>
      </w:r>
      <w:r w:rsidR="000477A3">
        <w:t>sont les concentrations uniquement si l’équilibre est réalisé.</w:t>
      </w:r>
    </w:p>
    <w:p w:rsidR="000477A3" w:rsidRDefault="000477A3" w:rsidP="00B01923">
      <w:pPr>
        <w:pStyle w:val="Sansinterligne"/>
      </w:pPr>
    </w:p>
    <w:p w:rsidR="000477A3" w:rsidRDefault="000477A3" w:rsidP="00B01923">
      <w:pPr>
        <w:pStyle w:val="Sansinterligne"/>
      </w:pPr>
      <w:r>
        <w:t>Pour établir un critère sur l’existence ou non de l’équilibre, il faut comparer le quotient de réaction à l’instant initial et la constante d’équilibre.</w:t>
      </w:r>
    </w:p>
    <w:p w:rsidR="0033622F" w:rsidRDefault="0033622F" w:rsidP="00B01923">
      <w:pPr>
        <w:pStyle w:val="Sansinterligne"/>
      </w:pPr>
      <w:r>
        <w:t>Reprenons l’exemple de la dissolution du carbonate de calcium</w:t>
      </w:r>
    </w:p>
    <w:p w:rsidR="0033622F" w:rsidRPr="000477A3" w:rsidRDefault="0033622F" w:rsidP="0033622F">
      <w:pPr>
        <w:pStyle w:val="Sansinterligne"/>
        <w:rPr>
          <w:rFonts w:eastAsiaTheme="minorEastAsia"/>
        </w:rPr>
      </w:pPr>
      <m:oMathPara>
        <m:oMath>
          <m:r>
            <w:rPr>
              <w:rFonts w:ascii="Cambria Math" w:hAnsi="Cambria Math"/>
            </w:rPr>
            <m:t>CaC</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3</m:t>
                  </m:r>
                </m:sub>
              </m:sSub>
            </m:e>
            <m:sub>
              <m:r>
                <w:rPr>
                  <w:rFonts w:ascii="Cambria Math" w:hAnsi="Cambria Math"/>
                </w:rPr>
                <m:t>(s)</m:t>
              </m:r>
            </m:sub>
          </m:sSub>
          <m:r>
            <w:rPr>
              <w:rFonts w:ascii="Cambria Math" w:hAnsi="Cambria Math"/>
            </w:rPr>
            <m:t>=C</m:t>
          </m:r>
          <m:sSubSup>
            <m:sSubSupPr>
              <m:ctrlPr>
                <w:rPr>
                  <w:rFonts w:ascii="Cambria Math" w:hAnsi="Cambria Math"/>
                  <w:i/>
                </w:rPr>
              </m:ctrlPr>
            </m:sSubSupPr>
            <m:e>
              <m:r>
                <w:rPr>
                  <w:rFonts w:ascii="Cambria Math" w:hAnsi="Cambria Math"/>
                </w:rPr>
                <m:t>a</m:t>
              </m:r>
            </m:e>
            <m:sub>
              <m:r>
                <w:rPr>
                  <w:rFonts w:ascii="Cambria Math" w:hAnsi="Cambria Math"/>
                </w:rPr>
                <m:t>(aq)</m:t>
              </m:r>
            </m:sub>
            <m:sup>
              <m:r>
                <w:rPr>
                  <w:rFonts w:ascii="Cambria Math" w:hAnsi="Cambria Math"/>
                </w:rPr>
                <m:t xml:space="preserve"> 2+</m:t>
              </m:r>
            </m:sup>
          </m:sSubSup>
          <m:r>
            <w:rPr>
              <w:rFonts w:ascii="Cambria Math" w:eastAsiaTheme="minorEastAsia" w:hAnsi="Cambria Math"/>
            </w:rPr>
            <m:t>+C</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e>
            <m:sub>
              <m:r>
                <w:rPr>
                  <w:rFonts w:ascii="Cambria Math" w:eastAsiaTheme="minorEastAsia" w:hAnsi="Cambria Math"/>
                </w:rPr>
                <m:t>(aq)</m:t>
              </m:r>
            </m:sub>
          </m:sSub>
        </m:oMath>
      </m:oMathPara>
    </w:p>
    <w:p w:rsidR="0033622F" w:rsidRPr="00DE10AB" w:rsidRDefault="0033622F" w:rsidP="00D85A8F">
      <w:pPr>
        <w:pStyle w:val="Sansinterligne"/>
        <w:jc w:val="center"/>
        <w:rPr>
          <w:rFonts w:eastAsiaTheme="minorEastAsia"/>
        </w:rPr>
      </w:pPr>
      <m:oMath>
        <m:r>
          <w:rPr>
            <w:rFonts w:ascii="Cambria Math" w:hAnsi="Cambria Math"/>
          </w:rPr>
          <m:t>Ks</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d>
          </m:e>
          <m:sub>
            <m:r>
              <w:rPr>
                <w:rFonts w:ascii="Cambria Math" w:hAnsi="Cambria Math"/>
              </w:rPr>
              <m:t>eq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e>
            </m:d>
          </m:e>
          <m:sub>
            <m:r>
              <w:rPr>
                <w:rFonts w:ascii="Cambria Math" w:hAnsi="Cambria Math"/>
              </w:rPr>
              <m:t>eq</m:t>
            </m:r>
          </m:sub>
        </m:sSub>
      </m:oMath>
      <w:r w:rsidR="00D85A8F">
        <w:rPr>
          <w:rFonts w:eastAsiaTheme="minorEastAsia"/>
        </w:rPr>
        <w:t xml:space="preserve"> en omettant les concentrations standards</w:t>
      </w:r>
    </w:p>
    <w:p w:rsidR="00DE10AB" w:rsidRDefault="00DE10AB" w:rsidP="0033622F">
      <w:pPr>
        <w:pStyle w:val="Sansinterligne"/>
        <w:rPr>
          <w:rFonts w:eastAsiaTheme="minorEastAsia"/>
        </w:rPr>
      </w:pPr>
      <w:r>
        <w:rPr>
          <w:rFonts w:eastAsiaTheme="minorEastAsia"/>
        </w:rPr>
        <w:t xml:space="preserve">Considérons maintenant une solution </w:t>
      </w:r>
      <w:r>
        <w:rPr>
          <w:rFonts w:eastAsiaTheme="minorEastAsia"/>
          <w:i/>
          <w:iCs/>
        </w:rPr>
        <w:t xml:space="preserve">saturée </w:t>
      </w:r>
      <w:r>
        <w:rPr>
          <w:rFonts w:eastAsiaTheme="minorEastAsia"/>
        </w:rPr>
        <w:t>(contenant encore du solide) de carbonate de calcium alors l’expression de l</w:t>
      </w:r>
      <w:r w:rsidR="00D85A8F">
        <w:rPr>
          <w:rFonts w:eastAsiaTheme="minorEastAsia"/>
        </w:rPr>
        <w:t>a</w:t>
      </w:r>
      <w:r>
        <w:rPr>
          <w:rFonts w:eastAsiaTheme="minorEastAsia"/>
        </w:rPr>
        <w:t xml:space="preserve"> constante Ks est vérifiée et est bien donnée par la formule précédente. </w:t>
      </w:r>
    </w:p>
    <w:p w:rsidR="0014306D" w:rsidRDefault="00DE10AB" w:rsidP="00B01923">
      <w:pPr>
        <w:pStyle w:val="Sansinterligne"/>
        <w:rPr>
          <w:rFonts w:eastAsiaTheme="minorEastAsia"/>
        </w:rPr>
      </w:pPr>
      <w:r>
        <w:rPr>
          <w:rFonts w:eastAsiaTheme="minorEastAsia"/>
        </w:rPr>
        <w:t xml:space="preserve">Procédons à une expérience par la pensée, filtrons cette solution et effectuons une dilution du filtrat, ainsi les concentrations en ions carbonate et calcium ont diminuées et </w:t>
      </w:r>
      <m:oMath>
        <m:r>
          <w:rPr>
            <w:rFonts w:ascii="Cambria Math" w:eastAsiaTheme="minorEastAsia" w:hAnsi="Cambria Math"/>
          </w:rPr>
          <m:t>Q=</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e>
            </m:d>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Pr>
          <w:rFonts w:eastAsiaTheme="minorEastAsia"/>
        </w:rPr>
        <w:t xml:space="preserve"> et l’équilibre n’est plus atteint car il n’y a pas de présence de solide dans le milieu. </w:t>
      </w:r>
    </w:p>
    <w:p w:rsidR="004A13B9" w:rsidRDefault="000E79F8" w:rsidP="00B01923">
      <w:pPr>
        <w:pStyle w:val="Sansinterligne"/>
        <w:rPr>
          <w:rFonts w:eastAsiaTheme="minorEastAsia"/>
        </w:rPr>
      </w:pPr>
      <w:r>
        <w:lastRenderedPageBreak/>
        <w:t xml:space="preserve">A contrario, </w:t>
      </w:r>
      <w:r w:rsidR="004A13B9">
        <w:t xml:space="preserve">si à partir d’une solution non saturée de chlorure de sodium, on ajoute du chlorure de potassium, la concentration en ions chlorure augmente entrainant une augmentation de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A13B9">
        <w:rPr>
          <w:rFonts w:eastAsiaTheme="minorEastAsia"/>
        </w:rPr>
        <w:t xml:space="preserve"> et donc la précipitation en du chlorure d’argent. </w:t>
      </w:r>
    </w:p>
    <w:p w:rsidR="004A13B9" w:rsidRPr="004A13B9" w:rsidRDefault="004A13B9" w:rsidP="004A13B9">
      <w:pPr>
        <w:pStyle w:val="Sansinterligne"/>
        <w:pBdr>
          <w:left w:val="thinThickSmallGap" w:sz="24" w:space="4" w:color="FFC000"/>
        </w:pBdr>
        <w:rPr>
          <w:rFonts w:eastAsiaTheme="minorEastAsia"/>
        </w:rPr>
      </w:pPr>
      <w:r>
        <w:rPr>
          <w:rFonts w:eastAsiaTheme="minorEastAsia"/>
        </w:rPr>
        <w:t>Cela peut être montré en manip en se plaçant pas trop loin de la précipitation dans la solution de chlorure de sodium.</w:t>
      </w:r>
    </w:p>
    <w:p w:rsidR="00E205E8" w:rsidRDefault="00E205E8" w:rsidP="00B01923">
      <w:pPr>
        <w:pStyle w:val="Sansinterligne"/>
      </w:pPr>
    </w:p>
    <w:p w:rsidR="00781A6A" w:rsidRDefault="00781A6A" w:rsidP="00B01923">
      <w:pPr>
        <w:pStyle w:val="Sansinterligne"/>
      </w:pPr>
      <w:r>
        <w:t xml:space="preserve">[1] Ainsi on retiendra le critère suivant : </w:t>
      </w:r>
    </w:p>
    <w:p w:rsidR="00781A6A" w:rsidRDefault="00781A6A" w:rsidP="00B01923">
      <w:pPr>
        <w:pStyle w:val="Sansinterligne"/>
        <w:rPr>
          <w:rFonts w:eastAsiaTheme="minorEastAsia"/>
        </w:rPr>
      </w:pPr>
      <w:r>
        <w:tab/>
        <w:t xml:space="preserve">Si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s</m:t>
            </m:r>
          </m:sub>
        </m:sSub>
      </m:oMath>
      <w:r>
        <w:rPr>
          <w:rFonts w:eastAsiaTheme="minorEastAsia"/>
        </w:rPr>
        <w:t xml:space="preserve"> alors la solution n’est pas saturée, il n’y a pas de solide </w:t>
      </w:r>
    </w:p>
    <w:p w:rsidR="00781A6A" w:rsidRDefault="00781A6A" w:rsidP="00B01923">
      <w:pPr>
        <w:pStyle w:val="Sansinterligne"/>
      </w:pPr>
      <w:r>
        <w:rPr>
          <w:rFonts w:eastAsiaTheme="minorEastAsia"/>
        </w:rPr>
        <w:tab/>
        <w:t xml:space="preserve">Si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Pr>
          <w:rFonts w:eastAsiaTheme="minorEastAsia"/>
        </w:rPr>
        <w:t xml:space="preserve"> alors il y a équilibre hétérogène entre le solide et les espèces en solution </w:t>
      </w:r>
    </w:p>
    <w:p w:rsidR="00B01923" w:rsidRDefault="00781A6A" w:rsidP="00B01923">
      <w:pPr>
        <w:pStyle w:val="Sansinterligne"/>
      </w:pPr>
      <w:r>
        <w:tab/>
        <w:t xml:space="preserve">Si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s</m:t>
            </m:r>
          </m:sub>
        </m:sSub>
      </m:oMath>
      <w:r>
        <w:rPr>
          <w:rFonts w:eastAsiaTheme="minorEastAsia"/>
        </w:rPr>
        <w:t xml:space="preserve"> il y a précipitation et diminution du quotient de réaction jusqu’à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t xml:space="preserve"> (critère d’évolution).</w:t>
      </w:r>
    </w:p>
    <w:p w:rsidR="00781A6A" w:rsidRDefault="00781A6A" w:rsidP="00B01923">
      <w:pPr>
        <w:pStyle w:val="Sansinterligne"/>
      </w:pPr>
    </w:p>
    <w:p w:rsidR="00781A6A" w:rsidRDefault="00781A6A" w:rsidP="00B01923">
      <w:pPr>
        <w:pStyle w:val="Sansinterligne"/>
      </w:pPr>
      <w:r>
        <w:t xml:space="preserve">Ainsi, on peut tracer un </w:t>
      </w:r>
      <w:r>
        <w:rPr>
          <w:i/>
          <w:iCs/>
        </w:rPr>
        <w:t>diagramme d’existence</w:t>
      </w:r>
      <w:r>
        <w:t>,</w:t>
      </w:r>
    </w:p>
    <w:p w:rsidR="00781A6A" w:rsidRDefault="00781A6A" w:rsidP="00B01923">
      <w:pPr>
        <w:pStyle w:val="Sansinterligne"/>
        <w:rPr>
          <w:rFonts w:eastAsiaTheme="minorEastAsia"/>
        </w:rPr>
      </w:pPr>
      <w:r>
        <w:t xml:space="preserve">On peut donc </w:t>
      </w:r>
      <w:r w:rsidR="004A13B9">
        <w:t>repérer</w:t>
      </w:r>
      <w:r>
        <w:t xml:space="preserve"> sur un axe </w:t>
      </w:r>
      <m:oMath>
        <m:sSub>
          <m:sSubPr>
            <m:ctrlPr>
              <w:rPr>
                <w:rFonts w:ascii="Cambria Math" w:hAnsi="Cambria Math"/>
                <w:i/>
              </w:rPr>
            </m:ctrlPr>
          </m:sSubPr>
          <m:e>
            <m:r>
              <w:rPr>
                <w:rFonts w:ascii="Cambria Math" w:hAnsi="Cambria Math"/>
              </w:rPr>
              <m:t>p</m:t>
            </m:r>
          </m:e>
          <m:sub>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sub>
        </m:sSub>
        <m:r>
          <w:rPr>
            <w:rFonts w:ascii="Cambria Math" w:hAnsi="Cambria Math"/>
          </w:rPr>
          <m:t>= -</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hAnsi="Cambria Math"/>
          </w:rPr>
          <m:t xml:space="preserve"> </m:t>
        </m:r>
      </m:oMath>
      <w:r w:rsidR="004A13B9">
        <w:rPr>
          <w:rFonts w:eastAsiaTheme="minorEastAsia"/>
        </w:rPr>
        <w:t>l’existence ou non du précipité</w:t>
      </w:r>
    </w:p>
    <w:p w:rsidR="004A13B9" w:rsidRDefault="00D63C9D" w:rsidP="00B01923">
      <w:pPr>
        <w:pStyle w:val="Sansinterligne"/>
        <w:rPr>
          <w:rFonts w:eastAsiaTheme="minorEastAsia"/>
        </w:rPr>
      </w:pPr>
      <w:r>
        <w:rPr>
          <w:noProof/>
        </w:rPr>
        <mc:AlternateContent>
          <mc:Choice Requires="wps">
            <w:drawing>
              <wp:anchor distT="0" distB="0" distL="114300" distR="114300" simplePos="0" relativeHeight="251661312" behindDoc="0" locked="0" layoutInCell="1" allowOverlap="1">
                <wp:simplePos x="0" y="0"/>
                <wp:positionH relativeFrom="column">
                  <wp:posOffset>5653405</wp:posOffset>
                </wp:positionH>
                <wp:positionV relativeFrom="paragraph">
                  <wp:posOffset>386715</wp:posOffset>
                </wp:positionV>
                <wp:extent cx="447675" cy="29527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rsidR="00D85A8F" w:rsidRDefault="00D85A8F">
                            <w:proofErr w:type="spellStart"/>
                            <w:r>
                              <w:t>pCa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445.15pt;margin-top:30.45pt;width:35.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" filled="f" stroked="f" strokeweight=".5pt">
                <v:textbox>
                  <w:txbxContent>
                    <w:p w:rsidR="00D85A8F" w:rsidRDefault="00D85A8F">
                      <w:proofErr w:type="spellStart"/>
                      <w:r>
                        <w:t>pCa</w:t>
                      </w:r>
                      <w:proofErr w:type="spellEnd"/>
                    </w:p>
                  </w:txbxContent>
                </v:textbox>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5739130</wp:posOffset>
                </wp:positionH>
                <wp:positionV relativeFrom="paragraph">
                  <wp:posOffset>282575</wp:posOffset>
                </wp:positionV>
                <wp:extent cx="219075" cy="180975"/>
                <wp:effectExtent l="0" t="19050" r="47625" b="47625"/>
                <wp:wrapNone/>
                <wp:docPr id="2" name="Triangle isocèle 2"/>
                <wp:cNvGraphicFramePr/>
                <a:graphic xmlns:a="http://schemas.openxmlformats.org/drawingml/2006/main">
                  <a:graphicData uri="http://schemas.microsoft.com/office/word/2010/wordprocessingShape">
                    <wps:wsp>
                      <wps:cNvSpPr/>
                      <wps:spPr>
                        <a:xfrm rot="5400000">
                          <a:off x="0" y="0"/>
                          <a:ext cx="219075" cy="1809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C8C27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6" type="#_x0000_t5" style="position:absolute;margin-left:451.9pt;margin-top:22.25pt;width:17.25pt;height:14.2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" fillcolor="black [3200]" strokecolor="black [1600]" strokeweight="1pt"/>
            </w:pict>
          </mc:Fallback>
        </mc:AlternateContent>
      </w:r>
    </w:p>
    <w:tbl>
      <w:tblPr>
        <w:tblStyle w:val="Grilledutableau"/>
        <w:tblW w:w="0" w:type="auto"/>
        <w:tblLook w:val="04A0" w:firstRow="1" w:lastRow="0" w:firstColumn="1" w:lastColumn="0" w:noHBand="0" w:noVBand="1"/>
      </w:tblPr>
      <w:tblGrid>
        <w:gridCol w:w="4531"/>
        <w:gridCol w:w="4531"/>
      </w:tblGrid>
      <w:tr w:rsidR="00950316" w:rsidTr="00D63C9D">
        <w:tc>
          <w:tcPr>
            <w:tcW w:w="4531" w:type="dxa"/>
            <w:tcBorders>
              <w:top w:val="nil"/>
              <w:left w:val="nil"/>
              <w:bottom w:val="single" w:sz="4" w:space="0" w:color="auto"/>
            </w:tcBorders>
          </w:tcPr>
          <w:p w:rsidR="00950316" w:rsidRDefault="00950316" w:rsidP="00B01923">
            <w:pPr>
              <w:pStyle w:val="Sansinterligne"/>
              <w:rPr>
                <w:rFonts w:eastAsiaTheme="minorEastAsia"/>
              </w:rPr>
            </w:pPr>
            <m:oMathPara>
              <m:oMath>
                <m:r>
                  <w:rPr>
                    <w:rFonts w:ascii="Cambria Math" w:eastAsiaTheme="minorEastAsia" w:hAnsi="Cambria Math"/>
                  </w:rPr>
                  <m:t>CaC</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e>
                  <m:sub>
                    <m:r>
                      <w:rPr>
                        <w:rFonts w:ascii="Cambria Math" w:eastAsiaTheme="minorEastAsia" w:hAnsi="Cambria Math"/>
                      </w:rPr>
                      <m:t>(s)</m:t>
                    </m:r>
                  </m:sub>
                </m:sSub>
                <m:r>
                  <w:rPr>
                    <w:rFonts w:ascii="Cambria Math" w:eastAsiaTheme="minorEastAsia" w:hAnsi="Cambria Math"/>
                  </w:rPr>
                  <m:t xml:space="preserve"> existe</m:t>
                </m:r>
              </m:oMath>
            </m:oMathPara>
          </w:p>
        </w:tc>
        <w:tc>
          <w:tcPr>
            <w:tcW w:w="4531" w:type="dxa"/>
            <w:tcBorders>
              <w:top w:val="nil"/>
              <w:bottom w:val="single" w:sz="4" w:space="0" w:color="auto"/>
              <w:right w:val="nil"/>
            </w:tcBorders>
          </w:tcPr>
          <w:p w:rsidR="00950316" w:rsidRDefault="00950316" w:rsidP="00B01923">
            <w:pPr>
              <w:pStyle w:val="Sansinterligne"/>
              <w:rPr>
                <w:rFonts w:eastAsiaTheme="minorEastAsia"/>
              </w:rPr>
            </w:pPr>
            <m:oMathPara>
              <m:oMath>
                <m:r>
                  <w:rPr>
                    <w:rFonts w:ascii="Cambria Math" w:eastAsiaTheme="minorEastAsia" w:hAnsi="Cambria Math"/>
                  </w:rPr>
                  <m:t>Pas de précipité</m:t>
                </m:r>
              </m:oMath>
            </m:oMathPara>
          </w:p>
        </w:tc>
      </w:tr>
      <w:tr w:rsidR="00950316" w:rsidTr="00D63C9D">
        <w:tc>
          <w:tcPr>
            <w:tcW w:w="4531" w:type="dxa"/>
            <w:tcBorders>
              <w:left w:val="nil"/>
              <w:bottom w:val="nil"/>
            </w:tcBorders>
          </w:tcPr>
          <w:p w:rsidR="00950316" w:rsidRDefault="00950316" w:rsidP="00B01923">
            <w:pPr>
              <w:pStyle w:val="Sansinterligne"/>
              <w:rPr>
                <w:rFonts w:eastAsiaTheme="minorEastAsia"/>
              </w:rPr>
            </w:pPr>
            <m:oMathPara>
              <m:oMath>
                <m:r>
                  <w:rPr>
                    <w:rFonts w:ascii="Cambria Math" w:eastAsiaTheme="minorEastAsia" w:hAnsi="Cambria Math"/>
                  </w:rPr>
                  <m:t>Q&gt;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m:oMathPara>
          </w:p>
        </w:tc>
        <w:tc>
          <w:tcPr>
            <w:tcW w:w="4531" w:type="dxa"/>
            <w:tcBorders>
              <w:bottom w:val="nil"/>
              <w:right w:val="nil"/>
            </w:tcBorders>
          </w:tcPr>
          <w:p w:rsidR="00950316" w:rsidRDefault="00950316" w:rsidP="00B01923">
            <w:pPr>
              <w:pStyle w:val="Sansinterligne"/>
              <w:rPr>
                <w:rFonts w:eastAsiaTheme="minorEastAsia"/>
              </w:rPr>
            </w:pPr>
            <m:oMathPara>
              <m:oMath>
                <m:r>
                  <w:rPr>
                    <w:rFonts w:ascii="Cambria Math" w:eastAsiaTheme="minorEastAsia" w:hAnsi="Cambria Math"/>
                  </w:rPr>
                  <m:t>Q&lt;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m:oMathPara>
          </w:p>
        </w:tc>
      </w:tr>
    </w:tbl>
    <w:p w:rsidR="00950316" w:rsidRDefault="00950316" w:rsidP="00B01923">
      <w:pPr>
        <w:pStyle w:val="Sansinterligne"/>
        <w:rPr>
          <w:rFonts w:eastAsiaTheme="minorEastAsia"/>
        </w:rPr>
      </w:pPr>
    </w:p>
    <w:p w:rsidR="004A13B9" w:rsidRDefault="00D63C9D" w:rsidP="00B01923">
      <w:pPr>
        <w:pStyle w:val="Sansinterligne"/>
        <w:rPr>
          <w:i/>
          <w:iCs/>
        </w:rPr>
      </w:pPr>
      <w:r>
        <w:rPr>
          <w:i/>
          <w:iCs/>
        </w:rPr>
        <w:t xml:space="preserve">Remarque : attention au signe – dans l’expression qui inverse tout. </w:t>
      </w:r>
    </w:p>
    <w:p w:rsidR="00D63C9D" w:rsidRDefault="00D63C9D" w:rsidP="00B01923">
      <w:pPr>
        <w:pStyle w:val="Sansinterligne"/>
        <w:rPr>
          <w:i/>
          <w:iCs/>
        </w:rPr>
      </w:pPr>
    </w:p>
    <w:p w:rsidR="00D63C9D" w:rsidRDefault="00D63C9D" w:rsidP="00B01923">
      <w:pPr>
        <w:pStyle w:val="Sansinterligne"/>
      </w:pPr>
      <w:r>
        <w:t>La délimitation se fait à quel niveau entre la zone d’existence et celle d’absence de précipité ?</w:t>
      </w:r>
    </w:p>
    <w:p w:rsidR="00D63C9D" w:rsidRDefault="00D63C9D" w:rsidP="00B01923">
      <w:pPr>
        <w:pStyle w:val="Sansinterligne"/>
        <w:rPr>
          <w:rFonts w:eastAsiaTheme="minorEastAsia"/>
        </w:rPr>
      </w:pPr>
      <w:r>
        <w:t xml:space="preserve">La délimitation a lieu pour </w:t>
      </w:r>
      <m:oMath>
        <m:r>
          <w:rPr>
            <w:rFonts w:ascii="Cambria Math" w:hAnsi="Cambria Math"/>
          </w:rPr>
          <m:t>Q=</m:t>
        </m:r>
        <m:d>
          <m:dPr>
            <m:begChr m:val="["/>
            <m:endChr m:val="]"/>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C</m:t>
            </m:r>
            <m:sSubSup>
              <m:sSubSupPr>
                <m:ctrlPr>
                  <w:rPr>
                    <w:rFonts w:ascii="Cambria Math" w:eastAsiaTheme="minorEastAsia" w:hAnsi="Cambria Math"/>
                    <w:i/>
                  </w:rPr>
                </m:ctrlPr>
              </m:sSubSupPr>
              <m:e>
                <m:r>
                  <w:rPr>
                    <w:rFonts w:ascii="Cambria Math" w:hAnsi="Cambria Math"/>
                  </w:rPr>
                  <m:t>O</m:t>
                </m:r>
                <m:ctrlPr>
                  <w:rPr>
                    <w:rFonts w:ascii="Cambria Math" w:hAnsi="Cambria Math"/>
                    <w:i/>
                  </w:rPr>
                </m:ctrlPr>
              </m:e>
              <m:sub>
                <m:r>
                  <w:rPr>
                    <w:rFonts w:ascii="Cambria Math" w:hAnsi="Cambria Math"/>
                  </w:rPr>
                  <m:t>3</m:t>
                </m:r>
                <m:ctrlPr>
                  <w:rPr>
                    <w:rFonts w:ascii="Cambria Math" w:hAnsi="Cambria Math"/>
                    <w:i/>
                  </w:rPr>
                </m:ctrlPr>
              </m:sub>
              <m:sup>
                <m:r>
                  <w:rPr>
                    <w:rFonts w:ascii="Cambria Math" w:eastAsiaTheme="minorEastAsia" w:hAnsi="Cambria Math"/>
                  </w:rPr>
                  <m:t>2-</m:t>
                </m:r>
              </m:sup>
            </m:sSubSup>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-pCa</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-pKs</m:t>
            </m:r>
          </m:sup>
        </m:sSup>
      </m:oMath>
    </w:p>
    <w:p w:rsidR="00D63C9D" w:rsidRDefault="00D63C9D" w:rsidP="00B01923">
      <w:pPr>
        <w:pStyle w:val="Sansinterligne"/>
        <w:rPr>
          <w:rFonts w:eastAsiaTheme="minorEastAsia"/>
        </w:rPr>
      </w:pPr>
    </w:p>
    <w:p w:rsidR="00D63C9D" w:rsidRDefault="00D63C9D" w:rsidP="00B01923">
      <w:pPr>
        <w:pStyle w:val="Sansinterligne"/>
        <w:rPr>
          <w:rFonts w:eastAsiaTheme="minorEastAsia"/>
        </w:rPr>
      </w:pPr>
      <w:r>
        <w:rPr>
          <w:rFonts w:eastAsiaTheme="minorEastAsia"/>
        </w:rPr>
        <w:t xml:space="preserve">Ainsi, la valeur de </w:t>
      </w:r>
      <m:oMath>
        <m:r>
          <w:rPr>
            <w:rFonts w:ascii="Cambria Math" w:eastAsiaTheme="minorEastAsia" w:hAnsi="Cambria Math"/>
          </w:rPr>
          <m:t>pCa</m:t>
        </m:r>
      </m:oMath>
      <w:r>
        <w:rPr>
          <w:rFonts w:eastAsiaTheme="minorEastAsia"/>
        </w:rPr>
        <w:t xml:space="preserve"> à la limite est déterminé par :</w:t>
      </w:r>
    </w:p>
    <w:p w:rsidR="00D63C9D" w:rsidRPr="00616E5D" w:rsidRDefault="00D63C9D" w:rsidP="00B01923">
      <w:pPr>
        <w:pStyle w:val="Sansinterligne"/>
        <w:rPr>
          <w:rFonts w:eastAsiaTheme="minorEastAsia"/>
        </w:rPr>
      </w:pPr>
      <m:oMathPara>
        <m:oMath>
          <m:r>
            <w:rPr>
              <w:rFonts w:ascii="Cambria Math" w:hAnsi="Cambria Math"/>
            </w:rPr>
            <m:t>pCa-</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e>
              </m:d>
              <m:r>
                <w:rPr>
                  <w:rFonts w:ascii="Cambria Math" w:hAnsi="Cambria Math"/>
                </w:rPr>
                <m:t>=pKs</m:t>
              </m:r>
            </m:e>
          </m:func>
        </m:oMath>
      </m:oMathPara>
    </w:p>
    <w:p w:rsidR="00616E5D" w:rsidRDefault="00616E5D" w:rsidP="00B01923">
      <w:pPr>
        <w:pStyle w:val="Sansinterligne"/>
        <w:rPr>
          <w:rFonts w:eastAsiaTheme="minorEastAsia"/>
        </w:rPr>
      </w:pPr>
      <w:r>
        <w:rPr>
          <w:rFonts w:eastAsiaTheme="minorEastAsia"/>
        </w:rPr>
        <w:t xml:space="preserve">Ainsi cette valeur est dépendante de la concentration en ions </w:t>
      </w:r>
      <m:oMath>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 xml:space="preserve"> </m:t>
        </m:r>
      </m:oMath>
      <w:r>
        <w:rPr>
          <w:rFonts w:eastAsiaTheme="minorEastAsia"/>
        </w:rPr>
        <w:t xml:space="preserve">puisque celle-ci fixe la délimitation entre la zone d’existence et la zone d’absence du précipité. </w:t>
      </w:r>
    </w:p>
    <w:p w:rsidR="00616E5D" w:rsidRDefault="00616E5D" w:rsidP="00B01923">
      <w:pPr>
        <w:pStyle w:val="Sansinterligne"/>
        <w:rPr>
          <w:rFonts w:eastAsiaTheme="minorEastAsia"/>
          <w:i/>
          <w:iCs/>
        </w:rPr>
      </w:pPr>
      <w:r>
        <w:rPr>
          <w:rFonts w:eastAsiaTheme="minorEastAsia"/>
          <w:i/>
          <w:iCs/>
        </w:rPr>
        <w:t xml:space="preserve">Remarque : ce n’était pas le cas pour les diagrammes de prédominance dans le cas des acides pour lesquels la frontière était fixée à la valeur du </w:t>
      </w:r>
      <w:proofErr w:type="spellStart"/>
      <w:r>
        <w:rPr>
          <w:rFonts w:eastAsiaTheme="minorEastAsia"/>
          <w:i/>
          <w:iCs/>
        </w:rPr>
        <w:t>pKa</w:t>
      </w:r>
      <w:proofErr w:type="spellEnd"/>
      <w:r>
        <w:rPr>
          <w:rFonts w:eastAsiaTheme="minorEastAsia"/>
          <w:i/>
          <w:iCs/>
        </w:rPr>
        <w:t>.</w:t>
      </w:r>
    </w:p>
    <w:p w:rsidR="00616E5D" w:rsidRDefault="00616E5D" w:rsidP="00B01923">
      <w:pPr>
        <w:pStyle w:val="Sansinterligne"/>
        <w:rPr>
          <w:rFonts w:eastAsiaTheme="minorEastAsia"/>
          <w:i/>
          <w:iCs/>
        </w:rPr>
      </w:pPr>
    </w:p>
    <w:p w:rsidR="00616E5D" w:rsidRPr="00616E5D" w:rsidRDefault="00616E5D" w:rsidP="00616E5D">
      <w:pPr>
        <w:pStyle w:val="Sansinterligne"/>
        <w:pBdr>
          <w:left w:val="thinThickSmallGap" w:sz="24" w:space="4" w:color="00B050"/>
        </w:pBdr>
        <w:rPr>
          <w:rFonts w:eastAsiaTheme="minorEastAsia"/>
          <w:b/>
          <w:bCs/>
          <w:smallCaps/>
        </w:rPr>
      </w:pPr>
      <w:r>
        <w:rPr>
          <w:rFonts w:eastAsiaTheme="minorEastAsia"/>
          <w:b/>
          <w:bCs/>
          <w:smallCaps/>
        </w:rPr>
        <w:t>Transition : La donnée de la constante associée à un équilibre de solubilisation dépend notamment de la concentration en ions et de l’existence ou non d’un équilibre. Comment quantifier la quantité de solide ou de gaz maximale que l’on peut dissoudre dans un solvant ?</w:t>
      </w:r>
    </w:p>
    <w:p w:rsidR="00616E5D" w:rsidRDefault="00616E5D" w:rsidP="00B01923">
      <w:pPr>
        <w:pStyle w:val="Sansinterligne"/>
        <w:rPr>
          <w:rFonts w:eastAsiaTheme="minorEastAsia"/>
          <w:i/>
          <w:iCs/>
        </w:rPr>
      </w:pPr>
    </w:p>
    <w:p w:rsidR="00616E5D" w:rsidRDefault="00616E5D" w:rsidP="00616E5D">
      <w:pPr>
        <w:pStyle w:val="Sansinterligne"/>
        <w:numPr>
          <w:ilvl w:val="0"/>
          <w:numId w:val="38"/>
        </w:numPr>
        <w:rPr>
          <w:b/>
          <w:bCs/>
        </w:rPr>
      </w:pPr>
      <w:r>
        <w:rPr>
          <w:b/>
          <w:bCs/>
        </w:rPr>
        <w:t>Solubilité d’une espèce</w:t>
      </w:r>
    </w:p>
    <w:p w:rsidR="0083287C" w:rsidRDefault="0083287C" w:rsidP="0083287C">
      <w:pPr>
        <w:pStyle w:val="Sansinterligne"/>
        <w:ind w:left="1080"/>
        <w:rPr>
          <w:b/>
          <w:bCs/>
        </w:rPr>
      </w:pPr>
    </w:p>
    <w:p w:rsidR="00616E5D" w:rsidRDefault="0083287C" w:rsidP="00616E5D">
      <w:pPr>
        <w:pStyle w:val="Sansinterligne"/>
      </w:pPr>
      <w:r>
        <w:t xml:space="preserve">Par exemple, on veut quantifier la quantité de carbonate de calcium que l’on peut dissoudre dans un solvant avant d’atteindre l’équilibre. </w:t>
      </w:r>
    </w:p>
    <w:p w:rsidR="0083287C" w:rsidRDefault="0083287C" w:rsidP="00616E5D">
      <w:pPr>
        <w:pStyle w:val="Sansinterligne"/>
      </w:pPr>
    </w:p>
    <w:p w:rsidR="0083287C" w:rsidRDefault="0083287C" w:rsidP="00616E5D">
      <w:pPr>
        <w:pStyle w:val="Sansinterligne"/>
      </w:pPr>
      <w:r>
        <w:t xml:space="preserve">[1] C’est ce que l’on appelle la </w:t>
      </w:r>
      <w:r>
        <w:rPr>
          <w:i/>
          <w:iCs/>
        </w:rPr>
        <w:t>solubilité</w:t>
      </w:r>
      <w:r>
        <w:t> d’un solide ou d’un gaz : c’est la quantité maximale de ce solide (ou de ce gaz) que l’on peut dissoudre dans 1L de solution. Elle peut s’exprimer en g/L ou mol/L.</w:t>
      </w:r>
    </w:p>
    <w:p w:rsidR="0083287C" w:rsidRDefault="0083287C" w:rsidP="00616E5D">
      <w:pPr>
        <w:pStyle w:val="Sansinterligne"/>
      </w:pPr>
    </w:p>
    <w:p w:rsidR="0083287C" w:rsidRDefault="0083287C" w:rsidP="00616E5D">
      <w:pPr>
        <w:pStyle w:val="Sansinterligne"/>
      </w:pPr>
      <w:r>
        <w:t>Lien entre solubilité et produit de solubilité :</w:t>
      </w:r>
    </w:p>
    <w:p w:rsidR="0083287C" w:rsidRDefault="0083287C" w:rsidP="00616E5D">
      <w:pPr>
        <w:pStyle w:val="Sansinterligne"/>
      </w:pPr>
      <w:r>
        <w:t xml:space="preserve">Nous allons faire ce lien par l’étude de l’équilibre de solubilisation de l’iodure de plomb. </w:t>
      </w:r>
    </w:p>
    <w:p w:rsidR="0083287C" w:rsidRDefault="0083287C" w:rsidP="0083287C">
      <w:pPr>
        <w:pStyle w:val="Sansinterligne"/>
        <w:rPr>
          <w:rFonts w:eastAsiaTheme="minorEastAsia"/>
        </w:rPr>
      </w:pPr>
      <w:r>
        <w:t xml:space="preserve">La réaction étudiée est la suivante : </w:t>
      </w:r>
      <m:oMath>
        <m:r>
          <w:rPr>
            <w:rFonts w:ascii="Cambria Math" w:hAnsi="Cambria Math"/>
          </w:rPr>
          <m:t>Pb</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2</m:t>
                </m:r>
              </m:sub>
            </m:sSub>
          </m:e>
          <m:sub>
            <m:r>
              <w:rPr>
                <w:rFonts w:ascii="Cambria Math" w:hAnsi="Cambria Math"/>
              </w:rPr>
              <m:t>(s)</m:t>
            </m:r>
          </m:sub>
        </m:sSub>
        <m:r>
          <w:rPr>
            <w:rFonts w:ascii="Cambria Math" w:hAnsi="Cambria Math"/>
          </w:rPr>
          <m:t>=P</m:t>
        </m:r>
        <m:sSubSup>
          <m:sSubSupPr>
            <m:ctrlPr>
              <w:rPr>
                <w:rFonts w:ascii="Cambria Math" w:hAnsi="Cambria Math"/>
                <w:i/>
              </w:rPr>
            </m:ctrlPr>
          </m:sSubSupPr>
          <m:e>
            <m:r>
              <w:rPr>
                <w:rFonts w:ascii="Cambria Math" w:hAnsi="Cambria Math"/>
              </w:rPr>
              <m:t>b</m:t>
            </m:r>
          </m:e>
          <m:sub>
            <m:r>
              <w:rPr>
                <w:rFonts w:ascii="Cambria Math" w:hAnsi="Cambria Math"/>
              </w:rPr>
              <m:t>(aq)</m:t>
            </m:r>
          </m:sub>
          <m:sup>
            <m:r>
              <w:rPr>
                <w:rFonts w:ascii="Cambria Math" w:hAnsi="Cambria Math"/>
              </w:rPr>
              <m:t xml:space="preserve"> 2+</m:t>
            </m:r>
          </m:sup>
        </m:sSubSup>
        <m:r>
          <w:rPr>
            <w:rFonts w:ascii="Cambria Math" w:eastAsiaTheme="minorEastAsia" w:hAnsi="Cambria Math"/>
          </w:rPr>
          <m:t xml:space="preserve">+2 </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(aq)</m:t>
            </m:r>
          </m:sub>
          <m:sup>
            <m:r>
              <w:rPr>
                <w:rFonts w:ascii="Cambria Math" w:eastAsiaTheme="minorEastAsia" w:hAnsi="Cambria Math"/>
              </w:rPr>
              <m:t>-</m:t>
            </m:r>
          </m:sup>
        </m:sSubSup>
      </m:oMath>
      <w:r>
        <w:rPr>
          <w:rFonts w:eastAsiaTheme="minorEastAsia"/>
        </w:rPr>
        <w:t xml:space="preserve"> .</w:t>
      </w:r>
    </w:p>
    <w:p w:rsidR="0083287C" w:rsidRDefault="0083287C" w:rsidP="0083287C">
      <w:pPr>
        <w:pStyle w:val="Sansinterligne"/>
        <w:rPr>
          <w:rFonts w:eastAsiaTheme="minorEastAsia"/>
        </w:rPr>
      </w:pPr>
    </w:p>
    <w:p w:rsidR="0014306D" w:rsidRDefault="0014306D" w:rsidP="0083287C">
      <w:pPr>
        <w:pStyle w:val="Sansinterligne"/>
        <w:rPr>
          <w:rFonts w:eastAsiaTheme="minorEastAsia"/>
        </w:rPr>
      </w:pPr>
    </w:p>
    <w:p w:rsidR="0014306D" w:rsidRDefault="0014306D" w:rsidP="0083287C">
      <w:pPr>
        <w:pStyle w:val="Sansinterligne"/>
        <w:rPr>
          <w:rFonts w:eastAsiaTheme="minorEastAsia"/>
        </w:rPr>
      </w:pPr>
    </w:p>
    <w:p w:rsidR="0014306D" w:rsidRDefault="0014306D" w:rsidP="0083287C">
      <w:pPr>
        <w:pStyle w:val="Sansinterligne"/>
        <w:rPr>
          <w:rFonts w:eastAsiaTheme="minorEastAsia"/>
        </w:rPr>
      </w:pPr>
    </w:p>
    <w:p w:rsidR="00D85A8F" w:rsidRPr="00042B70" w:rsidRDefault="00D85A8F" w:rsidP="0083287C">
      <w:pPr>
        <w:pStyle w:val="Sansinterligne"/>
        <w:rPr>
          <w:rFonts w:eastAsiaTheme="minorEastAsia"/>
        </w:rPr>
      </w:pPr>
    </w:p>
    <w:p w:rsidR="0083287C" w:rsidRDefault="0083287C" w:rsidP="0083287C">
      <w:pPr>
        <w:pStyle w:val="Sansinterligne"/>
      </w:pPr>
      <w:r>
        <w:lastRenderedPageBreak/>
        <w:t>Dressons un tableau d’avancement :</w:t>
      </w:r>
    </w:p>
    <w:tbl>
      <w:tblPr>
        <w:tblStyle w:val="Grilledutableau"/>
        <w:tblW w:w="0" w:type="auto"/>
        <w:tblLook w:val="04A0" w:firstRow="1" w:lastRow="0" w:firstColumn="1" w:lastColumn="0" w:noHBand="0" w:noVBand="1"/>
      </w:tblPr>
      <w:tblGrid>
        <w:gridCol w:w="1812"/>
        <w:gridCol w:w="1812"/>
        <w:gridCol w:w="1812"/>
        <w:gridCol w:w="1813"/>
        <w:gridCol w:w="1813"/>
      </w:tblGrid>
      <w:tr w:rsidR="0083287C" w:rsidTr="00AB6A4C">
        <w:tc>
          <w:tcPr>
            <w:tcW w:w="1812" w:type="dxa"/>
          </w:tcPr>
          <w:p w:rsidR="0083287C" w:rsidRDefault="0083287C" w:rsidP="00AB6A4C">
            <w:pPr>
              <w:pStyle w:val="Sansinterligne"/>
              <w:jc w:val="center"/>
            </w:pPr>
          </w:p>
        </w:tc>
        <w:tc>
          <w:tcPr>
            <w:tcW w:w="1812" w:type="dxa"/>
          </w:tcPr>
          <w:p w:rsidR="0083287C" w:rsidRDefault="0083287C" w:rsidP="00AB6A4C">
            <w:pPr>
              <w:pStyle w:val="Sansinterligne"/>
              <w:jc w:val="center"/>
            </w:pPr>
            <m:oMathPara>
              <m:oMath>
                <m:r>
                  <w:rPr>
                    <w:rFonts w:ascii="Cambria Math" w:hAnsi="Cambria Math"/>
                  </w:rPr>
                  <m:t>Pb</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2</m:t>
                        </m:r>
                      </m:sub>
                    </m:sSub>
                  </m:e>
                  <m:sub>
                    <m:d>
                      <m:dPr>
                        <m:ctrlPr>
                          <w:rPr>
                            <w:rFonts w:ascii="Cambria Math" w:hAnsi="Cambria Math"/>
                            <w:i/>
                          </w:rPr>
                        </m:ctrlPr>
                      </m:dPr>
                      <m:e>
                        <m:r>
                          <w:rPr>
                            <w:rFonts w:ascii="Cambria Math" w:hAnsi="Cambria Math"/>
                          </w:rPr>
                          <m:t>s</m:t>
                        </m:r>
                      </m:e>
                    </m:d>
                  </m:sub>
                </m:sSub>
              </m:oMath>
            </m:oMathPara>
          </w:p>
        </w:tc>
        <w:tc>
          <w:tcPr>
            <w:tcW w:w="1812" w:type="dxa"/>
          </w:tcPr>
          <w:p w:rsidR="0083287C" w:rsidRDefault="0083287C" w:rsidP="00AB6A4C">
            <w:pPr>
              <w:pStyle w:val="Sansinterligne"/>
              <w:jc w:val="center"/>
            </w:pPr>
            <m:oMathPara>
              <m:oMath>
                <m:r>
                  <w:rPr>
                    <w:rFonts w:ascii="Cambria Math" w:hAnsi="Cambria Math"/>
                  </w:rPr>
                  <m:t>=</m:t>
                </m:r>
              </m:oMath>
            </m:oMathPara>
          </w:p>
        </w:tc>
        <w:tc>
          <w:tcPr>
            <w:tcW w:w="1813" w:type="dxa"/>
          </w:tcPr>
          <w:p w:rsidR="0083287C" w:rsidRDefault="00D85A8F" w:rsidP="00AB6A4C">
            <w:pPr>
              <w:pStyle w:val="Sansinterligne"/>
              <w:jc w:val="center"/>
            </w:pPr>
            <m:oMathPara>
              <m:oMath>
                <m:sSubSup>
                  <m:sSubSupPr>
                    <m:ctrlPr>
                      <w:rPr>
                        <w:rFonts w:ascii="Cambria Math" w:hAnsi="Cambria Math"/>
                        <w:i/>
                      </w:rPr>
                    </m:ctrlPr>
                  </m:sSubSupPr>
                  <m:e>
                    <m:r>
                      <w:rPr>
                        <w:rFonts w:ascii="Cambria Math" w:hAnsi="Cambria Math"/>
                      </w:rPr>
                      <m:t>Pb</m:t>
                    </m:r>
                  </m:e>
                  <m:sub>
                    <m:r>
                      <w:rPr>
                        <w:rFonts w:ascii="Cambria Math" w:hAnsi="Cambria Math"/>
                      </w:rPr>
                      <m:t>(aq)</m:t>
                    </m:r>
                  </m:sub>
                  <m:sup>
                    <m:r>
                      <w:rPr>
                        <w:rFonts w:ascii="Cambria Math" w:hAnsi="Cambria Math"/>
                      </w:rPr>
                      <m:t>2+</m:t>
                    </m:r>
                  </m:sup>
                </m:sSubSup>
              </m:oMath>
            </m:oMathPara>
          </w:p>
        </w:tc>
        <w:tc>
          <w:tcPr>
            <w:tcW w:w="1813" w:type="dxa"/>
          </w:tcPr>
          <w:p w:rsidR="0083287C" w:rsidRDefault="0083287C" w:rsidP="00AB6A4C">
            <w:pPr>
              <w:pStyle w:val="Sansinterligne"/>
              <w:jc w:val="center"/>
            </w:pPr>
            <m:oMathPara>
              <m:oMath>
                <m:r>
                  <w:rPr>
                    <w:rFonts w:ascii="Cambria Math" w:hAnsi="Cambria Math"/>
                  </w:rPr>
                  <m:t xml:space="preserve">2 </m:t>
                </m:r>
                <m:sSubSup>
                  <m:sSubSupPr>
                    <m:ctrlPr>
                      <w:rPr>
                        <w:rFonts w:ascii="Cambria Math" w:hAnsi="Cambria Math"/>
                        <w:i/>
                      </w:rPr>
                    </m:ctrlPr>
                  </m:sSubSupPr>
                  <m:e>
                    <m:r>
                      <w:rPr>
                        <w:rFonts w:ascii="Cambria Math" w:hAnsi="Cambria Math"/>
                      </w:rPr>
                      <m:t>I</m:t>
                    </m:r>
                  </m:e>
                  <m:sub>
                    <m:r>
                      <w:rPr>
                        <w:rFonts w:ascii="Cambria Math" w:hAnsi="Cambria Math"/>
                      </w:rPr>
                      <m:t>(aq)</m:t>
                    </m:r>
                  </m:sub>
                  <m:sup>
                    <m:r>
                      <w:rPr>
                        <w:rFonts w:ascii="Cambria Math" w:hAnsi="Cambria Math"/>
                      </w:rPr>
                      <m:t>-</m:t>
                    </m:r>
                  </m:sup>
                </m:sSubSup>
              </m:oMath>
            </m:oMathPara>
          </w:p>
        </w:tc>
      </w:tr>
      <w:tr w:rsidR="0083287C" w:rsidTr="00AB6A4C">
        <w:tc>
          <w:tcPr>
            <w:tcW w:w="1812" w:type="dxa"/>
          </w:tcPr>
          <w:p w:rsidR="0083287C" w:rsidRDefault="0083287C" w:rsidP="00AB6A4C">
            <w:pPr>
              <w:pStyle w:val="Sansinterligne"/>
              <w:jc w:val="center"/>
            </w:pPr>
            <w:r>
              <w:t>Etat initial</w:t>
            </w:r>
          </w:p>
        </w:tc>
        <w:tc>
          <w:tcPr>
            <w:tcW w:w="1812" w:type="dxa"/>
          </w:tcPr>
          <w:p w:rsidR="0083287C" w:rsidRDefault="0083287C" w:rsidP="00AB6A4C">
            <w:pPr>
              <w:pStyle w:val="Sansinterligne"/>
              <w:jc w:val="center"/>
            </w:pPr>
            <w:r>
              <w:t>Excès</w:t>
            </w:r>
          </w:p>
        </w:tc>
        <w:tc>
          <w:tcPr>
            <w:tcW w:w="1812" w:type="dxa"/>
          </w:tcPr>
          <w:p w:rsidR="0083287C" w:rsidRDefault="0083287C" w:rsidP="00AB6A4C">
            <w:pPr>
              <w:pStyle w:val="Sansinterligne"/>
              <w:jc w:val="center"/>
            </w:pPr>
          </w:p>
        </w:tc>
        <w:tc>
          <w:tcPr>
            <w:tcW w:w="1813" w:type="dxa"/>
          </w:tcPr>
          <w:p w:rsidR="0083287C" w:rsidRDefault="0083287C" w:rsidP="00AB6A4C">
            <w:pPr>
              <w:pStyle w:val="Sansinterligne"/>
              <w:jc w:val="center"/>
            </w:pPr>
            <w:r>
              <w:t>0</w:t>
            </w:r>
          </w:p>
        </w:tc>
        <w:tc>
          <w:tcPr>
            <w:tcW w:w="1813" w:type="dxa"/>
          </w:tcPr>
          <w:p w:rsidR="0083287C" w:rsidRDefault="0083287C" w:rsidP="00AB6A4C">
            <w:pPr>
              <w:pStyle w:val="Sansinterligne"/>
              <w:jc w:val="center"/>
            </w:pPr>
            <w:r>
              <w:t>0</w:t>
            </w:r>
          </w:p>
        </w:tc>
      </w:tr>
      <w:tr w:rsidR="0083287C" w:rsidTr="00AB6A4C">
        <w:trPr>
          <w:trHeight w:val="70"/>
        </w:trPr>
        <w:tc>
          <w:tcPr>
            <w:tcW w:w="1812" w:type="dxa"/>
          </w:tcPr>
          <w:p w:rsidR="0083287C" w:rsidRDefault="0083287C" w:rsidP="00AB6A4C">
            <w:pPr>
              <w:pStyle w:val="Sansinterligne"/>
              <w:jc w:val="center"/>
            </w:pPr>
            <w:r>
              <w:t>Etat final (équilibre)</w:t>
            </w:r>
          </w:p>
        </w:tc>
        <w:tc>
          <w:tcPr>
            <w:tcW w:w="1812" w:type="dxa"/>
          </w:tcPr>
          <w:p w:rsidR="0083287C" w:rsidRDefault="0083287C" w:rsidP="00AB6A4C">
            <w:pPr>
              <w:pStyle w:val="Sansinterligne"/>
              <w:jc w:val="center"/>
            </w:pPr>
            <w:r>
              <w:t>Excès</w:t>
            </w:r>
          </w:p>
        </w:tc>
        <w:tc>
          <w:tcPr>
            <w:tcW w:w="1812" w:type="dxa"/>
          </w:tcPr>
          <w:p w:rsidR="0083287C" w:rsidRDefault="0083287C" w:rsidP="00AB6A4C">
            <w:pPr>
              <w:pStyle w:val="Sansinterligne"/>
              <w:jc w:val="center"/>
            </w:pPr>
          </w:p>
        </w:tc>
        <w:tc>
          <w:tcPr>
            <w:tcW w:w="1813" w:type="dxa"/>
          </w:tcPr>
          <w:p w:rsidR="0083287C" w:rsidRDefault="0083287C" w:rsidP="00AB6A4C">
            <w:pPr>
              <w:pStyle w:val="Sansinterligne"/>
              <w:jc w:val="center"/>
            </w:pPr>
            <w:r>
              <w:t>s</w:t>
            </w:r>
          </w:p>
        </w:tc>
        <w:tc>
          <w:tcPr>
            <w:tcW w:w="1813" w:type="dxa"/>
          </w:tcPr>
          <w:p w:rsidR="0083287C" w:rsidRDefault="0083287C" w:rsidP="00AB6A4C">
            <w:pPr>
              <w:pStyle w:val="Sansinterligne"/>
              <w:jc w:val="center"/>
            </w:pPr>
            <w:r>
              <w:t>2s</w:t>
            </w:r>
          </w:p>
        </w:tc>
      </w:tr>
    </w:tbl>
    <w:p w:rsidR="0083287C" w:rsidRDefault="0083287C" w:rsidP="0083287C">
      <w:pPr>
        <w:pStyle w:val="Sansinterligne"/>
      </w:pPr>
    </w:p>
    <w:p w:rsidR="0083287C" w:rsidRDefault="0083287C" w:rsidP="0083287C">
      <w:pPr>
        <w:pStyle w:val="Sansinterligne"/>
        <w:rPr>
          <w:rFonts w:eastAsiaTheme="minorEastAsia"/>
        </w:rPr>
      </w:pPr>
      <w:r>
        <w:t xml:space="preserve">Ainsi, la constante d’équilibre associée est :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e>
                </m:d>
              </m:e>
              <m:sub>
                <m:r>
                  <w:rPr>
                    <w:rFonts w:ascii="Cambria Math" w:hAnsi="Cambria Math"/>
                  </w:rPr>
                  <m:t>eq</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e>
                </m:d>
              </m:e>
              <m:sub>
                <m:r>
                  <w:rPr>
                    <w:rFonts w:ascii="Cambria Math" w:hAnsi="Cambria Math"/>
                  </w:rPr>
                  <m:t>eq</m:t>
                </m:r>
              </m:sub>
            </m:sSub>
          </m:num>
          <m:den>
            <m:r>
              <w:rPr>
                <w:rFonts w:ascii="Cambria Math" w:hAnsi="Cambria Math"/>
              </w:rPr>
              <m:t>1</m:t>
            </m:r>
          </m:den>
        </m:f>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2s</m:t>
                </m:r>
              </m:e>
            </m:d>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oMath>
    </w:p>
    <w:p w:rsidR="0083287C" w:rsidRDefault="0083287C" w:rsidP="0083287C">
      <w:pPr>
        <w:pStyle w:val="Sansinterligne"/>
        <w:rPr>
          <w:rFonts w:eastAsiaTheme="minorEastAsia"/>
        </w:rPr>
      </w:pPr>
    </w:p>
    <w:p w:rsidR="0083287C" w:rsidRDefault="0083287C" w:rsidP="0083287C">
      <w:pPr>
        <w:pStyle w:val="Sansinterligne"/>
        <w:rPr>
          <w:rFonts w:eastAsiaTheme="minorEastAsia"/>
        </w:rPr>
      </w:pPr>
      <w:r>
        <w:rPr>
          <w:rFonts w:eastAsiaTheme="minorEastAsia"/>
        </w:rPr>
        <w:t>Comment déterminer les concentrations à l’équilibre ?</w:t>
      </w:r>
    </w:p>
    <w:p w:rsidR="0083287C" w:rsidRDefault="0083287C" w:rsidP="0083287C">
      <w:pPr>
        <w:pStyle w:val="Sansinterligne"/>
        <w:rPr>
          <w:rFonts w:eastAsiaTheme="minorEastAsia"/>
        </w:rPr>
      </w:pPr>
      <w:r>
        <w:rPr>
          <w:rFonts w:eastAsiaTheme="minorEastAsia"/>
        </w:rPr>
        <w:t>Pour ce faire, nous allons utiliser la loi de Kohlrausch qui donne à l’équilibre :</w:t>
      </w:r>
    </w:p>
    <w:p w:rsidR="0083287C" w:rsidRPr="004822B2" w:rsidRDefault="0083287C" w:rsidP="0083287C">
      <w:pPr>
        <w:pStyle w:val="Sansinterligne"/>
        <w:rPr>
          <w:rFonts w:eastAsiaTheme="minorEastAsia"/>
        </w:rPr>
      </w:pPr>
      <m:oMathPara>
        <m:oMath>
          <m:r>
            <w:rPr>
              <w:rFonts w:ascii="Cambria Math" w:hAnsi="Cambria Math"/>
            </w:rPr>
            <m:t xml:space="preserve">σ(T)= </m:t>
          </m:r>
          <m:sSubSup>
            <m:sSubSupPr>
              <m:ctrlPr>
                <w:rPr>
                  <w:rFonts w:ascii="Cambria Math" w:hAnsi="Cambria Math"/>
                  <w:i/>
                </w:rPr>
              </m:ctrlPr>
            </m:sSubSupPr>
            <m:e>
              <m:r>
                <w:rPr>
                  <w:rFonts w:ascii="Cambria Math" w:hAnsi="Cambria Math"/>
                </w:rPr>
                <m:t>λ</m:t>
              </m:r>
            </m:e>
            <m:sub>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ub>
            <m:sup>
              <m:r>
                <w:rPr>
                  <w:rFonts w:ascii="Cambria Math" w:hAnsi="Cambria Math"/>
                </w:rPr>
                <m:t>°</m:t>
              </m:r>
            </m:sup>
          </m:sSubSup>
          <m:r>
            <w:rPr>
              <w:rFonts w:ascii="Cambria Math" w:hAnsi="Cambria Math"/>
            </w:rPr>
            <m:t xml:space="preserve">s(T)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 xml:space="preserve">×2s(T)=2s(T)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λ</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ub>
                <m:sup>
                  <m:r>
                    <w:rPr>
                      <w:rFonts w:ascii="Cambria Math" w:eastAsiaTheme="minorEastAsia" w:hAnsi="Cambria Math"/>
                    </w:rPr>
                    <m:t>°</m:t>
                  </m:r>
                </m:sup>
              </m:sSubSup>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λ</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(T)</m:t>
              </m:r>
            </m:e>
          </m:d>
        </m:oMath>
      </m:oMathPara>
    </w:p>
    <w:p w:rsidR="0083287C" w:rsidRDefault="0083287C" w:rsidP="0083287C">
      <w:pPr>
        <w:pStyle w:val="Sansinterligne"/>
        <w:rPr>
          <w:rFonts w:eastAsiaTheme="minorEastAsia"/>
        </w:rPr>
      </w:pPr>
    </w:p>
    <w:p w:rsidR="0083287C" w:rsidRDefault="0083287C" w:rsidP="0083287C">
      <w:pPr>
        <w:pStyle w:val="Sansinterligne"/>
        <w:rPr>
          <w:rFonts w:eastAsiaTheme="minorEastAsia"/>
        </w:rPr>
      </w:pPr>
      <w:r>
        <w:rPr>
          <w:rFonts w:eastAsiaTheme="minorEastAsia"/>
        </w:rPr>
        <w:t xml:space="preserve">Ainsi, la mesure de la conductivité une fois l’équilibre atteint nous permet de remonter à la valeur de la solubilité et donc à la constante d’équilibre : </w:t>
      </w:r>
    </w:p>
    <w:p w:rsidR="0083287C" w:rsidRDefault="0083287C" w:rsidP="0083287C">
      <w:pPr>
        <w:pStyle w:val="Sansinterligne"/>
        <w:rPr>
          <w:rFonts w:eastAsiaTheme="minorEastAsia"/>
          <w:color w:val="7030A0"/>
        </w:rPr>
      </w:pPr>
      <w:r>
        <w:rPr>
          <w:rFonts w:eastAsiaTheme="minorEastAsia"/>
          <w:color w:val="7030A0"/>
        </w:rPr>
        <w:t>(</w:t>
      </w:r>
      <w:r w:rsidR="007C157B">
        <w:rPr>
          <w:rFonts w:eastAsiaTheme="minorEastAsia"/>
          <w:color w:val="7030A0"/>
        </w:rPr>
        <w:t>Excel</w:t>
      </w:r>
      <w:r>
        <w:rPr>
          <w:rFonts w:eastAsiaTheme="minorEastAsia"/>
          <w:color w:val="7030A0"/>
        </w:rPr>
        <w:t xml:space="preserve">) : le Ks est ajusté pour que les unités soient bonnes (c° et les conductivités ioniques molaires standard) </w:t>
      </w:r>
    </w:p>
    <w:p w:rsidR="0083287C" w:rsidRPr="00AB6A4C" w:rsidRDefault="00AB6A4C" w:rsidP="0083287C">
      <w:pPr>
        <w:pStyle w:val="Sansinterligne"/>
        <w:rPr>
          <w:rFonts w:eastAsiaTheme="minorEastAsia"/>
          <w:i/>
          <w:iCs/>
        </w:rPr>
      </w:pPr>
      <w:r>
        <w:rPr>
          <w:rFonts w:eastAsiaTheme="minorEastAsia"/>
          <w:i/>
          <w:iCs/>
        </w:rPr>
        <w:t>Remarque : la constante d’équilibre Ks n’a pas d’unité alors que s a l’unité d’une concentration molaire ou massique. Dans l’expression suivante, il manque les concentrations standards qui ramènent l’ordre dans l’homogénéité de l’expression.</w:t>
      </w:r>
    </w:p>
    <w:p w:rsidR="0083287C" w:rsidRPr="004822B2" w:rsidRDefault="00D85A8F" w:rsidP="0083287C">
      <w:pPr>
        <w:pStyle w:val="Sansinterligne"/>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 xml:space="preserve">=4×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σ(T)</m:t>
                      </m:r>
                    </m:num>
                    <m:den>
                      <m:r>
                        <w:rPr>
                          <w:rFonts w:ascii="Cambria Math" w:eastAsiaTheme="minorEastAsia" w:hAnsi="Cambria Math"/>
                        </w:rPr>
                        <m:t>2×</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λ</m:t>
                              </m: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ub>
                            <m:sup>
                              <m:r>
                                <w:rPr>
                                  <w:rFonts w:ascii="Cambria Math" w:eastAsiaTheme="minorEastAsia" w:hAnsi="Cambria Math"/>
                                </w:rPr>
                                <m:t>°</m:t>
                              </m:r>
                            </m:sup>
                          </m:sSubSup>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λ</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(T)</m:t>
                          </m:r>
                        </m:e>
                      </m:d>
                    </m:den>
                  </m:f>
                </m:e>
              </m:d>
            </m:e>
            <m:sup>
              <m:r>
                <w:rPr>
                  <w:rFonts w:ascii="Cambria Math" w:eastAsiaTheme="minorEastAsia" w:hAnsi="Cambria Math"/>
                </w:rPr>
                <m:t>3</m:t>
              </m:r>
            </m:sup>
          </m:sSup>
          <m:r>
            <w:rPr>
              <w:rFonts w:ascii="Cambria Math" w:eastAsiaTheme="minorEastAsia" w:hAnsi="Cambria Math"/>
            </w:rPr>
            <m:t xml:space="preserve"> </m:t>
          </m:r>
        </m:oMath>
      </m:oMathPara>
    </w:p>
    <w:p w:rsidR="0083287C" w:rsidRDefault="0083287C" w:rsidP="0083287C">
      <w:pPr>
        <w:pStyle w:val="Sansinterligne"/>
        <w:rPr>
          <w:rFonts w:eastAsiaTheme="minorEastAsia"/>
        </w:rPr>
      </w:pPr>
    </w:p>
    <w:p w:rsidR="007C157B" w:rsidRDefault="007C157B" w:rsidP="0083287C">
      <w:pPr>
        <w:pStyle w:val="Sansinterligne"/>
        <w:pBdr>
          <w:left w:val="thinThickSmallGap" w:sz="24" w:space="4" w:color="FFC000"/>
        </w:pBdr>
        <w:rPr>
          <w:rFonts w:eastAsiaTheme="minorEastAsia"/>
        </w:rPr>
      </w:pPr>
      <w:r>
        <w:rPr>
          <w:rFonts w:eastAsiaTheme="minorEastAsia"/>
        </w:rPr>
        <w:t>Pour cette première manip : remonter uniquement au produit de solubilité à une unique température. Mesure de la conductivité face au jury.</w:t>
      </w:r>
      <w:r w:rsidR="008E3D90">
        <w:rPr>
          <w:rFonts w:eastAsiaTheme="minorEastAsia"/>
        </w:rPr>
        <w:t xml:space="preserve"> Plusieurs mesures peuvent être faites pour estimer une incertitude sur la solubilité (attention à placer un thermomètre pour vérifier que la température est constante.</w:t>
      </w:r>
    </w:p>
    <w:p w:rsidR="007C157B" w:rsidRDefault="007C157B" w:rsidP="0083287C">
      <w:pPr>
        <w:pStyle w:val="Sansinterligne"/>
        <w:pBdr>
          <w:left w:val="thinThickSmallGap" w:sz="24" w:space="4" w:color="FFC000"/>
        </w:pBdr>
        <w:rPr>
          <w:rFonts w:eastAsiaTheme="minorEastAsia"/>
        </w:rPr>
      </w:pPr>
    </w:p>
    <w:p w:rsidR="0083287C" w:rsidRDefault="0083287C" w:rsidP="0083287C">
      <w:pPr>
        <w:pStyle w:val="Sansinterligne"/>
        <w:pBdr>
          <w:left w:val="thinThickSmallGap" w:sz="24" w:space="4" w:color="FFC000"/>
        </w:pBdr>
        <w:rPr>
          <w:rFonts w:eastAsiaTheme="minorEastAsia"/>
        </w:rPr>
      </w:pPr>
      <w:r>
        <w:rPr>
          <w:rFonts w:eastAsiaTheme="minorEastAsia"/>
        </w:rPr>
        <w:t xml:space="preserve">On peut donc chercher à déterminer la différence 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(T)</m:t>
        </m:r>
      </m:oMath>
      <w:r>
        <w:rPr>
          <w:rFonts w:eastAsiaTheme="minorEastAsia"/>
        </w:rPr>
        <w:t xml:space="preserve"> dans un bain de glace et à température ambiante.</w:t>
      </w:r>
    </w:p>
    <w:p w:rsidR="0083287C" w:rsidRDefault="0083287C" w:rsidP="0083287C">
      <w:pPr>
        <w:pStyle w:val="Sansinterligne"/>
        <w:pBdr>
          <w:left w:val="thinThickSmallGap" w:sz="24" w:space="4" w:color="FFC000"/>
        </w:pBdr>
        <w:rPr>
          <w:rFonts w:eastAsiaTheme="minorEastAsia"/>
        </w:rPr>
      </w:pPr>
      <w:r>
        <w:rPr>
          <w:rFonts w:eastAsiaTheme="minorEastAsia"/>
        </w:rPr>
        <w:tab/>
        <w:t>En préparation, il faut étalonner le conductimètre</w:t>
      </w:r>
    </w:p>
    <w:p w:rsidR="0083287C" w:rsidRDefault="0083287C" w:rsidP="0083287C">
      <w:pPr>
        <w:pStyle w:val="Sansinterligne"/>
        <w:pBdr>
          <w:left w:val="thinThickSmallGap" w:sz="24" w:space="4" w:color="FFC000"/>
        </w:pBdr>
        <w:rPr>
          <w:rFonts w:eastAsiaTheme="minorEastAsia"/>
        </w:rPr>
      </w:pPr>
      <w:r>
        <w:rPr>
          <w:rFonts w:eastAsiaTheme="minorEastAsia"/>
        </w:rPr>
        <w:tab/>
        <w:t>On mesure la conductivité de la solution pour différente température dans des béchers thermostatés</w:t>
      </w:r>
    </w:p>
    <w:p w:rsidR="0083287C" w:rsidRPr="002D7777" w:rsidRDefault="0083287C" w:rsidP="0083287C">
      <w:pPr>
        <w:pStyle w:val="Sansinterligne"/>
        <w:pBdr>
          <w:left w:val="thinThickSmallGap" w:sz="24" w:space="4" w:color="FFC000"/>
        </w:pBdr>
        <w:rPr>
          <w:rFonts w:eastAsiaTheme="minorEastAsia"/>
          <w:i/>
          <w:iCs/>
          <w:color w:val="FFC000"/>
        </w:rPr>
      </w:pPr>
      <w:r>
        <w:rPr>
          <w:rFonts w:eastAsiaTheme="minorEastAsia"/>
          <w:i/>
          <w:iCs/>
          <w:color w:val="FFC000"/>
        </w:rPr>
        <w:t xml:space="preserve">Essayer de montrer pour différente température la relation de </w:t>
      </w:r>
      <w:proofErr w:type="spellStart"/>
      <w:r>
        <w:rPr>
          <w:rFonts w:eastAsiaTheme="minorEastAsia"/>
          <w:i/>
          <w:iCs/>
          <w:color w:val="FFC000"/>
        </w:rPr>
        <w:t>van’t</w:t>
      </w:r>
      <w:proofErr w:type="spellEnd"/>
      <w:r>
        <w:rPr>
          <w:rFonts w:eastAsiaTheme="minorEastAsia"/>
          <w:i/>
          <w:iCs/>
          <w:color w:val="FFC000"/>
        </w:rPr>
        <w:t xml:space="preserve"> Hoff.</w:t>
      </w:r>
    </w:p>
    <w:p w:rsidR="0083287C" w:rsidRDefault="0083287C" w:rsidP="00616E5D">
      <w:pPr>
        <w:pStyle w:val="Sansinterligne"/>
      </w:pPr>
    </w:p>
    <w:p w:rsidR="00EA692A" w:rsidRDefault="007C157B" w:rsidP="00616E5D">
      <w:pPr>
        <w:pStyle w:val="Sansinterligne"/>
      </w:pPr>
      <w:r>
        <w:t>Comparer à la solubilité tabulée</w:t>
      </w:r>
      <w:r w:rsidR="00EA692A">
        <w:t xml:space="preserve"> de la solubilité à la température considérée (environ 0,</w:t>
      </w:r>
      <w:r w:rsidR="007E129D">
        <w:t>69</w:t>
      </w:r>
      <w:r w:rsidR="00EA692A">
        <w:t xml:space="preserve"> g/</w:t>
      </w:r>
      <w:r w:rsidR="007E129D">
        <w:t xml:space="preserve">L à 20°C). </w:t>
      </w:r>
    </w:p>
    <w:p w:rsidR="008E3D90" w:rsidRDefault="008E3D90" w:rsidP="00616E5D">
      <w:pPr>
        <w:pStyle w:val="Sansinterligne"/>
      </w:pPr>
    </w:p>
    <w:p w:rsidR="008E3D90" w:rsidRPr="008E3D90" w:rsidRDefault="008E3D90" w:rsidP="008E3D90">
      <w:pPr>
        <w:pStyle w:val="Sansinterligne"/>
        <w:pBdr>
          <w:left w:val="thinThickSmallGap" w:sz="24" w:space="4" w:color="00B050"/>
        </w:pBdr>
        <w:rPr>
          <w:b/>
          <w:bCs/>
          <w:smallCaps/>
        </w:rPr>
      </w:pPr>
      <w:r>
        <w:rPr>
          <w:b/>
          <w:bCs/>
          <w:smallCaps/>
        </w:rPr>
        <w:t>Transition : Nous avons vu comment caractériser l’équilibre de solubilisation entre une espèce solide ou gazeuse et ses ions en solution. Cependant, nous ne savons pas encore quels facteurs influent sur cet équilibre. C’est ce que nous allons voir dans la prochaine partie.</w:t>
      </w:r>
    </w:p>
    <w:p w:rsidR="00EA692A" w:rsidRDefault="00EA692A" w:rsidP="00616E5D">
      <w:pPr>
        <w:pStyle w:val="Sansinterligne"/>
      </w:pPr>
    </w:p>
    <w:p w:rsidR="008E3D90" w:rsidRDefault="008E3D90" w:rsidP="008E3D90">
      <w:pPr>
        <w:pStyle w:val="Sansinterligne"/>
        <w:numPr>
          <w:ilvl w:val="0"/>
          <w:numId w:val="37"/>
        </w:numPr>
        <w:rPr>
          <w:b/>
          <w:bCs/>
          <w:u w:val="single"/>
        </w:rPr>
      </w:pPr>
      <w:r>
        <w:rPr>
          <w:b/>
          <w:bCs/>
          <w:u w:val="single"/>
        </w:rPr>
        <w:t>Facteurs d’influence</w:t>
      </w:r>
    </w:p>
    <w:p w:rsidR="008E3D90" w:rsidRDefault="008E3D90" w:rsidP="008E3D90">
      <w:pPr>
        <w:pStyle w:val="Sansinterligne"/>
        <w:numPr>
          <w:ilvl w:val="0"/>
          <w:numId w:val="39"/>
        </w:numPr>
        <w:rPr>
          <w:b/>
          <w:bCs/>
        </w:rPr>
      </w:pPr>
      <w:r>
        <w:rPr>
          <w:b/>
          <w:bCs/>
        </w:rPr>
        <w:t>La température</w:t>
      </w:r>
    </w:p>
    <w:p w:rsidR="008E3D90" w:rsidRDefault="008E3D90" w:rsidP="008E3D90">
      <w:pPr>
        <w:pStyle w:val="Sansinterligne"/>
        <w:rPr>
          <w:b/>
          <w:bCs/>
        </w:rPr>
      </w:pPr>
    </w:p>
    <w:p w:rsidR="008E3D90" w:rsidRDefault="008E3D90" w:rsidP="008E3D90">
      <w:pPr>
        <w:pStyle w:val="Sansinterligne"/>
        <w:pBdr>
          <w:left w:val="thinThickSmallGap" w:sz="24" w:space="4" w:color="FFC000"/>
        </w:pBdr>
        <w:rPr>
          <w:u w:val="single"/>
        </w:rPr>
      </w:pPr>
      <w:r>
        <w:rPr>
          <w:u w:val="single"/>
        </w:rPr>
        <w:t>Expérience de la pluie d’or</w:t>
      </w:r>
    </w:p>
    <w:p w:rsidR="008E3D90" w:rsidRDefault="008E3D90" w:rsidP="008E3D90">
      <w:pPr>
        <w:pStyle w:val="Sansinterligne"/>
        <w:pBdr>
          <w:left w:val="thinThickSmallGap" w:sz="24" w:space="4" w:color="FFC000"/>
        </w:pBdr>
      </w:pPr>
      <w:r>
        <w:tab/>
        <w:t>Montrer cette expérience qualitative</w:t>
      </w:r>
    </w:p>
    <w:p w:rsidR="008E3D90" w:rsidRDefault="008E3D90" w:rsidP="008E3D90">
      <w:pPr>
        <w:pStyle w:val="Sansinterligne"/>
        <w:pBdr>
          <w:left w:val="thinThickSmallGap" w:sz="24" w:space="4" w:color="FFC000"/>
        </w:pBdr>
      </w:pPr>
      <w:r>
        <w:tab/>
        <w:t xml:space="preserve">Placer l’extrémité du tube à essai vers le fond de la hotte. </w:t>
      </w:r>
    </w:p>
    <w:p w:rsidR="00D85A8F" w:rsidRPr="008E3D90" w:rsidRDefault="00D85A8F" w:rsidP="00D85A8F">
      <w:pPr>
        <w:pStyle w:val="Sansinterligne"/>
        <w:pBdr>
          <w:left w:val="thinThickSmallGap" w:sz="24" w:space="4" w:color="FFC000"/>
        </w:pBdr>
        <w:ind w:firstLine="708"/>
      </w:pPr>
      <w:hyperlink r:id="rId11" w:history="1">
        <w:r w:rsidRPr="0041704A">
          <w:rPr>
            <w:rStyle w:val="Lienhypertexte"/>
          </w:rPr>
          <w:t>https://www.youtube.com/watch?v=AO67MnZaAvQ</w:t>
        </w:r>
      </w:hyperlink>
      <w:r w:rsidRPr="00F72B9E">
        <w:t> : ajuste</w:t>
      </w:r>
      <w:r>
        <w:t xml:space="preserve">r le moment à montrer </w:t>
      </w:r>
    </w:p>
    <w:p w:rsidR="00EA692A" w:rsidRDefault="00EA692A" w:rsidP="00616E5D">
      <w:pPr>
        <w:pStyle w:val="Sansinterligne"/>
      </w:pPr>
    </w:p>
    <w:p w:rsidR="008E3D90" w:rsidRDefault="008E3D90" w:rsidP="00616E5D">
      <w:pPr>
        <w:pStyle w:val="Sansinterligne"/>
      </w:pPr>
      <w:r>
        <w:t>Avant le chauffage, on voit un précipité jaune assez opaque</w:t>
      </w:r>
    </w:p>
    <w:p w:rsidR="008E3D90" w:rsidRDefault="008E3D90" w:rsidP="00616E5D">
      <w:pPr>
        <w:pStyle w:val="Sansinterligne"/>
      </w:pPr>
      <w:r>
        <w:t>Puis au fur et à mesure du chauffage, on observe une dissolution de plus en plus importante du solide</w:t>
      </w:r>
    </w:p>
    <w:p w:rsidR="008E3D90" w:rsidRDefault="008E3D90" w:rsidP="00616E5D">
      <w:pPr>
        <w:pStyle w:val="Sansinterligne"/>
      </w:pPr>
      <w:r>
        <w:t>Enfin, lors du refroidissement, le solide se reforme mais sous une autre forme</w:t>
      </w:r>
      <w:r w:rsidR="007E129D">
        <w:t xml:space="preserve"> (recristallisation)</w:t>
      </w:r>
    </w:p>
    <w:p w:rsidR="007E129D" w:rsidRDefault="007E129D" w:rsidP="00616E5D">
      <w:pPr>
        <w:pStyle w:val="Sansinterligne"/>
      </w:pPr>
    </w:p>
    <w:p w:rsidR="007E129D" w:rsidRDefault="007E129D" w:rsidP="00616E5D">
      <w:pPr>
        <w:pStyle w:val="Sansinterligne"/>
      </w:pPr>
      <w:r>
        <w:t>La température a donc un impact sur l’équilibre de solubilisation et on aurait pu sans douter car la constante Ks dépend comme toutes les constantes d’équilibre de la température.</w:t>
      </w:r>
    </w:p>
    <w:p w:rsidR="007E129D" w:rsidRDefault="007E129D" w:rsidP="00616E5D">
      <w:pPr>
        <w:pStyle w:val="Sansinterligne"/>
      </w:pPr>
    </w:p>
    <w:p w:rsidR="007E129D" w:rsidRDefault="007E129D" w:rsidP="007E129D">
      <w:pPr>
        <w:pStyle w:val="Sansinterligne"/>
        <w:pBdr>
          <w:left w:val="thinThickSmallGap" w:sz="24" w:space="1" w:color="FFC000"/>
        </w:pBdr>
      </w:pPr>
      <w:r>
        <w:t xml:space="preserve">Cette expérience qualitative peut être rendue plus quantitative en mesurant le produit de solubilité pour différentes températures afin de remonter à la relation de </w:t>
      </w:r>
      <w:proofErr w:type="spellStart"/>
      <w:r>
        <w:t>van’t</w:t>
      </w:r>
      <w:proofErr w:type="spellEnd"/>
      <w:r>
        <w:t xml:space="preserve"> Hoff.</w:t>
      </w:r>
    </w:p>
    <w:p w:rsidR="007E129D" w:rsidRDefault="007E129D" w:rsidP="007E129D">
      <w:pPr>
        <w:pStyle w:val="Sansinterligne"/>
        <w:pBdr>
          <w:left w:val="thinThickSmallGap" w:sz="24" w:space="1" w:color="FFC000"/>
        </w:pBdr>
        <w:rPr>
          <w:rFonts w:eastAsiaTheme="minorEastAsia"/>
          <w:color w:val="7030A0"/>
        </w:rPr>
      </w:pPr>
      <w:r>
        <w:rPr>
          <w:rFonts w:eastAsiaTheme="minorEastAsia"/>
          <w:color w:val="7030A0"/>
        </w:rPr>
        <w:t xml:space="preserve">(Excel/Regressi) : le Ks est ajusté pour que les unités soient bonnes (c° et les conductivités ioniques molaires standard) </w:t>
      </w:r>
    </w:p>
    <w:p w:rsidR="001B0C87" w:rsidRPr="007E129D" w:rsidRDefault="007E129D" w:rsidP="007E129D">
      <w:pPr>
        <w:pStyle w:val="Sansinterligne"/>
        <w:pBdr>
          <w:left w:val="thinThickSmallGap" w:sz="24" w:space="1" w:color="FFC000"/>
        </w:pBdr>
        <w:rPr>
          <w:rFonts w:eastAsiaTheme="minorEastAsia"/>
          <w:color w:val="7030A0"/>
        </w:rPr>
      </w:pPr>
      <w:r>
        <w:rPr>
          <w:rFonts w:eastAsiaTheme="minorEastAsia"/>
          <w:color w:val="7030A0"/>
        </w:rPr>
        <w:t xml:space="preserve">Modélisation issue de la relation de </w:t>
      </w:r>
      <w:proofErr w:type="spellStart"/>
      <w:r>
        <w:rPr>
          <w:rFonts w:eastAsiaTheme="minorEastAsia"/>
          <w:color w:val="7030A0"/>
        </w:rPr>
        <w:t>van’t</w:t>
      </w:r>
      <w:proofErr w:type="spellEnd"/>
      <w:r>
        <w:rPr>
          <w:rFonts w:eastAsiaTheme="minorEastAsia"/>
          <w:color w:val="7030A0"/>
        </w:rPr>
        <w:t xml:space="preserve"> Hoff</w:t>
      </w:r>
    </w:p>
    <w:p w:rsidR="001B0C87" w:rsidRPr="001B0C87" w:rsidRDefault="001B0C87" w:rsidP="007E129D">
      <w:pPr>
        <w:pStyle w:val="Sansinterligne"/>
        <w:rPr>
          <w:rFonts w:eastAsiaTheme="minorEastAsia"/>
          <w:i/>
          <w:iCs/>
          <w:color w:val="00B0F0"/>
        </w:rPr>
      </w:pPr>
      <w:r>
        <w:rPr>
          <w:rFonts w:eastAsiaTheme="minorEastAsia"/>
          <w:i/>
          <w:iCs/>
          <w:color w:val="00B0F0"/>
        </w:rPr>
        <w:t xml:space="preserve">Attention aux grandeurs de réaction qui sont vues uniquement en seconde année alors qu’il s’agit plutôt d’une leçon de première année. </w:t>
      </w:r>
      <w:r w:rsidR="00B65063">
        <w:rPr>
          <w:rFonts w:eastAsiaTheme="minorEastAsia"/>
          <w:i/>
          <w:iCs/>
          <w:color w:val="00B0F0"/>
        </w:rPr>
        <w:t xml:space="preserve">Soit on n’en parle pas, on dit que c’est uniquement une constante qui dépend de la réaction et qu’elle est tabulée pour la réaction étudiée. </w:t>
      </w:r>
    </w:p>
    <w:p w:rsidR="007E129D" w:rsidRDefault="007E129D" w:rsidP="007E129D">
      <w:pPr>
        <w:pStyle w:val="Sansinterligne"/>
        <w:rPr>
          <w:rFonts w:eastAsiaTheme="minorEastAsia"/>
        </w:rPr>
      </w:pPr>
      <w:r>
        <w:rPr>
          <w:rFonts w:eastAsiaTheme="minorEastAsia"/>
        </w:rPr>
        <w:t xml:space="preserve">De façon générale, on peut montrer que : </w:t>
      </w:r>
    </w:p>
    <w:p w:rsidR="007E129D" w:rsidRPr="00BE0673" w:rsidRDefault="00D85A8F" w:rsidP="007E129D">
      <w:pPr>
        <w:pStyle w:val="Sansinterligne"/>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(T)</m:t>
                  </m:r>
                </m:e>
              </m:func>
            </m:num>
            <m:den>
              <m:r>
                <w:rPr>
                  <w:rFonts w:ascii="Cambria Math" w:eastAsiaTheme="minorEastAsia" w:hAnsi="Cambria Math"/>
                </w:rPr>
                <m:t>dT</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(T)</m:t>
              </m:r>
            </m:num>
            <m:den>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7E129D" w:rsidRDefault="007E129D" w:rsidP="007E129D">
      <w:pPr>
        <w:pStyle w:val="Sansinterligne"/>
        <w:rPr>
          <w:rFonts w:eastAsiaTheme="minorEastAsia"/>
        </w:rPr>
      </w:pPr>
      <w:r>
        <w:rPr>
          <w:rFonts w:eastAsiaTheme="minorEastAsia"/>
        </w:rPr>
        <w:t xml:space="preserve">Ce résultat est appelé relation de </w:t>
      </w:r>
      <w:proofErr w:type="spellStart"/>
      <w:r>
        <w:rPr>
          <w:rFonts w:eastAsiaTheme="minorEastAsia"/>
        </w:rPr>
        <w:t>van’t</w:t>
      </w:r>
      <w:proofErr w:type="spellEnd"/>
      <w:r>
        <w:rPr>
          <w:rFonts w:eastAsiaTheme="minorEastAsia"/>
        </w:rPr>
        <w:t xml:space="preserve"> Hoff </w:t>
      </w:r>
      <w:bookmarkStart w:id="2" w:name="_Hlk39047493"/>
      <w:bookmarkStart w:id="3" w:name="OLE_LINK9"/>
      <w:r>
        <w:rPr>
          <w:rFonts w:eastAsiaTheme="minorEastAsia"/>
        </w:rPr>
        <w:t>(approximation d’</w:t>
      </w:r>
      <w:proofErr w:type="spellStart"/>
      <w:r>
        <w:rPr>
          <w:rFonts w:eastAsiaTheme="minorEastAsia"/>
        </w:rPr>
        <w:t>Ellingham</w:t>
      </w:r>
      <w:proofErr w:type="spellEnd"/>
      <w:r>
        <w:rPr>
          <w:rFonts w:eastAsiaTheme="minorEastAsia"/>
        </w:rPr>
        <w:t xml:space="preserve"> nécessaire)</w:t>
      </w:r>
      <w:bookmarkEnd w:id="2"/>
      <w:bookmarkEnd w:id="3"/>
      <w:r>
        <w:rPr>
          <w:rFonts w:eastAsiaTheme="minorEastAsia"/>
        </w:rPr>
        <w:t>.</w:t>
      </w:r>
    </w:p>
    <w:p w:rsidR="007E129D" w:rsidRDefault="007E129D" w:rsidP="007E129D">
      <w:pPr>
        <w:pStyle w:val="Sansinterligne"/>
        <w:rPr>
          <w:rFonts w:eastAsiaTheme="minorEastAsia"/>
        </w:rPr>
      </w:pPr>
    </w:p>
    <w:p w:rsidR="007E129D" w:rsidRPr="002D7777" w:rsidRDefault="007E129D" w:rsidP="007E129D">
      <w:pPr>
        <w:pStyle w:val="Sansinterligne"/>
        <w:rPr>
          <w:rFonts w:eastAsiaTheme="minorEastAsia"/>
          <w:i/>
          <w:iCs/>
        </w:rPr>
      </w:pPr>
      <w:r>
        <w:rPr>
          <w:rFonts w:eastAsiaTheme="minorEastAsia"/>
          <w:i/>
          <w:iCs/>
        </w:rPr>
        <w:t xml:space="preserve">Pour la manipulation précédente, on attend </w:t>
      </w:r>
      <m:oMath>
        <m:sSub>
          <m:sSubPr>
            <m:ctrlPr>
              <w:rPr>
                <w:rFonts w:ascii="Cambria Math" w:eastAsiaTheme="minorEastAsia" w:hAnsi="Cambria Math"/>
                <w:i/>
                <w:iCs/>
              </w:rPr>
            </m:ctrlPr>
          </m:sSubPr>
          <m:e>
            <m:r>
              <m:rPr>
                <m:sty m:val="p"/>
              </m:rPr>
              <w:rPr>
                <w:rFonts w:ascii="Cambria Math" w:eastAsiaTheme="minorEastAsia" w:hAnsi="Cambria Math"/>
              </w:rPr>
              <m:t>Δ</m:t>
            </m:r>
            <m:ctrlPr>
              <w:rPr>
                <w:rFonts w:ascii="Cambria Math" w:eastAsiaTheme="minorEastAsia" w:hAnsi="Cambria Math"/>
                <w:iCs/>
              </w:rPr>
            </m:ctrlPr>
          </m:e>
          <m:sub>
            <m:r>
              <w:rPr>
                <w:rFonts w:ascii="Cambria Math" w:eastAsiaTheme="minorEastAsia" w:hAnsi="Cambria Math"/>
              </w:rPr>
              <m:t>r</m:t>
            </m:r>
          </m:sub>
        </m:sSub>
        <m:sSup>
          <m:sSupPr>
            <m:ctrlPr>
              <w:rPr>
                <w:rFonts w:ascii="Cambria Math" w:eastAsiaTheme="minorEastAsia" w:hAnsi="Cambria Math"/>
                <w:i/>
                <w:iCs/>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=63,4 kJ.mo</m:t>
        </m:r>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-1</m:t>
            </m:r>
          </m:sup>
        </m:sSup>
      </m:oMath>
      <w:r w:rsidR="00BC03B0">
        <w:rPr>
          <w:rFonts w:eastAsiaTheme="minorEastAsia"/>
          <w:i/>
          <w:iCs/>
        </w:rPr>
        <w:t xml:space="preserve"> (endothermique)</w:t>
      </w:r>
      <w:r>
        <w:rPr>
          <w:rFonts w:eastAsiaTheme="minorEastAsia"/>
          <w:i/>
          <w:iCs/>
        </w:rPr>
        <w:t>.</w:t>
      </w:r>
    </w:p>
    <w:p w:rsidR="007E129D" w:rsidRDefault="007E129D" w:rsidP="007E129D">
      <w:pPr>
        <w:pStyle w:val="Sansinterligne"/>
        <w:rPr>
          <w:rFonts w:eastAsiaTheme="minorEastAsia"/>
          <w:i/>
          <w:iCs/>
          <w:color w:val="00B0F0"/>
        </w:rPr>
      </w:pPr>
    </w:p>
    <w:p w:rsidR="007E129D" w:rsidRDefault="007E129D" w:rsidP="007E129D">
      <w:pPr>
        <w:pStyle w:val="Sansinterligne"/>
        <w:rPr>
          <w:rFonts w:eastAsiaTheme="minorEastAsia"/>
          <w:i/>
          <w:iCs/>
          <w:color w:val="00B0F0"/>
        </w:rPr>
      </w:pPr>
      <w:r>
        <w:rPr>
          <w:rFonts w:eastAsiaTheme="minorEastAsia"/>
          <w:i/>
          <w:iCs/>
          <w:color w:val="00B0F0"/>
        </w:rPr>
        <w:t>Démonstration :</w:t>
      </w:r>
    </w:p>
    <w:p w:rsidR="007E129D" w:rsidRDefault="007E129D" w:rsidP="007E129D">
      <w:pPr>
        <w:pStyle w:val="Sansinterligne"/>
        <w:rPr>
          <w:rFonts w:eastAsiaTheme="minorEastAsia"/>
          <w:i/>
          <w:iCs/>
          <w:color w:val="00B0F0"/>
        </w:rPr>
      </w:pPr>
      <w:r>
        <w:rPr>
          <w:rFonts w:eastAsiaTheme="minorEastAsia"/>
          <w:i/>
          <w:iCs/>
          <w:color w:val="00B0F0"/>
        </w:rPr>
        <w:tab/>
      </w:r>
      <m:oMath>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r>
          <w:rPr>
            <w:rFonts w:ascii="Cambria Math" w:eastAsiaTheme="minorEastAsia" w:hAnsi="Cambria Math"/>
            <w:color w:val="00B0F0"/>
          </w:rPr>
          <m:t>= -RT</m:t>
        </m:r>
        <m:func>
          <m:funcPr>
            <m:ctrlPr>
              <w:rPr>
                <w:rFonts w:ascii="Cambria Math" w:eastAsiaTheme="minorEastAsia" w:hAnsi="Cambria Math"/>
                <w:i/>
                <w:iCs/>
                <w:color w:val="00B0F0"/>
              </w:rPr>
            </m:ctrlPr>
          </m:funcPr>
          <m:fName>
            <m:r>
              <m:rPr>
                <m:sty m:val="p"/>
              </m:rPr>
              <w:rPr>
                <w:rFonts w:ascii="Cambria Math" w:eastAsiaTheme="minorEastAsia" w:hAnsi="Cambria Math"/>
                <w:color w:val="00B0F0"/>
              </w:rPr>
              <m:t>ln</m:t>
            </m:r>
          </m:fName>
          <m:e>
            <m:sSup>
              <m:sSupPr>
                <m:ctrlPr>
                  <w:rPr>
                    <w:rFonts w:ascii="Cambria Math" w:eastAsiaTheme="minorEastAsia" w:hAnsi="Cambria Math"/>
                    <w:i/>
                    <w:iCs/>
                    <w:color w:val="00B0F0"/>
                  </w:rPr>
                </m:ctrlPr>
              </m:sSupPr>
              <m:e>
                <m:r>
                  <w:rPr>
                    <w:rFonts w:ascii="Cambria Math" w:eastAsiaTheme="minorEastAsia" w:hAnsi="Cambria Math"/>
                    <w:color w:val="00B0F0"/>
                  </w:rPr>
                  <m:t>K</m:t>
                </m:r>
              </m:e>
              <m:sup>
                <m:r>
                  <w:rPr>
                    <w:rFonts w:ascii="Cambria Math" w:eastAsiaTheme="minorEastAsia" w:hAnsi="Cambria Math"/>
                    <w:color w:val="00B0F0"/>
                  </w:rPr>
                  <m:t>°</m:t>
                </m:r>
              </m:sup>
            </m:sSup>
          </m:e>
        </m:func>
      </m:oMath>
    </w:p>
    <w:p w:rsidR="007E129D" w:rsidRDefault="007E129D" w:rsidP="007E129D">
      <w:pPr>
        <w:pStyle w:val="Sansinterligne"/>
        <w:rPr>
          <w:rFonts w:eastAsiaTheme="minorEastAsia"/>
          <w:i/>
          <w:iCs/>
          <w:color w:val="00B0F0"/>
        </w:rPr>
      </w:pPr>
      <w:r>
        <w:rPr>
          <w:rFonts w:eastAsiaTheme="minorEastAsia"/>
          <w:i/>
          <w:iCs/>
          <w:color w:val="00B0F0"/>
        </w:rPr>
        <w:t xml:space="preserve">Relation de Gibbs-Helmholtz : </w:t>
      </w:r>
      <m:oMath>
        <m:f>
          <m:fPr>
            <m:ctrlPr>
              <w:rPr>
                <w:rFonts w:ascii="Cambria Math" w:eastAsiaTheme="minorEastAsia" w:hAnsi="Cambria Math"/>
                <w:i/>
                <w:iCs/>
                <w:color w:val="00B0F0"/>
              </w:rPr>
            </m:ctrlPr>
          </m:fPr>
          <m:num>
            <m:r>
              <w:rPr>
                <w:rFonts w:ascii="Cambria Math" w:eastAsiaTheme="minorEastAsia" w:hAnsi="Cambria Math"/>
                <w:color w:val="00B0F0"/>
              </w:rPr>
              <m:t>d</m:t>
            </m:r>
          </m:num>
          <m:den>
            <m:r>
              <w:rPr>
                <w:rFonts w:ascii="Cambria Math" w:eastAsiaTheme="minorEastAsia" w:hAnsi="Cambria Math"/>
                <w:color w:val="00B0F0"/>
              </w:rPr>
              <m:t>dT</m:t>
            </m:r>
          </m:den>
        </m:f>
        <m:r>
          <w:rPr>
            <w:rFonts w:ascii="Cambria Math" w:eastAsiaTheme="minorEastAsia" w:hAnsi="Cambria Math"/>
            <w:color w:val="00B0F0"/>
          </w:rPr>
          <m:t xml:space="preserve"> </m:t>
        </m:r>
        <m:d>
          <m:dPr>
            <m:ctrlPr>
              <w:rPr>
                <w:rFonts w:ascii="Cambria Math" w:eastAsiaTheme="minorEastAsia" w:hAnsi="Cambria Math"/>
                <w:i/>
                <w:iCs/>
                <w:color w:val="00B0F0"/>
              </w:rPr>
            </m:ctrlPr>
          </m:dPr>
          <m:e>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num>
              <m:den>
                <m:r>
                  <w:rPr>
                    <w:rFonts w:ascii="Cambria Math" w:eastAsiaTheme="minorEastAsia" w:hAnsi="Cambria Math"/>
                    <w:color w:val="00B0F0"/>
                  </w:rPr>
                  <m:t>T</m:t>
                </m:r>
              </m:den>
            </m:f>
          </m:e>
        </m:d>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1</m:t>
            </m:r>
          </m:num>
          <m:den>
            <m:r>
              <w:rPr>
                <w:rFonts w:ascii="Cambria Math" w:eastAsiaTheme="minorEastAsia" w:hAnsi="Cambria Math"/>
                <w:color w:val="00B0F0"/>
              </w:rPr>
              <m:t>T</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d</m:t>
            </m:r>
          </m:num>
          <m:den>
            <m:r>
              <w:rPr>
                <w:rFonts w:ascii="Cambria Math" w:eastAsiaTheme="minorEastAsia" w:hAnsi="Cambria Math"/>
                <w:color w:val="00B0F0"/>
              </w:rPr>
              <m:t>dT</m:t>
            </m:r>
          </m:den>
        </m:f>
        <m:r>
          <w:rPr>
            <w:rFonts w:ascii="Cambria Math" w:eastAsiaTheme="minorEastAsia" w:hAnsi="Cambria Math"/>
            <w:color w:val="00B0F0"/>
          </w:rPr>
          <m:t xml:space="preserve"> </m:t>
        </m:r>
        <m:d>
          <m:dPr>
            <m:ctrlPr>
              <w:rPr>
                <w:rFonts w:ascii="Cambria Math" w:eastAsiaTheme="minorEastAsia" w:hAnsi="Cambria Math"/>
                <w:i/>
                <w:iCs/>
                <w:color w:val="00B0F0"/>
              </w:rPr>
            </m:ctrlPr>
          </m:dPr>
          <m:e>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e>
        </m:d>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T</m:t>
                </m:r>
              </m:e>
              <m:sup>
                <m:r>
                  <w:rPr>
                    <w:rFonts w:ascii="Cambria Math" w:eastAsiaTheme="minorEastAsia" w:hAnsi="Cambria Math"/>
                    <w:color w:val="00B0F0"/>
                  </w:rPr>
                  <m:t>2</m:t>
                </m:r>
              </m:sup>
            </m:sSup>
          </m:den>
        </m:f>
        <m:r>
          <w:rPr>
            <w:rFonts w:ascii="Cambria Math" w:eastAsiaTheme="minorEastAsia" w:hAnsi="Cambria Math"/>
            <w:color w:val="00B0F0"/>
          </w:rPr>
          <m:t xml:space="preserve"> et </m:t>
        </m:r>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r>
          <w:rPr>
            <w:rFonts w:ascii="Cambria Math" w:eastAsiaTheme="minorEastAsia" w:hAnsi="Cambria Math"/>
            <w:color w:val="00B0F0"/>
          </w:rPr>
          <m:t>=</m:t>
        </m:r>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r>
          <w:rPr>
            <w:rFonts w:ascii="Cambria Math" w:eastAsiaTheme="minorEastAsia" w:hAnsi="Cambria Math"/>
            <w:color w:val="00B0F0"/>
          </w:rPr>
          <m:t>-T</m:t>
        </m:r>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S</m:t>
            </m:r>
          </m:e>
          <m:sup>
            <m:r>
              <w:rPr>
                <w:rFonts w:ascii="Cambria Math" w:eastAsiaTheme="minorEastAsia" w:hAnsi="Cambria Math"/>
                <w:color w:val="00B0F0"/>
              </w:rPr>
              <m:t>°</m:t>
            </m:r>
          </m:sup>
        </m:sSup>
      </m:oMath>
    </w:p>
    <w:p w:rsidR="007E129D" w:rsidRDefault="007E129D" w:rsidP="007E129D">
      <w:pPr>
        <w:pStyle w:val="Sansinterligne"/>
        <w:rPr>
          <w:rFonts w:eastAsiaTheme="minorEastAsia"/>
          <w:i/>
          <w:iCs/>
          <w:color w:val="00B0F0"/>
        </w:rPr>
      </w:pPr>
      <w:r>
        <w:rPr>
          <w:rFonts w:eastAsiaTheme="minorEastAsia"/>
          <w:i/>
          <w:iCs/>
          <w:color w:val="00B0F0"/>
        </w:rPr>
        <w:t xml:space="preserve">Donc, </w:t>
      </w:r>
      <m:oMath>
        <m:f>
          <m:fPr>
            <m:ctrlPr>
              <w:rPr>
                <w:rFonts w:ascii="Cambria Math" w:eastAsiaTheme="minorEastAsia" w:hAnsi="Cambria Math"/>
                <w:i/>
                <w:iCs/>
                <w:color w:val="00B0F0"/>
              </w:rPr>
            </m:ctrlPr>
          </m:fPr>
          <m:num>
            <m:r>
              <w:rPr>
                <w:rFonts w:ascii="Cambria Math" w:eastAsiaTheme="minorEastAsia" w:hAnsi="Cambria Math"/>
                <w:color w:val="00B0F0"/>
              </w:rPr>
              <m:t>d</m:t>
            </m:r>
          </m:num>
          <m:den>
            <m:r>
              <w:rPr>
                <w:rFonts w:ascii="Cambria Math" w:eastAsiaTheme="minorEastAsia" w:hAnsi="Cambria Math"/>
                <w:color w:val="00B0F0"/>
              </w:rPr>
              <m:t>dT</m:t>
            </m:r>
          </m:den>
        </m:f>
        <m:r>
          <w:rPr>
            <w:rFonts w:ascii="Cambria Math" w:eastAsiaTheme="minorEastAsia" w:hAnsi="Cambria Math"/>
            <w:color w:val="00B0F0"/>
          </w:rPr>
          <m:t xml:space="preserve"> </m:t>
        </m:r>
        <m:d>
          <m:dPr>
            <m:ctrlPr>
              <w:rPr>
                <w:rFonts w:ascii="Cambria Math" w:eastAsiaTheme="minorEastAsia" w:hAnsi="Cambria Math"/>
                <w:i/>
                <w:iCs/>
                <w:color w:val="00B0F0"/>
              </w:rPr>
            </m:ctrlPr>
          </m:dPr>
          <m:e>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num>
              <m:den>
                <m:r>
                  <w:rPr>
                    <w:rFonts w:ascii="Cambria Math" w:eastAsiaTheme="minorEastAsia" w:hAnsi="Cambria Math"/>
                    <w:color w:val="00B0F0"/>
                  </w:rPr>
                  <m:t>T</m:t>
                </m:r>
              </m:den>
            </m:f>
          </m:e>
        </m:d>
        <m:r>
          <w:rPr>
            <w:rFonts w:ascii="Cambria Math" w:eastAsiaTheme="minorEastAsia" w:hAnsi="Cambria Math"/>
            <w:color w:val="00B0F0"/>
          </w:rPr>
          <m:t xml:space="preserve">= - </m:t>
        </m:r>
        <m:f>
          <m:fPr>
            <m:ctrlPr>
              <w:rPr>
                <w:rFonts w:ascii="Cambria Math" w:eastAsiaTheme="minorEastAsia" w:hAnsi="Cambria Math"/>
                <w:i/>
                <w:iCs/>
                <w:color w:val="00B0F0"/>
              </w:rPr>
            </m:ctrlPr>
          </m:fPr>
          <m:num>
            <m:sSub>
              <m:sSubPr>
                <m:ctrlPr>
                  <w:rPr>
                    <w:rFonts w:ascii="Cambria Math" w:eastAsiaTheme="minorEastAsia" w:hAnsi="Cambria Math"/>
                    <w:iCs/>
                    <w:color w:val="00B0F0"/>
                  </w:rPr>
                </m:ctrlPr>
              </m:sSubPr>
              <m:e>
                <m:r>
                  <m:rPr>
                    <m:sty m:val="p"/>
                  </m:rPr>
                  <w:rPr>
                    <w:rFonts w:ascii="Cambria Math" w:eastAsiaTheme="minorEastAsia" w:hAnsi="Cambria Math"/>
                    <w:color w:val="00B0F0"/>
                  </w:rPr>
                  <m:t>Δ</m:t>
                </m:r>
              </m:e>
              <m:sub>
                <m:r>
                  <m:rPr>
                    <m:sty m:val="p"/>
                  </m:rP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S</m:t>
                </m:r>
              </m:e>
              <m:sup>
                <m:r>
                  <w:rPr>
                    <w:rFonts w:ascii="Cambria Math" w:eastAsiaTheme="minorEastAsia" w:hAnsi="Cambria Math"/>
                    <w:color w:val="00B0F0"/>
                  </w:rPr>
                  <m:t>°</m:t>
                </m:r>
              </m:sup>
            </m:sSup>
          </m:num>
          <m:den>
            <m:r>
              <w:rPr>
                <w:rFonts w:ascii="Cambria Math" w:eastAsiaTheme="minorEastAsia" w:hAnsi="Cambria Math"/>
                <w:color w:val="00B0F0"/>
              </w:rPr>
              <m:t>T</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T</m:t>
                </m:r>
              </m:e>
              <m:sup>
                <m:r>
                  <w:rPr>
                    <w:rFonts w:ascii="Cambria Math" w:eastAsiaTheme="minorEastAsia" w:hAnsi="Cambria Math"/>
                    <w:color w:val="00B0F0"/>
                  </w:rPr>
                  <m:t>2</m:t>
                </m:r>
              </m:sup>
            </m:sSup>
          </m:den>
        </m:f>
        <m:r>
          <w:rPr>
            <w:rFonts w:ascii="Cambria Math" w:eastAsiaTheme="minorEastAsia" w:hAnsi="Cambria Math"/>
            <w:color w:val="00B0F0"/>
          </w:rPr>
          <m:t>+</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S</m:t>
                </m:r>
              </m:e>
              <m:sup>
                <m:r>
                  <w:rPr>
                    <w:rFonts w:ascii="Cambria Math" w:eastAsiaTheme="minorEastAsia" w:hAnsi="Cambria Math"/>
                    <w:color w:val="00B0F0"/>
                  </w:rPr>
                  <m:t>°</m:t>
                </m:r>
              </m:sup>
            </m:sSup>
          </m:num>
          <m:den>
            <m:r>
              <w:rPr>
                <w:rFonts w:ascii="Cambria Math" w:eastAsiaTheme="minorEastAsia" w:hAnsi="Cambria Math"/>
                <w:color w:val="00B0F0"/>
              </w:rPr>
              <m:t>T</m:t>
            </m:r>
          </m:den>
        </m:f>
        <m:r>
          <w:rPr>
            <w:rFonts w:ascii="Cambria Math" w:eastAsiaTheme="minorEastAsia" w:hAnsi="Cambria Math"/>
            <w:color w:val="00B0F0"/>
          </w:rPr>
          <m:t xml:space="preserve">= -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T</m:t>
                </m:r>
              </m:e>
              <m:sup>
                <m:r>
                  <w:rPr>
                    <w:rFonts w:ascii="Cambria Math" w:eastAsiaTheme="minorEastAsia" w:hAnsi="Cambria Math"/>
                    <w:color w:val="00B0F0"/>
                  </w:rPr>
                  <m:t>2</m:t>
                </m:r>
              </m:sup>
            </m:sSup>
          </m:den>
        </m:f>
        <m:r>
          <w:rPr>
            <w:rFonts w:ascii="Cambria Math" w:eastAsiaTheme="minorEastAsia" w:hAnsi="Cambria Math"/>
            <w:color w:val="00B0F0"/>
          </w:rPr>
          <m:t xml:space="preserve"> </m:t>
        </m:r>
      </m:oMath>
    </w:p>
    <w:p w:rsidR="007E129D" w:rsidRDefault="007E129D" w:rsidP="007E129D">
      <w:pPr>
        <w:pStyle w:val="Sansinterligne"/>
        <w:rPr>
          <w:rFonts w:eastAsiaTheme="minorEastAsia"/>
          <w:i/>
          <w:iCs/>
          <w:color w:val="00B0F0"/>
        </w:rPr>
      </w:pPr>
    </w:p>
    <w:p w:rsidR="007E129D" w:rsidRDefault="007E129D" w:rsidP="007E129D">
      <w:pPr>
        <w:pStyle w:val="Sansinterligne"/>
        <w:rPr>
          <w:rFonts w:eastAsiaTheme="minorEastAsia"/>
          <w:i/>
          <w:iCs/>
          <w:color w:val="00B0F0"/>
        </w:rPr>
      </w:pPr>
      <w:r>
        <w:rPr>
          <w:rFonts w:eastAsiaTheme="minorEastAsia"/>
          <w:i/>
          <w:iCs/>
          <w:color w:val="00B0F0"/>
        </w:rPr>
        <w:t xml:space="preserve">Ainsi, en réinjectant l’expression de </w:t>
      </w:r>
      <m:oMath>
        <m:sSub>
          <m:sSubPr>
            <m:ctrlPr>
              <w:rPr>
                <w:rFonts w:ascii="Cambria Math" w:eastAsiaTheme="minorEastAsia" w:hAnsi="Cambria Math"/>
                <w:i/>
                <w:iCs/>
                <w:color w:val="00B0F0"/>
              </w:rPr>
            </m:ctrlPr>
          </m:sSubPr>
          <m:e>
            <m:r>
              <m:rPr>
                <m:sty m:val="p"/>
              </m:rPr>
              <w:rPr>
                <w:rFonts w:ascii="Cambria Math" w:eastAsiaTheme="minorEastAsia" w:hAnsi="Cambria Math"/>
                <w:color w:val="00B0F0"/>
              </w:rPr>
              <m:t>Δ</m:t>
            </m:r>
            <m:ctrlPr>
              <w:rPr>
                <w:rFonts w:ascii="Cambria Math" w:eastAsiaTheme="minorEastAsia" w:hAnsi="Cambria Math"/>
                <w:iCs/>
                <w:color w:val="00B0F0"/>
              </w:rPr>
            </m:ctrlPr>
          </m:e>
          <m:sub>
            <m:r>
              <w:rPr>
                <w:rFonts w:ascii="Cambria Math" w:eastAsiaTheme="minorEastAsia" w:hAnsi="Cambria Math"/>
                <w:color w:val="00B0F0"/>
              </w:rPr>
              <m:t>r</m:t>
            </m:r>
          </m:sub>
        </m:sSub>
        <m:sSup>
          <m:sSupPr>
            <m:ctrlPr>
              <w:rPr>
                <w:rFonts w:ascii="Cambria Math" w:eastAsiaTheme="minorEastAsia" w:hAnsi="Cambria Math"/>
                <w:i/>
                <w:iCs/>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r>
          <w:rPr>
            <w:rFonts w:ascii="Cambria Math" w:eastAsiaTheme="minorEastAsia" w:hAnsi="Cambria Math"/>
            <w:color w:val="00B0F0"/>
          </w:rPr>
          <m:t>,</m:t>
        </m:r>
      </m:oMath>
      <w:r>
        <w:rPr>
          <w:rFonts w:eastAsiaTheme="minorEastAsia"/>
          <w:i/>
          <w:iCs/>
          <w:color w:val="00B0F0"/>
        </w:rPr>
        <w:t xml:space="preserve"> on retrouve la relation de van’t Hoff.</w:t>
      </w:r>
    </w:p>
    <w:p w:rsidR="007E129D" w:rsidRDefault="007E129D" w:rsidP="007E129D">
      <w:pPr>
        <w:pStyle w:val="Sansinterligne"/>
        <w:rPr>
          <w:rFonts w:eastAsiaTheme="minorEastAsia"/>
          <w:i/>
          <w:iCs/>
          <w:color w:val="00B0F0"/>
        </w:rPr>
      </w:pPr>
    </w:p>
    <w:p w:rsidR="007E129D" w:rsidRDefault="007E129D" w:rsidP="007E129D">
      <w:pPr>
        <w:pStyle w:val="Sansinterligne"/>
        <w:rPr>
          <w:rFonts w:eastAsiaTheme="minorEastAsia"/>
          <w:i/>
          <w:iCs/>
          <w:color w:val="00B0F0"/>
        </w:rPr>
      </w:pPr>
      <w:r>
        <w:rPr>
          <w:rFonts w:eastAsiaTheme="minorEastAsia"/>
          <w:i/>
          <w:iCs/>
          <w:color w:val="00B0F0"/>
        </w:rPr>
        <w:t xml:space="preserve">Attention, il ne faut pas confondre cette relation avec la loi de </w:t>
      </w:r>
      <w:proofErr w:type="spellStart"/>
      <w:r>
        <w:rPr>
          <w:rFonts w:eastAsiaTheme="minorEastAsia"/>
          <w:i/>
          <w:iCs/>
          <w:color w:val="00B0F0"/>
        </w:rPr>
        <w:t>van’t</w:t>
      </w:r>
      <w:proofErr w:type="spellEnd"/>
      <w:r>
        <w:rPr>
          <w:rFonts w:eastAsiaTheme="minorEastAsia"/>
          <w:i/>
          <w:iCs/>
          <w:color w:val="00B0F0"/>
        </w:rPr>
        <w:t xml:space="preserve"> Hoff (cinétique) : pour un acte élémentaire, les ordres partiels sont égaux aux coefficients stœchiométriques.</w:t>
      </w:r>
    </w:p>
    <w:p w:rsidR="007E129D" w:rsidRDefault="007E129D" w:rsidP="007E129D">
      <w:pPr>
        <w:pStyle w:val="Sansinterligne"/>
        <w:rPr>
          <w:rFonts w:eastAsiaTheme="minorEastAsia"/>
        </w:rPr>
      </w:pPr>
    </w:p>
    <w:p w:rsidR="007E129D" w:rsidRPr="00B65063" w:rsidRDefault="00B65063" w:rsidP="007E129D">
      <w:pPr>
        <w:pStyle w:val="Sansinterligne"/>
        <w:rPr>
          <w:rFonts w:eastAsiaTheme="minorEastAsia"/>
          <w:i/>
          <w:iCs/>
          <w:color w:val="00B0F0"/>
        </w:rPr>
      </w:pPr>
      <w:r>
        <w:rPr>
          <w:rFonts w:eastAsiaTheme="minorEastAsia"/>
          <w:i/>
          <w:iCs/>
          <w:color w:val="00B0F0"/>
        </w:rPr>
        <w:t>De même, attention à l’utilisation ou non de la notion de grandeur de réaction qui sont des notions de seconde année.</w:t>
      </w:r>
    </w:p>
    <w:p w:rsidR="007E129D" w:rsidRDefault="007E129D" w:rsidP="007E129D">
      <w:pPr>
        <w:pStyle w:val="Sansinterligne"/>
        <w:rPr>
          <w:rFonts w:eastAsiaTheme="minorEastAsia"/>
        </w:rPr>
      </w:pPr>
      <w:r>
        <w:rPr>
          <w:rFonts w:eastAsiaTheme="minorEastAsia"/>
        </w:rPr>
        <w:t xml:space="preserve">Ainsi </w:t>
      </w:r>
    </w:p>
    <w:p w:rsidR="007E129D" w:rsidRDefault="007E129D" w:rsidP="007E129D">
      <w:pPr>
        <w:pStyle w:val="Sansinterligne"/>
        <w:ind w:firstLine="708"/>
        <w:rPr>
          <w:rFonts w:eastAsiaTheme="minorEastAsia"/>
        </w:rPr>
      </w:pPr>
      <w:r>
        <w:rPr>
          <w:rFonts w:eastAsiaTheme="minorEastAsia"/>
        </w:rPr>
        <w:t>pour une réaction endothermique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&gt;0)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Pr>
          <w:rFonts w:eastAsiaTheme="minorEastAsia"/>
        </w:rPr>
        <w:t xml:space="preserve"> augmente quand T augmente.</w:t>
      </w:r>
    </w:p>
    <w:p w:rsidR="007E129D" w:rsidRDefault="007E129D" w:rsidP="007E129D">
      <w:pPr>
        <w:pStyle w:val="Sansinterligne"/>
        <w:rPr>
          <w:rFonts w:eastAsiaTheme="minorEastAsia"/>
        </w:rPr>
      </w:pPr>
      <w:r>
        <w:tab/>
        <w:t>pour une réaction exothermique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r</m:t>
            </m:r>
          </m:sub>
        </m:s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&lt;0), </m:t>
        </m:r>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diminue quand T augmente.</w:t>
      </w:r>
    </w:p>
    <w:p w:rsidR="007E129D" w:rsidRDefault="007E129D" w:rsidP="007E129D">
      <w:pPr>
        <w:pStyle w:val="Sansinterligne"/>
        <w:rPr>
          <w:rFonts w:eastAsiaTheme="minorEastAsia"/>
        </w:rPr>
      </w:pPr>
    </w:p>
    <w:p w:rsidR="007E129D" w:rsidRDefault="007E129D" w:rsidP="007E129D">
      <w:pPr>
        <w:pStyle w:val="Sansinterligne"/>
        <w:rPr>
          <w:rFonts w:eastAsiaTheme="minorEastAsia"/>
        </w:rPr>
      </w:pPr>
      <w:r>
        <w:rPr>
          <w:rFonts w:eastAsiaTheme="minorEastAsia"/>
        </w:rPr>
        <w:t xml:space="preserve">Ainsi la loi de </w:t>
      </w:r>
      <w:proofErr w:type="spellStart"/>
      <w:r>
        <w:rPr>
          <w:rFonts w:eastAsiaTheme="minorEastAsia"/>
        </w:rPr>
        <w:t>van’t</w:t>
      </w:r>
      <w:proofErr w:type="spellEnd"/>
      <w:r>
        <w:rPr>
          <w:rFonts w:eastAsiaTheme="minorEastAsia"/>
        </w:rPr>
        <w:t xml:space="preserve"> Hoff stipule : une augmentation de température à pression constante déplace l’équilibre dans le sens qui s’oppose à cette augmentation, le sens endothermique.</w:t>
      </w:r>
    </w:p>
    <w:p w:rsidR="007E129D" w:rsidRDefault="007E129D" w:rsidP="007E129D">
      <w:pPr>
        <w:pStyle w:val="Sansinterligne"/>
        <w:rPr>
          <w:rFonts w:eastAsiaTheme="minorEastAsia"/>
        </w:rPr>
      </w:pPr>
    </w:p>
    <w:p w:rsidR="007E129D" w:rsidRDefault="007E129D" w:rsidP="007E129D">
      <w:pPr>
        <w:pStyle w:val="Sansinterligne"/>
        <w:rPr>
          <w:rFonts w:eastAsiaTheme="minorEastAsia"/>
        </w:rPr>
      </w:pPr>
      <w:r>
        <w:rPr>
          <w:rFonts w:eastAsiaTheme="minorEastAsia"/>
        </w:rPr>
        <w:t xml:space="preserve">Ainsi dans notre manipulation, une augmentation de la température augmente le Ks et diminue donc </w:t>
      </w:r>
      <w:proofErr w:type="gramStart"/>
      <w:r>
        <w:rPr>
          <w:rFonts w:eastAsiaTheme="minorEastAsia"/>
        </w:rPr>
        <w:t xml:space="preserve">le </w:t>
      </w:r>
      <w:proofErr w:type="spellStart"/>
      <w:r>
        <w:rPr>
          <w:rFonts w:eastAsiaTheme="minorEastAsia"/>
        </w:rPr>
        <w:t>pKs</w:t>
      </w:r>
      <w:proofErr w:type="spellEnd"/>
      <w:proofErr w:type="gramEnd"/>
      <w:r>
        <w:rPr>
          <w:rFonts w:eastAsiaTheme="minorEastAsia"/>
        </w:rPr>
        <w:t xml:space="preserve"> ainsi que le domaine d’existence du précipité. </w:t>
      </w:r>
    </w:p>
    <w:p w:rsidR="00D66234" w:rsidRDefault="00D66234" w:rsidP="007E129D">
      <w:pPr>
        <w:pStyle w:val="Sansinterligne"/>
        <w:rPr>
          <w:rFonts w:eastAsiaTheme="minorEastAsia"/>
        </w:rPr>
      </w:pPr>
    </w:p>
    <w:p w:rsidR="00D66234" w:rsidRDefault="00D66234" w:rsidP="007E129D">
      <w:pPr>
        <w:pStyle w:val="Sansinterligne"/>
        <w:rPr>
          <w:rFonts w:eastAsiaTheme="minorEastAsia"/>
        </w:rPr>
      </w:pPr>
      <w:r>
        <w:rPr>
          <w:rFonts w:eastAsiaTheme="minorEastAsia"/>
        </w:rPr>
        <w:t>L’effet de la température sur l’équilibre est donc caractérisé par le signe de l’enthalpie de réaction standard.</w:t>
      </w:r>
    </w:p>
    <w:p w:rsidR="00D66234" w:rsidRDefault="00D66234" w:rsidP="007E129D">
      <w:pPr>
        <w:pStyle w:val="Sansinterligne"/>
        <w:rPr>
          <w:rFonts w:eastAsiaTheme="minorEastAsia"/>
        </w:rPr>
      </w:pPr>
    </w:p>
    <w:p w:rsidR="00B65063" w:rsidRDefault="00B65063" w:rsidP="007E129D">
      <w:pPr>
        <w:pStyle w:val="Sansinterligne"/>
        <w:rPr>
          <w:rFonts w:eastAsiaTheme="minorEastAsia"/>
        </w:rPr>
      </w:pPr>
    </w:p>
    <w:p w:rsidR="00D66234" w:rsidRDefault="00D66234" w:rsidP="007E129D">
      <w:pPr>
        <w:pStyle w:val="Sansinterligne"/>
        <w:rPr>
          <w:rFonts w:eastAsiaTheme="minorEastAsia"/>
        </w:rPr>
      </w:pPr>
      <w:r>
        <w:rPr>
          <w:rFonts w:eastAsiaTheme="minorEastAsia"/>
        </w:rPr>
        <w:t>Quand est-il pour le calcaire ?</w:t>
      </w:r>
    </w:p>
    <w:p w:rsidR="00BC03B0" w:rsidRDefault="00D66234" w:rsidP="007E129D">
      <w:pPr>
        <w:pStyle w:val="Sansinterligne"/>
        <w:rPr>
          <w:rFonts w:eastAsiaTheme="minorEastAsia"/>
        </w:rPr>
      </w:pPr>
      <w:r>
        <w:rPr>
          <w:rFonts w:eastAsiaTheme="minorEastAsia"/>
        </w:rPr>
        <w:t xml:space="preserve">[3] À partir des enthalpies de formation à 25°C :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d>
        <m:r>
          <w:rPr>
            <w:rFonts w:ascii="Cambria Math" w:eastAsiaTheme="minorEastAsia" w:hAnsi="Cambria Math"/>
          </w:rPr>
          <m:t>= -543 kJ.mo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e>
        </m:d>
        <m:r>
          <w:rPr>
            <w:rFonts w:ascii="Cambria Math" w:eastAsiaTheme="minorEastAsia" w:hAnsi="Cambria Math"/>
          </w:rPr>
          <m:t>=-675 kJ.mo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CaC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e>
        </m:d>
        <m:r>
          <w:rPr>
            <w:rFonts w:ascii="Cambria Math" w:eastAsiaTheme="minorEastAsia" w:hAnsi="Cambria Math"/>
          </w:rPr>
          <m:t>= -1207 kJ.mo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oMath>
      <w:r>
        <w:rPr>
          <w:rFonts w:eastAsiaTheme="minorEastAsia"/>
        </w:rPr>
        <w:t xml:space="preserve"> on remonte par la loi de Hess à</w:t>
      </w:r>
    </w:p>
    <w:p w:rsidR="00D66234" w:rsidRDefault="00D66234" w:rsidP="007E129D">
      <w:pPr>
        <w:pStyle w:val="Sansinterligne"/>
        <w:rPr>
          <w:rFonts w:eastAsiaTheme="minorEastAsia"/>
        </w:rPr>
      </w:pP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-11 kJ.mo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oMath>
      <w:r w:rsidR="00BC03B0" w:rsidRPr="00BC03B0">
        <w:rPr>
          <w:rFonts w:eastAsiaTheme="minorEastAsia"/>
        </w:rPr>
        <w:t xml:space="preserve"> (exothermique</w:t>
      </w:r>
      <w:r w:rsidR="00BC03B0">
        <w:rPr>
          <w:rFonts w:eastAsiaTheme="minorEastAsia"/>
        </w:rPr>
        <w:t xml:space="preserve">). </w:t>
      </w:r>
    </w:p>
    <w:p w:rsidR="00AB6A4C" w:rsidRPr="00AB6A4C" w:rsidRDefault="00AB6A4C" w:rsidP="007E129D">
      <w:pPr>
        <w:pStyle w:val="Sansinterligne"/>
        <w:rPr>
          <w:rFonts w:eastAsiaTheme="minorEastAsia"/>
          <w:i/>
          <w:iCs/>
          <w:color w:val="00B0F0"/>
        </w:rPr>
      </w:pPr>
      <w:r>
        <w:rPr>
          <w:rFonts w:eastAsiaTheme="minorEastAsia"/>
          <w:i/>
          <w:iCs/>
          <w:color w:val="00B0F0"/>
        </w:rPr>
        <w:t xml:space="preserve">Les enthalpies de formation standard de la calcite et de l’aragonite diffèrent de 0,2 kJ/mol. </w:t>
      </w:r>
    </w:p>
    <w:p w:rsidR="007E129D" w:rsidRDefault="00BC03B0" w:rsidP="007E129D">
      <w:pPr>
        <w:pStyle w:val="Sansinterligne"/>
      </w:pPr>
      <w:r>
        <w:t xml:space="preserve">Ainsi, d’après la relation de </w:t>
      </w:r>
      <w:proofErr w:type="spellStart"/>
      <w:r>
        <w:t>van’t</w:t>
      </w:r>
      <w:proofErr w:type="spellEnd"/>
      <w:r>
        <w:t xml:space="preserve"> Hoff, le calcaire est plus soluble dans l’eau froide que dans l’eau chaude. Cela correspond aux observations du quotidien : bouilloire entartrée et tuyaux d’eau chaude.</w:t>
      </w:r>
    </w:p>
    <w:p w:rsidR="00BC03B0" w:rsidRDefault="00BC03B0" w:rsidP="007E129D">
      <w:pPr>
        <w:pStyle w:val="Sansinterligne"/>
      </w:pPr>
      <w:r>
        <w:t xml:space="preserve">Ainsi, les coraux auront donc une plus grande facilité à construire leur coquille dans un milieu chaud. Mais cela est plus complexe car il s’agit d’organismes vivants. </w:t>
      </w:r>
    </w:p>
    <w:p w:rsidR="005E2364" w:rsidRDefault="005E2364" w:rsidP="007E129D">
      <w:pPr>
        <w:pStyle w:val="Sansinterligne"/>
        <w:rPr>
          <w:i/>
          <w:iCs/>
          <w:color w:val="00B0F0"/>
        </w:rPr>
      </w:pPr>
      <w:r>
        <w:tab/>
      </w:r>
      <w:r>
        <w:rPr>
          <w:i/>
          <w:iCs/>
          <w:color w:val="00B0F0"/>
        </w:rPr>
        <w:t xml:space="preserve">On pourrait penser que les coraux se développent mieux dans un océan plus chaud, ce qui pourrait compenser l’effet de l’acidité. En réalité, le squelette se forme mieux mais les algues qui permettent sa formation meurent. Ainsi, le réchauffement climatique est bien un danger pour les coraux. Entre cet effet et les conséquences de l’acidification, on prévoit une diminution de 99% des récifs coraliens d’ici 2050… </w:t>
      </w:r>
    </w:p>
    <w:p w:rsidR="00AB6A4C" w:rsidRDefault="00AB6A4C" w:rsidP="007E129D">
      <w:pPr>
        <w:pStyle w:val="Sansinterligne"/>
        <w:rPr>
          <w:i/>
          <w:iCs/>
          <w:color w:val="00B0F0"/>
        </w:rPr>
      </w:pPr>
    </w:p>
    <w:p w:rsidR="00AB6A4C" w:rsidRDefault="00AB6A4C" w:rsidP="007E129D">
      <w:pPr>
        <w:pStyle w:val="Sansinterligne"/>
        <w:rPr>
          <w:i/>
          <w:iCs/>
          <w:color w:val="00B0F0"/>
        </w:rPr>
      </w:pPr>
    </w:p>
    <w:p w:rsidR="00AB6A4C" w:rsidRDefault="00AB6A4C" w:rsidP="007E129D">
      <w:pPr>
        <w:pStyle w:val="Sansinterligne"/>
        <w:rPr>
          <w:i/>
          <w:iCs/>
          <w:color w:val="00B0F0"/>
        </w:rPr>
      </w:pPr>
      <w:bookmarkStart w:id="4" w:name="_GoBack"/>
      <w:bookmarkEnd w:id="4"/>
    </w:p>
    <w:p w:rsidR="00AB6A4C" w:rsidRDefault="00AB6A4C" w:rsidP="00AB6A4C">
      <w:pPr>
        <w:pStyle w:val="Sansinterligne"/>
        <w:pBdr>
          <w:left w:val="thinThickSmallGap" w:sz="24" w:space="4" w:color="00B050"/>
        </w:pBdr>
        <w:rPr>
          <w:b/>
          <w:bCs/>
          <w:smallCaps/>
        </w:rPr>
      </w:pPr>
      <w:r>
        <w:rPr>
          <w:b/>
          <w:bCs/>
          <w:smallCaps/>
        </w:rPr>
        <w:t>Transition : Nous avons vu que la température est un facteur qui influe sur l’équilibre de solubilisation, mais existe-t-il d’autres facteurs ?</w:t>
      </w:r>
    </w:p>
    <w:p w:rsidR="00AB6A4C" w:rsidRPr="00AB6A4C" w:rsidRDefault="00AB6A4C" w:rsidP="00AB6A4C">
      <w:pPr>
        <w:pStyle w:val="Sansinterligne"/>
        <w:rPr>
          <w:b/>
          <w:bCs/>
          <w:smallCaps/>
        </w:rPr>
      </w:pPr>
    </w:p>
    <w:p w:rsidR="00AB6A4C" w:rsidRDefault="00AB6A4C" w:rsidP="00AB6A4C">
      <w:pPr>
        <w:pStyle w:val="Sansinterligne"/>
        <w:numPr>
          <w:ilvl w:val="0"/>
          <w:numId w:val="39"/>
        </w:numPr>
        <w:rPr>
          <w:b/>
          <w:bCs/>
        </w:rPr>
      </w:pPr>
      <w:r>
        <w:rPr>
          <w:b/>
          <w:bCs/>
        </w:rPr>
        <w:t>Le pH</w:t>
      </w:r>
    </w:p>
    <w:p w:rsidR="00AB6A4C" w:rsidRDefault="00AB6A4C" w:rsidP="00AB6A4C">
      <w:pPr>
        <w:pStyle w:val="Sansinterligne"/>
      </w:pPr>
    </w:p>
    <w:p w:rsidR="005C5221" w:rsidRDefault="005C5221" w:rsidP="005C5221">
      <w:pPr>
        <w:pStyle w:val="Sansinterligne"/>
      </w:pPr>
      <w:r>
        <w:t>Revenons à notre exemple sur le carbonate de calcium, lors de la dissolution de cette espèce solide, on obtient des ions calcium Ca</w:t>
      </w:r>
      <w:r>
        <w:rPr>
          <w:vertAlign w:val="superscript"/>
        </w:rPr>
        <w:t>2+</w:t>
      </w:r>
      <w:r>
        <w:t xml:space="preserve"> et des ions carbonates CO</w:t>
      </w:r>
      <w:r>
        <w:rPr>
          <w:vertAlign w:val="subscript"/>
        </w:rPr>
        <w:t>3</w:t>
      </w:r>
      <w:r>
        <w:rPr>
          <w:vertAlign w:val="superscript"/>
        </w:rPr>
        <w:t>2-</w:t>
      </w:r>
      <w:r>
        <w:t>.</w:t>
      </w:r>
    </w:p>
    <w:p w:rsidR="005C5221" w:rsidRDefault="005C5221" w:rsidP="005C5221">
      <w:pPr>
        <w:pStyle w:val="Sansinterligne"/>
      </w:pPr>
      <w:r>
        <w:t>Cependant, ces ions interviennent dans deux couples acido-basiques :</w:t>
      </w:r>
    </w:p>
    <w:p w:rsidR="005C5221" w:rsidRDefault="005C5221" w:rsidP="005C5221">
      <w:pPr>
        <w:pStyle w:val="Sansinterligne"/>
        <w:rPr>
          <w:lang w:val="en-GB"/>
        </w:rPr>
      </w:pPr>
      <w:r>
        <w:tab/>
      </w:r>
      <w:r w:rsidRPr="005C5221">
        <w:rPr>
          <w:lang w:val="en-GB"/>
        </w:rPr>
        <w:t>HCO</w:t>
      </w:r>
      <w:r w:rsidRPr="005C5221">
        <w:rPr>
          <w:vertAlign w:val="subscript"/>
          <w:lang w:val="en-GB"/>
        </w:rPr>
        <w:t>3</w:t>
      </w:r>
      <w:r w:rsidRPr="005C5221">
        <w:rPr>
          <w:vertAlign w:val="superscript"/>
          <w:lang w:val="en-GB"/>
        </w:rPr>
        <w:t>-</w:t>
      </w:r>
      <w:r w:rsidRPr="005C5221">
        <w:rPr>
          <w:lang w:val="en-GB"/>
        </w:rPr>
        <w:t>/CO</w:t>
      </w:r>
      <w:r w:rsidRPr="005C5221">
        <w:rPr>
          <w:vertAlign w:val="subscript"/>
          <w:lang w:val="en-GB"/>
        </w:rPr>
        <w:t>3</w:t>
      </w:r>
      <w:r w:rsidRPr="005C5221">
        <w:rPr>
          <w:vertAlign w:val="superscript"/>
          <w:lang w:val="en-GB"/>
        </w:rPr>
        <w:t>2-</w:t>
      </w:r>
      <w:r w:rsidRPr="005C5221">
        <w:rPr>
          <w:lang w:val="en-GB"/>
        </w:rPr>
        <w:t xml:space="preserve"> et H</w:t>
      </w:r>
      <w:r w:rsidRPr="005C5221">
        <w:rPr>
          <w:vertAlign w:val="subscript"/>
          <w:lang w:val="en-GB"/>
        </w:rPr>
        <w:t>2</w:t>
      </w:r>
      <w:r w:rsidRPr="005C5221">
        <w:rPr>
          <w:lang w:val="en-GB"/>
        </w:rPr>
        <w:t>CO</w:t>
      </w:r>
      <w:r w:rsidRPr="005C5221">
        <w:rPr>
          <w:vertAlign w:val="subscript"/>
          <w:lang w:val="en-GB"/>
        </w:rPr>
        <w:t>3</w:t>
      </w:r>
      <w:r w:rsidRPr="005C5221">
        <w:rPr>
          <w:lang w:val="en-GB"/>
        </w:rPr>
        <w:t>/H</w:t>
      </w:r>
      <w:r>
        <w:rPr>
          <w:lang w:val="en-GB"/>
        </w:rPr>
        <w:t>CO</w:t>
      </w:r>
      <w:r>
        <w:rPr>
          <w:vertAlign w:val="subscript"/>
          <w:lang w:val="en-GB"/>
        </w:rPr>
        <w:t>3</w:t>
      </w:r>
      <w:r>
        <w:rPr>
          <w:vertAlign w:val="superscript"/>
          <w:lang w:val="en-GB"/>
        </w:rPr>
        <w:t>-</w:t>
      </w:r>
      <w:r>
        <w:rPr>
          <w:lang w:val="en-GB"/>
        </w:rPr>
        <w:t>.</w:t>
      </w:r>
    </w:p>
    <w:p w:rsidR="005C5221" w:rsidRDefault="005C5221" w:rsidP="005C5221">
      <w:pPr>
        <w:pStyle w:val="Sansinterligne"/>
        <w:rPr>
          <w:lang w:val="en-GB"/>
        </w:rPr>
      </w:pPr>
    </w:p>
    <w:p w:rsidR="005C5221" w:rsidRPr="005C5221" w:rsidRDefault="005C5221" w:rsidP="005C5221">
      <w:pPr>
        <w:pStyle w:val="Sansinterligne"/>
      </w:pPr>
      <w:r w:rsidRPr="005C5221">
        <w:t>Par d</w:t>
      </w:r>
      <w:r>
        <w:t xml:space="preserve">éfinition, la solubilité vaut : </w:t>
      </w:r>
      <m:oMath>
        <m:r>
          <w:rPr>
            <w:rFonts w:ascii="Cambria Math" w:hAnsi="Cambria Math"/>
          </w:rPr>
          <m:t>s=</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d>
          </m:e>
          <m:sub>
            <m:r>
              <w:rPr>
                <w:rFonts w:ascii="Cambria Math" w:hAnsi="Cambria Math"/>
              </w:rPr>
              <m:t>eq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e>
            </m:d>
          </m:e>
          <m:sub>
            <m:r>
              <w:rPr>
                <w:rFonts w:ascii="Cambria Math" w:hAnsi="Cambria Math"/>
              </w:rPr>
              <m:t>eq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e>
            </m:d>
          </m:e>
          <m:sub>
            <m:r>
              <w:rPr>
                <w:rFonts w:ascii="Cambria Math" w:hAnsi="Cambria Math"/>
              </w:rPr>
              <m:t>eq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3</m:t>
                    </m:r>
                  </m:sub>
                </m:sSub>
              </m:e>
            </m:d>
          </m:e>
          <m:sub>
            <m:r>
              <w:rPr>
                <w:rFonts w:ascii="Cambria Math" w:hAnsi="Cambria Math"/>
              </w:rPr>
              <m:t>eq</m:t>
            </m:r>
          </m:sub>
        </m:sSub>
        <m:r>
          <w:rPr>
            <w:rFonts w:ascii="Cambria Math" w:hAnsi="Cambria Math"/>
          </w:rPr>
          <m:t xml:space="preserve"> </m:t>
        </m:r>
      </m:oMath>
    </w:p>
    <w:p w:rsidR="003B7293" w:rsidRDefault="003B7293" w:rsidP="005C5221">
      <w:pPr>
        <w:pStyle w:val="Sansinterligne"/>
      </w:pPr>
    </w:p>
    <w:p w:rsidR="005C5221" w:rsidRDefault="005C5221" w:rsidP="005C5221">
      <w:pPr>
        <w:pStyle w:val="Sansinterligne"/>
        <w:rPr>
          <w:rFonts w:eastAsiaTheme="minorEastAsia"/>
        </w:rPr>
      </w:pPr>
      <w:r>
        <w:t xml:space="preserve">La constante d’équilibre permet d’écrire :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e>
            </m:d>
          </m:e>
          <m:sub>
            <m:r>
              <w:rPr>
                <w:rFonts w:ascii="Cambria Math" w:hAnsi="Cambria Math"/>
              </w:rPr>
              <m:t>eq</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e>
                </m:d>
              </m:e>
              <m:sub>
                <m:r>
                  <w:rPr>
                    <w:rFonts w:ascii="Cambria Math" w:hAnsi="Cambria Math"/>
                  </w:rPr>
                  <m:t>eq</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Ks</m:t>
            </m:r>
          </m:num>
          <m:den>
            <m:r>
              <w:rPr>
                <w:rFonts w:ascii="Cambria Math" w:eastAsiaTheme="minorEastAsia" w:hAnsi="Cambria Math"/>
              </w:rPr>
              <m:t>s</m:t>
            </m:r>
          </m:den>
        </m:f>
      </m:oMath>
      <w:r>
        <w:rPr>
          <w:rFonts w:eastAsiaTheme="minorEastAsia"/>
        </w:rPr>
        <w:t>.</w:t>
      </w:r>
    </w:p>
    <w:p w:rsidR="005C5221" w:rsidRDefault="005C5221" w:rsidP="005C5221">
      <w:pPr>
        <w:pStyle w:val="Sansinterligne"/>
        <w:rPr>
          <w:rFonts w:eastAsiaTheme="minorEastAsia"/>
        </w:rPr>
      </w:pPr>
      <w:r>
        <w:rPr>
          <w:rFonts w:eastAsiaTheme="minorEastAsia"/>
        </w:rPr>
        <w:t>De plus, les relations acido-basiques donnent :</w:t>
      </w:r>
      <w:r w:rsidR="00ED0C7A">
        <w:rPr>
          <w:rFonts w:eastAsiaTheme="minorEastAsia"/>
        </w:rPr>
        <w:t xml:space="preserve">  on pose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-pH</m:t>
            </m:r>
          </m:sup>
        </m:sSup>
      </m:oMath>
    </w:p>
    <w:p w:rsidR="00ED0C7A" w:rsidRDefault="005C5221" w:rsidP="00ED0C7A">
      <w:pPr>
        <w:pStyle w:val="Sansinterligne"/>
      </w:pPr>
      <m:oMath>
        <m:r>
          <w:rPr>
            <w:rFonts w:ascii="Cambria Math" w:hAnsi="Cambria Math"/>
          </w:rPr>
          <m:t>HC</m:t>
        </m:r>
        <m:sSub>
          <m:sSubPr>
            <m:ctrlPr>
              <w:rPr>
                <w:rFonts w:ascii="Cambria Math" w:hAnsi="Cambria Math"/>
              </w:rPr>
            </m:ctrlPr>
          </m:sSubPr>
          <m:e>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e>
          <m:sub>
            <m:d>
              <m:dPr>
                <m:ctrlPr>
                  <w:rPr>
                    <w:rFonts w:ascii="Cambria Math" w:hAnsi="Cambria Math"/>
                  </w:rPr>
                </m:ctrlPr>
              </m:dPr>
              <m:e>
                <m:r>
                  <w:rPr>
                    <w:rFonts w:ascii="Cambria Math" w:hAnsi="Cambria Math"/>
                  </w:rPr>
                  <m:t>aq</m:t>
                </m:r>
              </m:e>
            </m:d>
          </m:sub>
        </m:sSub>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m:t>
            </m:r>
            <m:r>
              <w:rPr>
                <w:rFonts w:ascii="Cambria Math" w:hAnsi="Cambria Math"/>
              </w:rPr>
              <m:t>aq</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m:t>
        </m:r>
        <m:r>
          <w:rPr>
            <w:rFonts w:ascii="Cambria Math" w:hAnsi="Cambria Math"/>
          </w:rPr>
          <m:t>C</m:t>
        </m:r>
        <m:sSub>
          <m:sSubPr>
            <m:ctrlPr>
              <w:rPr>
                <w:rFonts w:ascii="Cambria Math" w:hAnsi="Cambria Math"/>
              </w:rPr>
            </m:ctrlPr>
          </m:sSubPr>
          <m:e>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2-</m:t>
                </m:r>
              </m:sup>
            </m:sSubSup>
          </m:e>
          <m:sub>
            <m:r>
              <m:rPr>
                <m:sty m:val="p"/>
              </m:rPr>
              <w:rPr>
                <w:rFonts w:ascii="Cambria Math" w:hAnsi="Cambria Math"/>
              </w:rPr>
              <m:t>(</m:t>
            </m:r>
            <m:r>
              <w:rPr>
                <w:rFonts w:ascii="Cambria Math" w:hAnsi="Cambria Math"/>
              </w:rPr>
              <m:t>aq</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a</m:t>
            </m:r>
            <m:r>
              <m:rPr>
                <m:sty m:val="p"/>
              </m:rPr>
              <w:rPr>
                <w:rFonts w:ascii="Cambria Math" w:hAnsi="Cambria Math"/>
              </w:rPr>
              <m:t>2</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r>
                      <w:rPr>
                        <w:rFonts w:ascii="Cambria Math" w:hAnsi="Cambria Math"/>
                      </w:rPr>
                      <m:t>C</m:t>
                    </m:r>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2-</m:t>
                        </m:r>
                      </m:sup>
                    </m:sSubSup>
                  </m:e>
                </m:d>
              </m:e>
              <m:sub>
                <m:r>
                  <w:rPr>
                    <w:rFonts w:ascii="Cambria Math" w:hAnsi="Cambria Math"/>
                  </w:rPr>
                  <m:t>eq</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rPr>
                          <m:t>H</m:t>
                        </m:r>
                      </m:e>
                      <m:sup>
                        <m:r>
                          <m:rPr>
                            <m:sty m:val="p"/>
                          </m:rPr>
                          <w:rPr>
                            <w:rFonts w:ascii="Cambria Math" w:hAnsi="Cambria Math"/>
                          </w:rPr>
                          <m:t>+</m:t>
                        </m:r>
                      </m:sup>
                    </m:sSup>
                  </m:e>
                </m:d>
              </m:e>
              <m:sub>
                <m:r>
                  <w:rPr>
                    <w:rFonts w:ascii="Cambria Math" w:hAnsi="Cambria Math"/>
                  </w:rPr>
                  <m:t>eq</m:t>
                </m:r>
              </m:sub>
            </m:sSub>
          </m:num>
          <m:den>
            <m:sSub>
              <m:sSubPr>
                <m:ctrlPr>
                  <w:rPr>
                    <w:rFonts w:ascii="Cambria Math" w:hAnsi="Cambria Math"/>
                  </w:rPr>
                </m:ctrlPr>
              </m:sSubPr>
              <m:e>
                <m:d>
                  <m:dPr>
                    <m:begChr m:val="["/>
                    <m:endChr m:val="]"/>
                    <m:ctrlPr>
                      <w:rPr>
                        <w:rFonts w:ascii="Cambria Math" w:hAnsi="Cambria Math"/>
                      </w:rPr>
                    </m:ctrlPr>
                  </m:dPr>
                  <m:e>
                    <m:r>
                      <w:rPr>
                        <w:rFonts w:ascii="Cambria Math" w:hAnsi="Cambria Math"/>
                      </w:rPr>
                      <m:t>HC</m:t>
                    </m:r>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e>
                </m:d>
              </m:e>
              <m:sub>
                <m:r>
                  <w:rPr>
                    <w:rFonts w:ascii="Cambria Math" w:hAnsi="Cambria Math"/>
                  </w:rPr>
                  <m:t>eq</m:t>
                </m:r>
              </m:sub>
            </m:sSub>
          </m:den>
        </m:f>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HC</m:t>
                </m:r>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m:t>
                    </m:r>
                  </m:sup>
                </m:sSubSup>
              </m:e>
            </m:d>
          </m:e>
          <m:sub>
            <m:r>
              <w:rPr>
                <w:rFonts w:ascii="Cambria Math" w:hAnsi="Cambria Math"/>
              </w:rPr>
              <m:t>eq</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C</m:t>
            </m:r>
            <m:sSubSup>
              <m:sSubSupPr>
                <m:ctrlPr>
                  <w:rPr>
                    <w:rFonts w:ascii="Cambria Math" w:hAnsi="Cambria Math"/>
                  </w:rPr>
                </m:ctrlPr>
              </m:sSubSupPr>
              <m:e>
                <m:r>
                  <w:rPr>
                    <w:rFonts w:ascii="Cambria Math" w:hAnsi="Cambria Math"/>
                  </w:rPr>
                  <m:t>O</m:t>
                </m:r>
              </m:e>
              <m:sub>
                <m:r>
                  <m:rPr>
                    <m:sty m:val="p"/>
                  </m:rPr>
                  <w:rPr>
                    <w:rFonts w:ascii="Cambria Math" w:hAnsi="Cambria Math"/>
                  </w:rPr>
                  <m:t>3</m:t>
                </m:r>
              </m:sub>
              <m:sup>
                <m:r>
                  <m:rPr>
                    <m:sty m:val="p"/>
                  </m:rPr>
                  <w:rPr>
                    <w:rFonts w:ascii="Cambria Math" w:hAnsi="Cambria Math"/>
                  </w:rPr>
                  <m:t>2-</m:t>
                </m:r>
              </m:sup>
            </m:sSubSup>
          </m:e>
        </m:d>
        <m:r>
          <m:rPr>
            <m:sty m:val="p"/>
          </m:rPr>
          <w:rPr>
            <w:rFonts w:ascii="Cambria Math" w:hAnsi="Cambria Math"/>
          </w:rPr>
          <m:t>×</m:t>
        </m:r>
        <m:f>
          <m:fPr>
            <m:ctrlPr>
              <w:rPr>
                <w:rFonts w:ascii="Cambria Math" w:hAnsi="Cambria Math"/>
              </w:rPr>
            </m:ctrlPr>
          </m:fPr>
          <m:num>
            <m:r>
              <w:rPr>
                <w:rFonts w:ascii="Cambria Math" w:hAnsi="Cambria Math"/>
              </w:rPr>
              <m:t>h</m:t>
            </m:r>
          </m:num>
          <m:den>
            <m:sSub>
              <m:sSubPr>
                <m:ctrlPr>
                  <w:rPr>
                    <w:rFonts w:ascii="Cambria Math" w:hAnsi="Cambria Math"/>
                  </w:rPr>
                </m:ctrlPr>
              </m:sSubPr>
              <m:e>
                <m:r>
                  <w:rPr>
                    <w:rFonts w:ascii="Cambria Math" w:hAnsi="Cambria Math"/>
                  </w:rPr>
                  <m:t>K</m:t>
                </m:r>
              </m:e>
              <m:sub>
                <m:r>
                  <w:rPr>
                    <w:rFonts w:ascii="Cambria Math" w:hAnsi="Cambria Math"/>
                  </w:rPr>
                  <m:t>a</m:t>
                </m:r>
                <m:r>
                  <m:rPr>
                    <m:sty m:val="p"/>
                  </m:rPr>
                  <w:rPr>
                    <w:rFonts w:ascii="Cambria Math" w:hAnsi="Cambria Math"/>
                  </w:rPr>
                  <m:t>2</m:t>
                </m:r>
              </m:sub>
            </m:sSub>
          </m:den>
        </m:f>
      </m:oMath>
      <w:r w:rsidR="00ED0C7A">
        <w:t xml:space="preserve"> </w:t>
      </w:r>
    </w:p>
    <w:p w:rsidR="000B062D" w:rsidRPr="000B062D" w:rsidRDefault="00D85A8F" w:rsidP="00ED0C7A">
      <w:pPr>
        <w:pStyle w:val="Sansinterligne"/>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3</m:t>
                  </m:r>
                </m:sub>
              </m:sSub>
            </m:e>
            <m:sub>
              <m:r>
                <w:rPr>
                  <w:rFonts w:ascii="Cambria Math" w:hAnsi="Cambria Math"/>
                </w:rPr>
                <m:t>(aq)</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(aq)</m:t>
              </m:r>
            </m:sub>
            <m:sup>
              <m:r>
                <w:rPr>
                  <w:rFonts w:ascii="Cambria Math" w:hAnsi="Cambria Math"/>
                </w:rPr>
                <m:t>+</m:t>
              </m:r>
            </m:sup>
          </m:sSubSup>
          <m:r>
            <w:rPr>
              <w:rFonts w:ascii="Cambria Math" w:hAnsi="Cambria Math"/>
            </w:rPr>
            <m:t>+HC</m:t>
          </m:r>
          <m:sSub>
            <m:sSubPr>
              <m:ctrlPr>
                <w:rPr>
                  <w:rFonts w:ascii="Cambria Math" w:hAnsi="Cambria Math"/>
                  <w:i/>
                </w:rPr>
              </m:ctrlPr>
            </m:sSubPr>
            <m:e>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e>
            <m:sub>
              <m:r>
                <w:rPr>
                  <w:rFonts w:ascii="Cambria Math" w:hAnsi="Cambria Math"/>
                </w:rPr>
                <m:t>(aq)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3</m:t>
                      </m:r>
                    </m:sub>
                  </m:sSub>
                </m:e>
              </m:d>
            </m:e>
            <m:sub>
              <m:r>
                <w:rPr>
                  <w:rFonts w:ascii="Cambria Math" w:hAnsi="Cambria Math"/>
                </w:rPr>
                <m:t>eq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e>
              </m:d>
            </m:e>
            <m:sub>
              <m:r>
                <w:rPr>
                  <w:rFonts w:ascii="Cambria Math" w:hAnsi="Cambria Math"/>
                </w:rPr>
                <m:t>eq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a1</m:t>
                  </m:r>
                </m:sub>
              </m:sSub>
              <m:sSub>
                <m:sSubPr>
                  <m:ctrlPr>
                    <w:rPr>
                      <w:rFonts w:ascii="Cambria Math" w:hAnsi="Cambria Math"/>
                      <w:i/>
                    </w:rPr>
                  </m:ctrlPr>
                </m:sSubPr>
                <m:e>
                  <m:r>
                    <w:rPr>
                      <w:rFonts w:ascii="Cambria Math" w:hAnsi="Cambria Math"/>
                    </w:rPr>
                    <m:t>K</m:t>
                  </m:r>
                </m:e>
                <m:sub>
                  <m:r>
                    <w:rPr>
                      <w:rFonts w:ascii="Cambria Math" w:hAnsi="Cambria Math"/>
                    </w:rPr>
                    <m:t>a2</m:t>
                  </m:r>
                </m:sub>
              </m:sSub>
            </m:den>
          </m:f>
        </m:oMath>
      </m:oMathPara>
    </w:p>
    <w:p w:rsidR="000B062D" w:rsidRPr="00C44188" w:rsidRDefault="000B062D" w:rsidP="00ED0C7A">
      <w:pPr>
        <w:pStyle w:val="Sansinterligne"/>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e>
              </m:d>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HC</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m:t>
                      </m:r>
                    </m:sup>
                  </m:sSubSup>
                </m:e>
              </m:d>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e>
              </m:d>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e>
              </m:d>
            </m:e>
            <m:sub>
              <m:r>
                <w:rPr>
                  <w:rFonts w:ascii="Cambria Math" w:eastAsiaTheme="minorEastAsia" w:hAnsi="Cambria Math"/>
                </w:rPr>
                <m:t>eq</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num>
            <m:den>
              <m:r>
                <w:rPr>
                  <w:rFonts w:ascii="Cambria Math" w:eastAsiaTheme="minorEastAsia" w:hAnsi="Cambria Math"/>
                </w:rPr>
                <m:t>s</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e>
          </m:d>
        </m:oMath>
      </m:oMathPara>
    </w:p>
    <w:p w:rsidR="00C44188" w:rsidRDefault="00C44188" w:rsidP="00ED0C7A">
      <w:pPr>
        <w:pStyle w:val="Sansinterligne"/>
        <w:rPr>
          <w:rFonts w:eastAsiaTheme="minorEastAsia"/>
        </w:rPr>
      </w:pPr>
      <w:r>
        <w:rPr>
          <w:rFonts w:eastAsiaTheme="minorEastAsia"/>
        </w:rPr>
        <w:t>Donc,</w:t>
      </w:r>
    </w:p>
    <w:p w:rsidR="00C44188" w:rsidRPr="00C44188" w:rsidRDefault="00C44188" w:rsidP="00ED0C7A">
      <w:pPr>
        <w:pStyle w:val="Sansinterligne"/>
        <w:rPr>
          <w:rFonts w:eastAsiaTheme="minorEastAsia"/>
        </w:rPr>
      </w:pPr>
      <m:oMathPara>
        <m:oMath>
          <m:r>
            <w:rPr>
              <w:rFonts w:ascii="Cambria Math" w:eastAsiaTheme="minorEastAsia" w:hAnsi="Cambria Math"/>
            </w:rPr>
            <m:t xml:space="preserve">s=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e>
              </m:d>
            </m:e>
          </m:rad>
        </m:oMath>
      </m:oMathPara>
    </w:p>
    <w:p w:rsidR="00C44188" w:rsidRPr="000B062D" w:rsidRDefault="00C44188" w:rsidP="00ED0C7A">
      <w:pPr>
        <w:pStyle w:val="Sansinterligne"/>
        <w:rPr>
          <w:rFonts w:eastAsiaTheme="minorEastAsia"/>
        </w:rPr>
      </w:pPr>
      <w:r>
        <w:rPr>
          <w:rFonts w:eastAsiaTheme="minorEastAsia"/>
        </w:rPr>
        <w:t>D’un point de vue acido-basique,</w:t>
      </w:r>
    </w:p>
    <w:p w:rsidR="003B7293" w:rsidRDefault="000B062D" w:rsidP="000B062D">
      <w:pPr>
        <w:jc w:val="center"/>
      </w:pPr>
      <w:r>
        <w:rPr>
          <w:noProof/>
        </w:rPr>
        <w:drawing>
          <wp:inline distT="0" distB="0" distL="0" distR="0" wp14:anchorId="09BF261C" wp14:editId="129A96C8">
            <wp:extent cx="5353050" cy="704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704850"/>
                    </a:xfrm>
                    <a:prstGeom prst="rect">
                      <a:avLst/>
                    </a:prstGeom>
                  </pic:spPr>
                </pic:pic>
              </a:graphicData>
            </a:graphic>
          </wp:inline>
        </w:drawing>
      </w:r>
    </w:p>
    <w:p w:rsidR="000B062D" w:rsidRDefault="000B062D" w:rsidP="000B062D">
      <w:pPr>
        <w:pStyle w:val="Sansinterligne"/>
      </w:pPr>
      <w:r>
        <w:lastRenderedPageBreak/>
        <w:t>Il y a donc trois zones de pH à envisager en fonction de quelle forme prédomine :</w:t>
      </w:r>
    </w:p>
    <w:p w:rsidR="000B062D" w:rsidRDefault="000B062D" w:rsidP="000B062D">
      <w:pPr>
        <w:pStyle w:val="Sansinterligne"/>
        <w:rPr>
          <w:rFonts w:eastAsiaTheme="minorEastAsia"/>
        </w:rPr>
      </w:pPr>
      <w:r>
        <w:t xml:space="preserve">Si </w:t>
      </w:r>
      <m:oMath>
        <m:r>
          <w:rPr>
            <w:rFonts w:ascii="Cambria Math" w:hAnsi="Cambria Math"/>
          </w:rPr>
          <m:t>pH&gt;pK</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oMath>
      <w:r>
        <w:rPr>
          <w:rFonts w:eastAsiaTheme="minorEastAsia"/>
        </w:rPr>
        <w:t xml:space="preserve">, alors </w:t>
      </w:r>
      <m:oMath>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2-</m:t>
            </m:r>
          </m:sup>
        </m:sSubSup>
      </m:oMath>
      <w:r>
        <w:rPr>
          <w:rFonts w:eastAsiaTheme="minorEastAsia"/>
        </w:rPr>
        <w:t xml:space="preserve"> prédomine</w:t>
      </w:r>
      <w:r w:rsidR="00C44188">
        <w:rPr>
          <w:rFonts w:eastAsiaTheme="minorEastAsia"/>
        </w:rPr>
        <w:t xml:space="preserve"> donc </w:t>
      </w:r>
      <m:oMath>
        <m:r>
          <w:rPr>
            <w:rFonts w:ascii="Cambria Math" w:eastAsiaTheme="minorEastAsia" w:hAnsi="Cambria Math"/>
          </w:rPr>
          <m:t>s=</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s=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pKs</m:t>
                </m:r>
              </m:e>
            </m:func>
          </m:e>
        </m:func>
      </m:oMath>
    </w:p>
    <w:p w:rsidR="00C44188" w:rsidRDefault="00C44188" w:rsidP="000B062D">
      <w:pPr>
        <w:pStyle w:val="Sansinterligne"/>
        <w:rPr>
          <w:rFonts w:eastAsiaTheme="minorEastAsia"/>
        </w:rPr>
      </w:pPr>
      <w:r>
        <w:rPr>
          <w:rFonts w:eastAsiaTheme="minorEastAsia"/>
        </w:rPr>
        <w:t xml:space="preserve">Si </w:t>
      </w:r>
      <m:oMath>
        <m:r>
          <w:rPr>
            <w:rFonts w:ascii="Cambria Math" w:eastAsiaTheme="minorEastAsia" w:hAnsi="Cambria Math"/>
          </w:rPr>
          <m:t>pK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-1&lt;pH&lt;pK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alors </w:t>
      </w:r>
      <m:oMath>
        <m:r>
          <w:rPr>
            <w:rFonts w:ascii="Cambria Math" w:eastAsiaTheme="minorEastAsia" w:hAnsi="Cambria Math"/>
          </w:rPr>
          <m:t>HC</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3</m:t>
            </m:r>
          </m:sub>
          <m:sup>
            <m:r>
              <w:rPr>
                <w:rFonts w:ascii="Cambria Math" w:eastAsiaTheme="minorEastAsia" w:hAnsi="Cambria Math"/>
              </w:rPr>
              <m:t>-</m:t>
            </m:r>
          </m:sup>
        </m:sSubSup>
      </m:oMath>
      <w:r>
        <w:rPr>
          <w:rFonts w:eastAsiaTheme="minorEastAsia"/>
        </w:rPr>
        <w:t xml:space="preserve"> prédomine donc </w:t>
      </w:r>
      <m:oMath>
        <m:r>
          <w:rPr>
            <w:rFonts w:ascii="Cambria Math" w:eastAsiaTheme="minorEastAsia" w:hAnsi="Cambria Math"/>
          </w:rPr>
          <m:t>s=</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e>
        </m:rad>
        <m:r>
          <w:rPr>
            <w:rFonts w:ascii="Cambria Math" w:eastAsiaTheme="minorEastAsia" w:hAnsi="Cambria Math"/>
          </w:rPr>
          <m:t xml:space="preserve"> </m:t>
        </m:r>
      </m:oMath>
    </w:p>
    <w:p w:rsidR="00C44188" w:rsidRDefault="00C44188" w:rsidP="000B062D">
      <w:pPr>
        <w:pStyle w:val="Sansinterligne"/>
        <w:rPr>
          <w:rFonts w:eastAsiaTheme="minorEastAsia"/>
        </w:rPr>
      </w:pPr>
      <w:r>
        <w:rPr>
          <w:rFonts w:eastAsiaTheme="minorEastAsia"/>
        </w:rPr>
        <w:tab/>
        <w:t xml:space="preserve">Donc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pKs+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pKs-pK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8,3-6,4</m:t>
            </m:r>
          </m:e>
        </m:d>
      </m:oMath>
    </w:p>
    <w:p w:rsidR="00C44188" w:rsidRPr="005C5221" w:rsidRDefault="00C44188" w:rsidP="00C44188">
      <w:pPr>
        <w:pStyle w:val="Sansinterligne"/>
      </w:pPr>
      <w:r>
        <w:rPr>
          <w:rFonts w:eastAsiaTheme="minorEastAsia"/>
        </w:rPr>
        <w:tab/>
        <w:t xml:space="preserve">Ainsi,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pH-1</m:t>
        </m:r>
      </m:oMath>
    </w:p>
    <w:p w:rsidR="00C44188" w:rsidRDefault="00C44188" w:rsidP="000B062D">
      <w:pPr>
        <w:pStyle w:val="Sansinterligne"/>
        <w:rPr>
          <w:rFonts w:eastAsiaTheme="minorEastAsia"/>
        </w:rPr>
      </w:pPr>
      <w:r>
        <w:t xml:space="preserve">Si </w:t>
      </w:r>
      <m:oMath>
        <m:r>
          <w:rPr>
            <w:rFonts w:ascii="Cambria Math" w:hAnsi="Cambria Math"/>
          </w:rPr>
          <m:t>pH&lt;pK</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oMath>
      <w:r>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oMath>
      <w:r>
        <w:rPr>
          <w:rFonts w:eastAsiaTheme="minorEastAsia"/>
        </w:rPr>
        <w:t xml:space="preserve"> prédomine donc </w:t>
      </w:r>
      <m:oMath>
        <m:r>
          <w:rPr>
            <w:rFonts w:ascii="Cambria Math" w:eastAsiaTheme="minorEastAsia" w:hAnsi="Cambria Math"/>
          </w:rPr>
          <m:t xml:space="preserve">s=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e>
        </m:rad>
      </m:oMath>
    </w:p>
    <w:p w:rsidR="00C44188" w:rsidRDefault="00C44188" w:rsidP="000B062D">
      <w:pPr>
        <w:pStyle w:val="Sansinterligne"/>
        <w:rPr>
          <w:rFonts w:eastAsiaTheme="minorEastAsia"/>
        </w:rPr>
      </w:pPr>
      <w:r>
        <w:rPr>
          <w:rFonts w:eastAsiaTheme="minorEastAsia"/>
        </w:rPr>
        <w:tab/>
        <w:t xml:space="preserve">Donc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pKs+pH-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=pH-4.3</m:t>
        </m:r>
      </m:oMath>
    </w:p>
    <w:p w:rsidR="00C44188" w:rsidRDefault="00C44188" w:rsidP="000B062D">
      <w:pPr>
        <w:pStyle w:val="Sansinterligne"/>
        <w:rPr>
          <w:rFonts w:eastAsiaTheme="minorEastAsia"/>
          <w:color w:val="7030A0"/>
        </w:rPr>
      </w:pPr>
      <w:r>
        <w:rPr>
          <w:rFonts w:eastAsiaTheme="minorEastAsia"/>
          <w:color w:val="7030A0"/>
        </w:rPr>
        <w:t xml:space="preserve">(Diapo) Tracé de </w:t>
      </w:r>
      <w:proofErr w:type="spellStart"/>
      <w:r>
        <w:rPr>
          <w:rFonts w:eastAsiaTheme="minorEastAsia"/>
          <w:color w:val="7030A0"/>
        </w:rPr>
        <w:t>p</w:t>
      </w:r>
      <w:r>
        <w:rPr>
          <w:rFonts w:eastAsiaTheme="minorEastAsia"/>
          <w:color w:val="7030A0"/>
          <w:vertAlign w:val="subscript"/>
        </w:rPr>
        <w:t>s</w:t>
      </w:r>
      <w:proofErr w:type="spellEnd"/>
      <w:r>
        <w:rPr>
          <w:rFonts w:eastAsiaTheme="minorEastAsia"/>
          <w:color w:val="7030A0"/>
        </w:rPr>
        <w:t xml:space="preserve"> en fonction du pH.</w:t>
      </w:r>
    </w:p>
    <w:p w:rsidR="00C44188" w:rsidRDefault="00C44188" w:rsidP="000B062D">
      <w:pPr>
        <w:pStyle w:val="Sansinterligne"/>
        <w:rPr>
          <w:rFonts w:eastAsiaTheme="minorEastAsia"/>
          <w:color w:val="7030A0"/>
        </w:rPr>
      </w:pPr>
    </w:p>
    <w:p w:rsidR="00C44188" w:rsidRDefault="00C44188" w:rsidP="00C44188">
      <w:pPr>
        <w:pStyle w:val="Sansinterligne"/>
      </w:pPr>
      <w:r>
        <w:t>On constate que la solubilité</w:t>
      </w:r>
      <w:r w:rsidR="00567D2F">
        <w:t xml:space="preserve"> varie avec le pH, ici elle augmente en fonction du pH </w:t>
      </w:r>
      <w:r w:rsidR="00567D2F">
        <w:rPr>
          <w:i/>
          <w:iCs/>
        </w:rPr>
        <w:t xml:space="preserve">(attention au signe utilisé pour le </w:t>
      </w:r>
      <w:proofErr w:type="spellStart"/>
      <w:r w:rsidR="00567D2F">
        <w:rPr>
          <w:i/>
          <w:iCs/>
        </w:rPr>
        <w:t>p</w:t>
      </w:r>
      <w:r w:rsidR="00567D2F">
        <w:rPr>
          <w:i/>
          <w:iCs/>
          <w:vertAlign w:val="subscript"/>
        </w:rPr>
        <w:t>s</w:t>
      </w:r>
      <w:proofErr w:type="spellEnd"/>
      <w:r w:rsidR="00567D2F">
        <w:rPr>
          <w:i/>
          <w:iCs/>
        </w:rPr>
        <w:t xml:space="preserve">), </w:t>
      </w:r>
      <w:r w:rsidR="00567D2F" w:rsidRPr="00567D2F">
        <w:t xml:space="preserve">ce qui explique qu’on utilise des détartrant acide pour augmenter au maximum cette solubilité. </w:t>
      </w:r>
    </w:p>
    <w:p w:rsidR="00567D2F" w:rsidRDefault="00567D2F" w:rsidP="00C44188">
      <w:pPr>
        <w:pStyle w:val="Sansinterligne"/>
      </w:pPr>
    </w:p>
    <w:p w:rsidR="00567D2F" w:rsidRDefault="00567D2F" w:rsidP="00C44188">
      <w:pPr>
        <w:pStyle w:val="Sansinterligne"/>
        <w:rPr>
          <w:color w:val="7030A0"/>
        </w:rPr>
      </w:pPr>
      <w:r>
        <w:rPr>
          <w:color w:val="7030A0"/>
        </w:rPr>
        <w:t xml:space="preserve">(Diapo) Taux de croissance du corail en fonction du pH. </w:t>
      </w:r>
    </w:p>
    <w:p w:rsidR="00567D2F" w:rsidRDefault="00567D2F" w:rsidP="00567D2F">
      <w:pPr>
        <w:pStyle w:val="Sansinterligne"/>
      </w:pPr>
      <w:r>
        <w:t>On constate que la croissance du corail est plus grande pour des pH élevés, là où la solubilité est la plus faible.</w:t>
      </w:r>
    </w:p>
    <w:p w:rsidR="00567D2F" w:rsidRDefault="00567D2F" w:rsidP="00567D2F">
      <w:pPr>
        <w:pStyle w:val="Sansinterligne"/>
        <w:rPr>
          <w:i/>
          <w:iCs/>
        </w:rPr>
      </w:pPr>
      <w:r>
        <w:rPr>
          <w:i/>
          <w:iCs/>
        </w:rPr>
        <w:t>La gamme de pH présentée sur le graphe est limitée car il s’agit d’êtres vivants.</w:t>
      </w:r>
    </w:p>
    <w:p w:rsidR="00567D2F" w:rsidRDefault="00134BF1" w:rsidP="00567D2F">
      <w:pPr>
        <w:pStyle w:val="Sansinterligne"/>
        <w:rPr>
          <w:i/>
          <w:iCs/>
          <w:color w:val="00B0F0"/>
        </w:rPr>
      </w:pPr>
      <w:r>
        <w:rPr>
          <w:i/>
          <w:iCs/>
          <w:color w:val="00B0F0"/>
        </w:rPr>
        <w:t>Il faut noter aussi que les algues permettant la formation du coquillage meurent en milieu acide. Donc il n’y a pas que l’effet de la solubilité.</w:t>
      </w:r>
    </w:p>
    <w:p w:rsidR="00134BF1" w:rsidRDefault="00134BF1" w:rsidP="00567D2F">
      <w:pPr>
        <w:pStyle w:val="Sansinterligne"/>
        <w:rPr>
          <w:i/>
          <w:iCs/>
          <w:color w:val="00B0F0"/>
        </w:rPr>
      </w:pPr>
    </w:p>
    <w:p w:rsidR="00134BF1" w:rsidRDefault="00134BF1" w:rsidP="00134BF1">
      <w:pPr>
        <w:pStyle w:val="Sansinterligne"/>
        <w:pBdr>
          <w:left w:val="thinThickSmallGap" w:sz="24" w:space="4" w:color="00B050"/>
        </w:pBdr>
        <w:rPr>
          <w:b/>
          <w:bCs/>
          <w:smallCaps/>
        </w:rPr>
      </w:pPr>
      <w:r>
        <w:rPr>
          <w:b/>
          <w:bCs/>
          <w:smallCaps/>
        </w:rPr>
        <w:t>Transition : Nous avons vu comment décrire les équilibres de solubilisation à l’aide de la constante Ks ainsi qu’avec la notion de solubilité. On a vu également différents facteurs influençant cet équilibre : température, pH et d’autres que nous n’avons pas vu comme le solvant. Mais comment le chimiste ou l’industriel peut-il se servir de cet équilibre ?</w:t>
      </w:r>
    </w:p>
    <w:p w:rsidR="00134BF1" w:rsidRPr="00255930" w:rsidRDefault="00134BF1" w:rsidP="00134BF1"/>
    <w:p w:rsidR="00C200CD" w:rsidRPr="00255930" w:rsidRDefault="00C200CD" w:rsidP="00255930">
      <w:pPr>
        <w:pStyle w:val="Paragraphedeliste"/>
        <w:numPr>
          <w:ilvl w:val="0"/>
          <w:numId w:val="39"/>
        </w:numPr>
        <w:rPr>
          <w:b/>
          <w:bCs/>
        </w:rPr>
      </w:pPr>
      <w:r w:rsidRPr="00255930">
        <w:rPr>
          <w:b/>
          <w:bCs/>
        </w:rPr>
        <w:t>Application : traitements de l’eau</w:t>
      </w:r>
    </w:p>
    <w:p w:rsidR="00FA7EB2" w:rsidRPr="00FA7EB2" w:rsidRDefault="00FA7EB2" w:rsidP="00FA7EB2">
      <w:pPr>
        <w:pStyle w:val="Sansinterligne"/>
      </w:pPr>
      <w:r>
        <w:t>Voir [4] pour tous les traitements d’espèces anioniques et [5] pour les métaux</w:t>
      </w:r>
    </w:p>
    <w:p w:rsidR="00FA7EB2" w:rsidRDefault="00FA7EB2" w:rsidP="00C200CD">
      <w:pPr>
        <w:pStyle w:val="Sansinterligne"/>
      </w:pPr>
    </w:p>
    <w:p w:rsidR="00C200CD" w:rsidRDefault="00E205E8" w:rsidP="00C200CD">
      <w:pPr>
        <w:pStyle w:val="Sansinterligne"/>
      </w:pPr>
      <w:r>
        <w:t>Une eau est caractérisée par :</w:t>
      </w:r>
    </w:p>
    <w:p w:rsidR="00E205E8" w:rsidRDefault="00E205E8" w:rsidP="00C200CD">
      <w:pPr>
        <w:pStyle w:val="Sansinterligne"/>
      </w:pPr>
      <w:r>
        <w:tab/>
        <w:t>Sa température</w:t>
      </w:r>
    </w:p>
    <w:p w:rsidR="00E205E8" w:rsidRDefault="00E205E8" w:rsidP="00C200CD">
      <w:pPr>
        <w:pStyle w:val="Sansinterligne"/>
      </w:pPr>
      <w:r>
        <w:tab/>
        <w:t>Sa teneur en ions Ca</w:t>
      </w:r>
      <w:r>
        <w:rPr>
          <w:vertAlign w:val="superscript"/>
        </w:rPr>
        <w:t>2+</w:t>
      </w:r>
      <w:r>
        <w:t xml:space="preserve"> et Mg</w:t>
      </w:r>
      <w:r>
        <w:rPr>
          <w:vertAlign w:val="superscript"/>
        </w:rPr>
        <w:t>2+</w:t>
      </w:r>
      <w:r>
        <w:t xml:space="preserve"> (dont les sels sont peu solubles)</w:t>
      </w:r>
    </w:p>
    <w:p w:rsidR="00E205E8" w:rsidRDefault="00E205E8" w:rsidP="00C200CD">
      <w:pPr>
        <w:pStyle w:val="Sansinterligne"/>
      </w:pPr>
      <w:r>
        <w:tab/>
      </w:r>
      <w:r w:rsidR="0002631B">
        <w:t>Le pH</w:t>
      </w:r>
    </w:p>
    <w:p w:rsidR="0002631B" w:rsidRDefault="0002631B" w:rsidP="00C200CD">
      <w:pPr>
        <w:pStyle w:val="Sansinterligne"/>
      </w:pPr>
    </w:p>
    <w:p w:rsidR="0002631B" w:rsidRDefault="0002631B" w:rsidP="00C200CD">
      <w:pPr>
        <w:pStyle w:val="Sansinterligne"/>
      </w:pPr>
      <w:r>
        <w:t xml:space="preserve">On définit ainsi le </w:t>
      </w:r>
      <w:r>
        <w:rPr>
          <w:i/>
          <w:iCs/>
        </w:rPr>
        <w:t>degré français</w:t>
      </w:r>
      <w:r>
        <w:t xml:space="preserve"> comme étant l’unité de titre hydrotimétrique caractérisant la </w:t>
      </w:r>
      <w:r>
        <w:rPr>
          <w:i/>
          <w:iCs/>
        </w:rPr>
        <w:t>dureté</w:t>
      </w:r>
      <w:r>
        <w:t xml:space="preserve"> de l’eau, c’est-à-dire sa teneur en ions calcium et magnésium. Une eau dont le TH est en dessous de 20°f est douce et une eau est considéré comme trop dure au-dessus de 35°f. </w:t>
      </w:r>
    </w:p>
    <w:p w:rsidR="0002631B" w:rsidRDefault="0002631B" w:rsidP="00C200CD">
      <w:pPr>
        <w:pStyle w:val="Sansinterligne"/>
        <w:rPr>
          <w:i/>
          <w:iCs/>
          <w:color w:val="00B0F0"/>
        </w:rPr>
      </w:pPr>
      <w:r>
        <w:rPr>
          <w:i/>
          <w:iCs/>
          <w:color w:val="00B0F0"/>
        </w:rPr>
        <w:t>On distingue le titre alcalimétrique qui permet de connaitre les teneurs en carbonates et bases fortes dans l’eau. Dans ce cadre, 1°f = 3,4mg/L de HO</w:t>
      </w:r>
      <w:r>
        <w:rPr>
          <w:i/>
          <w:iCs/>
          <w:color w:val="00B0F0"/>
          <w:vertAlign w:val="superscript"/>
        </w:rPr>
        <w:t>-</w:t>
      </w:r>
      <w:r>
        <w:rPr>
          <w:i/>
          <w:iCs/>
          <w:color w:val="00B0F0"/>
        </w:rPr>
        <w:t xml:space="preserve"> = 6,0 mg/L d’ion carbonate CO</w:t>
      </w:r>
      <w:r>
        <w:rPr>
          <w:i/>
          <w:iCs/>
          <w:color w:val="00B0F0"/>
          <w:vertAlign w:val="subscript"/>
        </w:rPr>
        <w:t>3</w:t>
      </w:r>
      <w:r>
        <w:rPr>
          <w:i/>
          <w:iCs/>
          <w:color w:val="00B0F0"/>
          <w:vertAlign w:val="superscript"/>
        </w:rPr>
        <w:t>2-</w:t>
      </w:r>
      <w:r>
        <w:rPr>
          <w:i/>
          <w:iCs/>
          <w:color w:val="00B0F0"/>
        </w:rPr>
        <w:t>.</w:t>
      </w:r>
    </w:p>
    <w:p w:rsidR="0002631B" w:rsidRDefault="0002631B" w:rsidP="00C200CD">
      <w:pPr>
        <w:pStyle w:val="Sansinterligne"/>
        <w:rPr>
          <w:i/>
          <w:iCs/>
          <w:color w:val="00B0F0"/>
        </w:rPr>
      </w:pPr>
      <w:r>
        <w:rPr>
          <w:i/>
          <w:iCs/>
          <w:color w:val="00B0F0"/>
        </w:rPr>
        <w:t>Et le titre alcalimétrique complet (TAC) qui permet de connaitre la teneur en hydroxydes, carbonates et bicarbonates. Dans ce cadre, 1°f = 3,4 mg/L de HO</w:t>
      </w:r>
      <w:r>
        <w:rPr>
          <w:i/>
          <w:iCs/>
          <w:color w:val="00B0F0"/>
          <w:vertAlign w:val="superscript"/>
        </w:rPr>
        <w:t>-</w:t>
      </w:r>
      <w:r>
        <w:rPr>
          <w:i/>
          <w:iCs/>
          <w:color w:val="00B0F0"/>
        </w:rPr>
        <w:t xml:space="preserve"> et 12,2 mg/L d’ion hydrogénocarbonate HCO</w:t>
      </w:r>
      <w:r>
        <w:rPr>
          <w:i/>
          <w:iCs/>
          <w:color w:val="00B0F0"/>
          <w:vertAlign w:val="subscript"/>
        </w:rPr>
        <w:t>3</w:t>
      </w:r>
      <w:r>
        <w:rPr>
          <w:i/>
          <w:iCs/>
          <w:color w:val="00B0F0"/>
          <w:vertAlign w:val="superscript"/>
        </w:rPr>
        <w:t>-</w:t>
      </w:r>
      <w:r>
        <w:rPr>
          <w:i/>
          <w:iCs/>
          <w:color w:val="00B0F0"/>
        </w:rPr>
        <w:t>.</w:t>
      </w:r>
    </w:p>
    <w:p w:rsidR="0002631B" w:rsidRDefault="0002631B" w:rsidP="00C200CD">
      <w:pPr>
        <w:pStyle w:val="Sansinterligne"/>
        <w:rPr>
          <w:i/>
          <w:iCs/>
          <w:color w:val="00B0F0"/>
        </w:rPr>
      </w:pPr>
    </w:p>
    <w:p w:rsidR="0002631B" w:rsidRDefault="0002631B" w:rsidP="0002631B">
      <w:pPr>
        <w:pStyle w:val="Sansinterligne"/>
      </w:pPr>
      <w:r>
        <w:t xml:space="preserve">Comment traiter l’eau et notamment se débarrasser des métaux. Pour se faire, on modifie le pH afin de former des précipités, par exemple </w:t>
      </w:r>
      <m:oMath>
        <m:r>
          <w:rPr>
            <w:rFonts w:ascii="Cambria Math" w:hAnsi="Cambria Math"/>
          </w:rPr>
          <m:t>P</m:t>
        </m:r>
        <m:sSubSup>
          <m:sSubSupPr>
            <m:ctrlPr>
              <w:rPr>
                <w:rFonts w:ascii="Cambria Math" w:hAnsi="Cambria Math"/>
                <w:i/>
              </w:rPr>
            </m:ctrlPr>
          </m:sSubSupPr>
          <m:e>
            <m:r>
              <w:rPr>
                <w:rFonts w:ascii="Cambria Math" w:hAnsi="Cambria Math"/>
              </w:rPr>
              <m:t>b</m:t>
            </m:r>
          </m:e>
          <m:sub>
            <m:r>
              <w:rPr>
                <w:rFonts w:ascii="Cambria Math" w:hAnsi="Cambria Math"/>
              </w:rPr>
              <m:t>'aq)</m:t>
            </m:r>
          </m:sub>
          <m:sup>
            <m:r>
              <w:rPr>
                <w:rFonts w:ascii="Cambria Math" w:hAnsi="Cambria Math"/>
              </w:rPr>
              <m:t>2+</m:t>
            </m:r>
          </m:sup>
        </m:sSubSup>
        <m:r>
          <w:rPr>
            <w:rFonts w:ascii="Cambria Math" w:hAnsi="Cambria Math"/>
          </w:rPr>
          <m:t>+2H</m:t>
        </m:r>
        <m:sSubSup>
          <m:sSubSupPr>
            <m:ctrlPr>
              <w:rPr>
                <w:rFonts w:ascii="Cambria Math" w:hAnsi="Cambria Math"/>
                <w:i/>
              </w:rPr>
            </m:ctrlPr>
          </m:sSubSupPr>
          <m:e>
            <m:r>
              <w:rPr>
                <w:rFonts w:ascii="Cambria Math" w:hAnsi="Cambria Math"/>
              </w:rPr>
              <m:t>O</m:t>
            </m:r>
          </m:e>
          <m:sub>
            <m:r>
              <w:rPr>
                <w:rFonts w:ascii="Cambria Math" w:hAnsi="Cambria Math"/>
              </w:rPr>
              <m:t>(aq)</m:t>
            </m:r>
          </m:sub>
          <m:sup>
            <m:r>
              <w:rPr>
                <w:rFonts w:ascii="Cambria Math" w:hAnsi="Cambria Math"/>
              </w:rPr>
              <m:t>-</m:t>
            </m:r>
          </m:sup>
        </m:sSubSup>
        <m:r>
          <w:rPr>
            <w:rFonts w:ascii="Cambria Math" w:hAnsi="Cambria Math"/>
          </w:rPr>
          <m:t>=Pb</m:t>
        </m:r>
        <m:sSub>
          <m:sSubPr>
            <m:ctrlPr>
              <w:rPr>
                <w:rFonts w:ascii="Cambria Math" w:eastAsiaTheme="minorEastAsia" w:hAnsi="Cambria Math"/>
                <w:i/>
              </w:rPr>
            </m:ctrlPr>
          </m:sSubPr>
          <m:e>
            <m:sSub>
              <m:sSubPr>
                <m:ctrlPr>
                  <w:rPr>
                    <w:rFonts w:ascii="Cambria Math" w:hAnsi="Cambria Math"/>
                    <w:i/>
                  </w:rPr>
                </m:ctrlPr>
              </m:sSubPr>
              <m:e>
                <m:d>
                  <m:dPr>
                    <m:ctrlPr>
                      <w:rPr>
                        <w:rFonts w:ascii="Cambria Math" w:hAnsi="Cambria Math"/>
                        <w:i/>
                      </w:rPr>
                    </m:ctrlPr>
                  </m:dPr>
                  <m:e>
                    <m:r>
                      <w:rPr>
                        <w:rFonts w:ascii="Cambria Math" w:hAnsi="Cambria Math"/>
                      </w:rPr>
                      <m:t>OH</m:t>
                    </m:r>
                  </m:e>
                </m:d>
              </m:e>
              <m:sub>
                <m:r>
                  <w:rPr>
                    <w:rFonts w:ascii="Cambria Math" w:hAnsi="Cambria Math"/>
                  </w:rPr>
                  <m:t>2</m:t>
                </m:r>
              </m:sub>
            </m:sSub>
            <m:ctrlPr>
              <w:rPr>
                <w:rFonts w:ascii="Cambria Math" w:hAnsi="Cambria Math"/>
                <w:i/>
              </w:rPr>
            </m:ctrlPr>
          </m:e>
          <m:sub>
            <m:r>
              <w:rPr>
                <w:rFonts w:ascii="Cambria Math" w:hAnsi="Cambria Math"/>
              </w:rPr>
              <m:t>(s)</m:t>
            </m:r>
          </m:sub>
        </m:sSub>
      </m:oMath>
      <w:r w:rsidR="002726E9">
        <w:t>.</w:t>
      </w:r>
    </w:p>
    <w:p w:rsidR="002726E9" w:rsidRDefault="002726E9" w:rsidP="0002631B">
      <w:pPr>
        <w:pStyle w:val="Sansinterligne"/>
      </w:pPr>
      <w:r>
        <w:t xml:space="preserve">On se débarrasse des sulfates en ajoutant de la chaux </w:t>
      </w:r>
      <w:proofErr w:type="spellStart"/>
      <w:r>
        <w:t>CaO</w:t>
      </w:r>
      <w:proofErr w:type="spellEnd"/>
      <w:r>
        <w:t>, fournissant des ions Ca</w:t>
      </w:r>
      <w:r>
        <w:rPr>
          <w:vertAlign w:val="superscript"/>
        </w:rPr>
        <w:t>2+</w:t>
      </w:r>
      <w:r>
        <w:t xml:space="preserve"> par la réaction </w:t>
      </w:r>
    </w:p>
    <w:p w:rsidR="002726E9" w:rsidRPr="002726E9" w:rsidRDefault="002726E9" w:rsidP="0002631B">
      <w:pPr>
        <w:pStyle w:val="Sansinterligne"/>
        <w:rPr>
          <w:rFonts w:eastAsiaTheme="minorEastAsia"/>
        </w:rPr>
      </w:pPr>
      <m:oMathPara>
        <m:oMath>
          <m:r>
            <w:rPr>
              <w:rFonts w:ascii="Cambria Math" w:hAnsi="Cambria Math"/>
            </w:rPr>
            <m:t>S</m:t>
          </m:r>
          <m:sSub>
            <m:sSubPr>
              <m:ctrlPr>
                <w:rPr>
                  <w:rFonts w:ascii="Cambria Math" w:hAnsi="Cambria Math"/>
                  <w:i/>
                </w:rPr>
              </m:ctrlPr>
            </m:sSubPr>
            <m:e>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e>
            <m:sub>
              <m:r>
                <w:rPr>
                  <w:rFonts w:ascii="Cambria Math" w:hAnsi="Cambria Math"/>
                </w:rPr>
                <m:t>(aq)</m:t>
              </m:r>
            </m:sub>
          </m:sSub>
          <m:r>
            <w:rPr>
              <w:rFonts w:ascii="Cambria Math" w:hAnsi="Cambria Math"/>
            </w:rPr>
            <m:t>+C</m:t>
          </m:r>
          <m:sSubSup>
            <m:sSubSupPr>
              <m:ctrlPr>
                <w:rPr>
                  <w:rFonts w:ascii="Cambria Math" w:hAnsi="Cambria Math"/>
                  <w:i/>
                </w:rPr>
              </m:ctrlPr>
            </m:sSubSupPr>
            <m:e>
              <m:r>
                <w:rPr>
                  <w:rFonts w:ascii="Cambria Math" w:hAnsi="Cambria Math"/>
                </w:rPr>
                <m:t>a</m:t>
              </m:r>
            </m:e>
            <m:sub>
              <m:r>
                <w:rPr>
                  <w:rFonts w:ascii="Cambria Math" w:hAnsi="Cambria Math"/>
                </w:rPr>
                <m:t>(aq)</m:t>
              </m:r>
            </m:sub>
            <m:sup>
              <m:r>
                <w:rPr>
                  <w:rFonts w:ascii="Cambria Math" w:hAnsi="Cambria Math"/>
                </w:rPr>
                <m:t>2+</m:t>
              </m:r>
            </m:sup>
          </m:sSubSup>
          <m:r>
            <w:rPr>
              <w:rFonts w:ascii="Cambria Math" w:hAnsi="Cambria Math"/>
            </w:rPr>
            <m:t>=CaS</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4</m:t>
                  </m:r>
                </m:sub>
              </m:sSub>
            </m:e>
            <m:sub>
              <m:r>
                <w:rPr>
                  <w:rFonts w:ascii="Cambria Math" w:hAnsi="Cambria Math"/>
                </w:rPr>
                <m:t>(s)</m:t>
              </m:r>
            </m:sub>
          </m:sSub>
        </m:oMath>
      </m:oMathPara>
    </w:p>
    <w:p w:rsidR="002726E9" w:rsidRDefault="002726E9" w:rsidP="0002631B">
      <w:pPr>
        <w:pStyle w:val="Sansinterligne"/>
        <w:rPr>
          <w:rFonts w:eastAsiaTheme="minorEastAsia"/>
          <w:i/>
          <w:iCs/>
          <w:color w:val="00B0F0"/>
        </w:rPr>
      </w:pPr>
      <w:r>
        <w:rPr>
          <w:rFonts w:eastAsiaTheme="minorEastAsia"/>
          <w:i/>
          <w:iCs/>
          <w:color w:val="00B0F0"/>
        </w:rPr>
        <w:t>Remarque : en réalité CaSO</w:t>
      </w:r>
      <w:r>
        <w:rPr>
          <w:rFonts w:eastAsiaTheme="minorEastAsia"/>
          <w:i/>
          <w:iCs/>
          <w:color w:val="00B0F0"/>
          <w:vertAlign w:val="subscript"/>
        </w:rPr>
        <w:t>4</w:t>
      </w:r>
      <w:r>
        <w:rPr>
          <w:rFonts w:eastAsiaTheme="minorEastAsia"/>
          <w:i/>
          <w:iCs/>
          <w:color w:val="00B0F0"/>
        </w:rPr>
        <w:t xml:space="preserve"> se trouve en solution sous la forme d’un complexe CaSO</w:t>
      </w:r>
      <w:r>
        <w:rPr>
          <w:rFonts w:eastAsiaTheme="minorEastAsia"/>
          <w:i/>
          <w:iCs/>
          <w:color w:val="00B0F0"/>
          <w:vertAlign w:val="subscript"/>
        </w:rPr>
        <w:t xml:space="preserve">4 </w:t>
      </w:r>
      <w:r>
        <w:rPr>
          <w:rFonts w:eastAsiaTheme="minorEastAsia"/>
          <w:i/>
          <w:iCs/>
          <w:color w:val="00B0F0"/>
        </w:rPr>
        <w:t>- 2 H</w:t>
      </w:r>
      <w:r>
        <w:rPr>
          <w:rFonts w:eastAsiaTheme="minorEastAsia"/>
          <w:i/>
          <w:iCs/>
          <w:color w:val="00B0F0"/>
          <w:vertAlign w:val="subscript"/>
        </w:rPr>
        <w:t>2</w:t>
      </w:r>
      <w:r>
        <w:rPr>
          <w:rFonts w:eastAsiaTheme="minorEastAsia"/>
          <w:i/>
          <w:iCs/>
          <w:color w:val="00B0F0"/>
        </w:rPr>
        <w:t xml:space="preserve">O : </w:t>
      </w:r>
    </w:p>
    <w:p w:rsidR="002726E9" w:rsidRDefault="002726E9" w:rsidP="0002631B">
      <w:pPr>
        <w:pStyle w:val="Sansinterligne"/>
        <w:rPr>
          <w:rFonts w:eastAsiaTheme="minorEastAsia"/>
          <w:i/>
          <w:iCs/>
          <w:color w:val="00B0F0"/>
        </w:rPr>
      </w:pPr>
      <w:r>
        <w:rPr>
          <w:rFonts w:eastAsiaTheme="minorEastAsia"/>
          <w:i/>
          <w:iCs/>
          <w:color w:val="00B0F0"/>
        </w:rPr>
        <w:lastRenderedPageBreak/>
        <w:t xml:space="preserve">Il est issu de la réaction entre de la </w:t>
      </w:r>
      <w:proofErr w:type="spellStart"/>
      <w:r>
        <w:rPr>
          <w:rFonts w:eastAsiaTheme="minorEastAsia"/>
          <w:i/>
          <w:iCs/>
          <w:color w:val="00B0F0"/>
        </w:rPr>
        <w:t>bassanite</w:t>
      </w:r>
      <w:proofErr w:type="spellEnd"/>
      <w:r>
        <w:rPr>
          <w:rFonts w:eastAsiaTheme="minorEastAsia"/>
          <w:i/>
          <w:iCs/>
          <w:color w:val="00B0F0"/>
        </w:rPr>
        <w:t xml:space="preserve"> (composé </w:t>
      </w:r>
      <w:proofErr w:type="spellStart"/>
      <w:r>
        <w:rPr>
          <w:rFonts w:eastAsiaTheme="minorEastAsia"/>
          <w:i/>
          <w:iCs/>
          <w:color w:val="00B0F0"/>
        </w:rPr>
        <w:t>h</w:t>
      </w:r>
      <w:r w:rsidR="00B65063">
        <w:rPr>
          <w:rFonts w:eastAsiaTheme="minorEastAsia"/>
          <w:i/>
          <w:iCs/>
          <w:color w:val="00B0F0"/>
        </w:rPr>
        <w:t>é</w:t>
      </w:r>
      <w:r>
        <w:rPr>
          <w:rFonts w:eastAsiaTheme="minorEastAsia"/>
          <w:i/>
          <w:iCs/>
          <w:color w:val="00B0F0"/>
        </w:rPr>
        <w:t>mihydraté</w:t>
      </w:r>
      <w:proofErr w:type="spellEnd"/>
      <w:r>
        <w:rPr>
          <w:rFonts w:eastAsiaTheme="minorEastAsia"/>
          <w:i/>
          <w:iCs/>
          <w:color w:val="00B0F0"/>
        </w:rPr>
        <w:t xml:space="preserve"> – CaSO</w:t>
      </w:r>
      <w:r>
        <w:rPr>
          <w:rFonts w:eastAsiaTheme="minorEastAsia"/>
          <w:i/>
          <w:iCs/>
          <w:color w:val="00B0F0"/>
          <w:vertAlign w:val="subscript"/>
        </w:rPr>
        <w:t>4</w:t>
      </w:r>
      <w:r>
        <w:rPr>
          <w:rFonts w:eastAsiaTheme="minorEastAsia"/>
          <w:i/>
          <w:iCs/>
          <w:color w:val="00B0F0"/>
        </w:rPr>
        <w:t xml:space="preserve"> -1/2 H</w:t>
      </w:r>
      <w:r>
        <w:rPr>
          <w:rFonts w:eastAsiaTheme="minorEastAsia"/>
          <w:i/>
          <w:iCs/>
          <w:color w:val="00B0F0"/>
          <w:vertAlign w:val="subscript"/>
        </w:rPr>
        <w:t>2</w:t>
      </w:r>
      <w:r>
        <w:rPr>
          <w:rFonts w:eastAsiaTheme="minorEastAsia"/>
          <w:i/>
          <w:iCs/>
          <w:color w:val="00B0F0"/>
        </w:rPr>
        <w:t xml:space="preserve">O) et de l’eau liquide ou vapeur). </w:t>
      </w:r>
    </w:p>
    <w:p w:rsidR="00FA7EB2" w:rsidRDefault="00FA7EB2" w:rsidP="0002631B">
      <w:pPr>
        <w:pStyle w:val="Sansinterligne"/>
        <w:rPr>
          <w:rFonts w:eastAsiaTheme="minorEastAsia"/>
          <w:i/>
          <w:iCs/>
          <w:color w:val="00B0F0"/>
        </w:rPr>
      </w:pPr>
      <w:r>
        <w:rPr>
          <w:rFonts w:eastAsiaTheme="minorEastAsia"/>
          <w:i/>
          <w:iCs/>
          <w:color w:val="00B0F0"/>
        </w:rPr>
        <w:t xml:space="preserve">Ce procédé permet également de retirer d’éventuels fluorure </w:t>
      </w:r>
      <m:oMath>
        <m:r>
          <w:rPr>
            <w:rFonts w:ascii="Cambria Math" w:eastAsiaTheme="minorEastAsia" w:hAnsi="Cambria Math"/>
            <w:color w:val="00B0F0"/>
          </w:rPr>
          <m:t>2</m:t>
        </m:r>
        <m:sSup>
          <m:sSupPr>
            <m:ctrlPr>
              <w:rPr>
                <w:rFonts w:ascii="Cambria Math" w:eastAsiaTheme="minorEastAsia" w:hAnsi="Cambria Math"/>
                <w:i/>
                <w:iCs/>
                <w:color w:val="00B0F0"/>
              </w:rPr>
            </m:ctrlPr>
          </m:sSupPr>
          <m:e>
            <m:r>
              <w:rPr>
                <w:rFonts w:ascii="Cambria Math" w:eastAsiaTheme="minorEastAsia" w:hAnsi="Cambria Math"/>
                <w:color w:val="00B0F0"/>
              </w:rPr>
              <m:t>F</m:t>
            </m:r>
          </m:e>
          <m:sup>
            <m:r>
              <w:rPr>
                <w:rFonts w:ascii="Cambria Math" w:eastAsiaTheme="minorEastAsia" w:hAnsi="Cambria Math"/>
                <w:color w:val="00B0F0"/>
              </w:rPr>
              <m:t>-</m:t>
            </m:r>
          </m:sup>
        </m:sSup>
        <m:r>
          <w:rPr>
            <w:rFonts w:ascii="Cambria Math" w:eastAsiaTheme="minorEastAsia" w:hAnsi="Cambria Math"/>
            <w:color w:val="00B0F0"/>
          </w:rPr>
          <m:t>+C</m:t>
        </m:r>
        <m:sSup>
          <m:sSupPr>
            <m:ctrlPr>
              <w:rPr>
                <w:rFonts w:ascii="Cambria Math" w:eastAsiaTheme="minorEastAsia" w:hAnsi="Cambria Math"/>
                <w:i/>
                <w:iCs/>
                <w:color w:val="00B0F0"/>
              </w:rPr>
            </m:ctrlPr>
          </m:sSupPr>
          <m:e>
            <m:r>
              <w:rPr>
                <w:rFonts w:ascii="Cambria Math" w:eastAsiaTheme="minorEastAsia" w:hAnsi="Cambria Math"/>
                <w:color w:val="00B0F0"/>
              </w:rPr>
              <m:t>a</m:t>
            </m:r>
          </m:e>
          <m:sup>
            <m:r>
              <w:rPr>
                <w:rFonts w:ascii="Cambria Math" w:eastAsiaTheme="minorEastAsia" w:hAnsi="Cambria Math"/>
                <w:color w:val="00B0F0"/>
              </w:rPr>
              <m:t>2+</m:t>
            </m:r>
          </m:sup>
        </m:sSup>
        <m:r>
          <w:rPr>
            <w:rFonts w:ascii="Cambria Math" w:eastAsiaTheme="minorEastAsia" w:hAnsi="Cambria Math"/>
            <w:color w:val="00B0F0"/>
          </w:rPr>
          <m:t>=Ca</m:t>
        </m:r>
        <m:sSub>
          <m:sSubPr>
            <m:ctrlPr>
              <w:rPr>
                <w:rFonts w:ascii="Cambria Math" w:eastAsiaTheme="minorEastAsia" w:hAnsi="Cambria Math"/>
                <w:i/>
                <w:iCs/>
                <w:color w:val="00B0F0"/>
              </w:rPr>
            </m:ctrlPr>
          </m:sSubPr>
          <m:e>
            <m:r>
              <w:rPr>
                <w:rFonts w:ascii="Cambria Math" w:eastAsiaTheme="minorEastAsia" w:hAnsi="Cambria Math"/>
                <w:color w:val="00B0F0"/>
              </w:rPr>
              <m:t>F</m:t>
            </m:r>
          </m:e>
          <m:sub>
            <m:r>
              <w:rPr>
                <w:rFonts w:ascii="Cambria Math" w:eastAsiaTheme="minorEastAsia" w:hAnsi="Cambria Math"/>
                <w:color w:val="00B0F0"/>
              </w:rPr>
              <m:t>2</m:t>
            </m:r>
          </m:sub>
        </m:sSub>
      </m:oMath>
    </w:p>
    <w:p w:rsidR="00FA7EB2" w:rsidRPr="00FA7EB2" w:rsidRDefault="00FA7EB2" w:rsidP="0002631B">
      <w:pPr>
        <w:pStyle w:val="Sansinterligne"/>
        <w:rPr>
          <w:rFonts w:eastAsiaTheme="minorEastAsia"/>
          <w:i/>
          <w:iCs/>
          <w:color w:val="00B0F0"/>
        </w:rPr>
      </w:pPr>
      <w:r>
        <w:rPr>
          <w:rFonts w:eastAsiaTheme="minorEastAsia"/>
          <w:i/>
          <w:iCs/>
          <w:color w:val="00B0F0"/>
        </w:rPr>
        <w:t>Un traitement à la saumure CaCl</w:t>
      </w:r>
      <w:r>
        <w:rPr>
          <w:rFonts w:eastAsiaTheme="minorEastAsia"/>
          <w:i/>
          <w:iCs/>
          <w:color w:val="00B0F0"/>
          <w:vertAlign w:val="subscript"/>
        </w:rPr>
        <w:t>2</w:t>
      </w:r>
      <w:r>
        <w:rPr>
          <w:rFonts w:eastAsiaTheme="minorEastAsia"/>
          <w:i/>
          <w:iCs/>
          <w:color w:val="00B0F0"/>
        </w:rPr>
        <w:t xml:space="preserve"> peut également être réalisé. </w:t>
      </w:r>
    </w:p>
    <w:p w:rsidR="002726E9" w:rsidRDefault="002726E9" w:rsidP="0002631B">
      <w:pPr>
        <w:pStyle w:val="Sansinterligne"/>
        <w:rPr>
          <w:rFonts w:eastAsiaTheme="minorEastAsia"/>
          <w:i/>
          <w:iCs/>
          <w:color w:val="00B0F0"/>
        </w:rPr>
      </w:pPr>
    </w:p>
    <w:p w:rsidR="0014306D" w:rsidRDefault="0014306D" w:rsidP="0002631B">
      <w:pPr>
        <w:pStyle w:val="Sansinterligne"/>
        <w:rPr>
          <w:rFonts w:eastAsiaTheme="minorEastAsia"/>
          <w:i/>
          <w:iCs/>
          <w:color w:val="00B0F0"/>
        </w:rPr>
      </w:pPr>
    </w:p>
    <w:p w:rsidR="002726E9" w:rsidRDefault="002726E9" w:rsidP="0002631B">
      <w:pPr>
        <w:pStyle w:val="Sansinterligne"/>
        <w:rPr>
          <w:rFonts w:eastAsiaTheme="minorEastAsia"/>
          <w:i/>
          <w:iCs/>
          <w:color w:val="00B0F0"/>
        </w:rPr>
      </w:pPr>
      <w:r>
        <w:rPr>
          <w:rFonts w:eastAsiaTheme="minorEastAsia"/>
          <w:i/>
          <w:iCs/>
          <w:color w:val="00B0F0"/>
        </w:rPr>
        <w:t>Le chauffage de CaCO</w:t>
      </w:r>
      <w:r>
        <w:rPr>
          <w:rFonts w:eastAsiaTheme="minorEastAsia"/>
          <w:i/>
          <w:iCs/>
          <w:color w:val="00B0F0"/>
          <w:vertAlign w:val="subscript"/>
        </w:rPr>
        <w:t>3</w:t>
      </w:r>
      <w:r>
        <w:rPr>
          <w:rFonts w:eastAsiaTheme="minorEastAsia"/>
          <w:i/>
          <w:iCs/>
          <w:color w:val="00B0F0"/>
        </w:rPr>
        <w:t xml:space="preserve"> donne </w:t>
      </w:r>
      <w:proofErr w:type="spellStart"/>
      <w:r>
        <w:rPr>
          <w:rFonts w:eastAsiaTheme="minorEastAsia"/>
          <w:i/>
          <w:iCs/>
          <w:color w:val="00B0F0"/>
        </w:rPr>
        <w:t>CaO</w:t>
      </w:r>
      <w:proofErr w:type="spellEnd"/>
      <w:r>
        <w:rPr>
          <w:rFonts w:eastAsiaTheme="minorEastAsia"/>
          <w:i/>
          <w:iCs/>
          <w:color w:val="00B0F0"/>
        </w:rPr>
        <w:t xml:space="preserve"> (solide) et du dioxyde de carbone</w:t>
      </w:r>
    </w:p>
    <w:p w:rsidR="002726E9" w:rsidRPr="002726E9" w:rsidRDefault="002726E9" w:rsidP="002726E9">
      <w:pPr>
        <w:pStyle w:val="Sansinterligne"/>
        <w:jc w:val="center"/>
        <w:rPr>
          <w:rFonts w:eastAsiaTheme="minorEastAsia"/>
          <w:i/>
          <w:iCs/>
          <w:color w:val="00B0F0"/>
        </w:rPr>
      </w:pPr>
      <m:oMathPara>
        <m:oMath>
          <m:r>
            <w:rPr>
              <w:rFonts w:ascii="Cambria Math" w:eastAsiaTheme="minorEastAsia" w:hAnsi="Cambria Math"/>
              <w:color w:val="00B0F0"/>
            </w:rPr>
            <m:t>CaC</m:t>
          </m:r>
          <m:sSub>
            <m:sSubPr>
              <m:ctrlPr>
                <w:rPr>
                  <w:rFonts w:ascii="Cambria Math" w:eastAsiaTheme="minorEastAsia" w:hAnsi="Cambria Math"/>
                  <w:i/>
                  <w:iCs/>
                  <w:color w:val="00B0F0"/>
                </w:rPr>
              </m:ctrlPr>
            </m:sSubPr>
            <m:e>
              <m:sSub>
                <m:sSubPr>
                  <m:ctrlPr>
                    <w:rPr>
                      <w:rFonts w:ascii="Cambria Math" w:eastAsiaTheme="minorEastAsia" w:hAnsi="Cambria Math"/>
                      <w:i/>
                      <w:iCs/>
                      <w:color w:val="00B0F0"/>
                    </w:rPr>
                  </m:ctrlPr>
                </m:sSubPr>
                <m:e>
                  <m:r>
                    <w:rPr>
                      <w:rFonts w:ascii="Cambria Math" w:eastAsiaTheme="minorEastAsia" w:hAnsi="Cambria Math"/>
                      <w:color w:val="00B0F0"/>
                    </w:rPr>
                    <m:t>o</m:t>
                  </m:r>
                </m:e>
                <m:sub>
                  <m:r>
                    <w:rPr>
                      <w:rFonts w:ascii="Cambria Math" w:eastAsiaTheme="minorEastAsia" w:hAnsi="Cambria Math"/>
                      <w:color w:val="00B0F0"/>
                    </w:rPr>
                    <m:t>3</m:t>
                  </m:r>
                </m:sub>
              </m:sSub>
            </m:e>
            <m:sub>
              <m:r>
                <w:rPr>
                  <w:rFonts w:ascii="Cambria Math" w:eastAsiaTheme="minorEastAsia" w:hAnsi="Cambria Math"/>
                  <w:color w:val="00B0F0"/>
                </w:rPr>
                <m:t>(s)</m:t>
              </m:r>
            </m:sub>
          </m:sSub>
          <m:r>
            <w:rPr>
              <w:rFonts w:ascii="Cambria Math" w:eastAsiaTheme="minorEastAsia" w:hAnsi="Cambria Math"/>
              <w:color w:val="00B0F0"/>
            </w:rPr>
            <m:t>=Ca</m:t>
          </m:r>
          <m:sSub>
            <m:sSubPr>
              <m:ctrlPr>
                <w:rPr>
                  <w:rFonts w:ascii="Cambria Math" w:eastAsiaTheme="minorEastAsia" w:hAnsi="Cambria Math"/>
                  <w:i/>
                  <w:iCs/>
                  <w:color w:val="00B0F0"/>
                </w:rPr>
              </m:ctrlPr>
            </m:sSubPr>
            <m:e>
              <m:r>
                <w:rPr>
                  <w:rFonts w:ascii="Cambria Math" w:eastAsiaTheme="minorEastAsia" w:hAnsi="Cambria Math"/>
                  <w:color w:val="00B0F0"/>
                </w:rPr>
                <m:t>O</m:t>
              </m:r>
            </m:e>
            <m:sub>
              <m:r>
                <w:rPr>
                  <w:rFonts w:ascii="Cambria Math" w:eastAsiaTheme="minorEastAsia" w:hAnsi="Cambria Math"/>
                  <w:color w:val="00B0F0"/>
                </w:rPr>
                <m:t>(s)</m:t>
              </m:r>
            </m:sub>
          </m:sSub>
          <m:r>
            <w:rPr>
              <w:rFonts w:ascii="Cambria Math" w:eastAsiaTheme="minorEastAsia" w:hAnsi="Cambria Math"/>
              <w:color w:val="00B0F0"/>
            </w:rPr>
            <m:t>+C</m:t>
          </m:r>
          <m:sSub>
            <m:sSubPr>
              <m:ctrlPr>
                <w:rPr>
                  <w:rFonts w:ascii="Cambria Math" w:eastAsiaTheme="minorEastAsia" w:hAnsi="Cambria Math"/>
                  <w:i/>
                  <w:iCs/>
                  <w:color w:val="00B0F0"/>
                </w:rPr>
              </m:ctrlPr>
            </m:sSubPr>
            <m:e>
              <m:sSub>
                <m:sSubPr>
                  <m:ctrlPr>
                    <w:rPr>
                      <w:rFonts w:ascii="Cambria Math" w:eastAsiaTheme="minorEastAsia" w:hAnsi="Cambria Math"/>
                      <w:i/>
                      <w:iCs/>
                      <w:color w:val="00B0F0"/>
                    </w:rPr>
                  </m:ctrlPr>
                </m:sSubPr>
                <m:e>
                  <m:r>
                    <w:rPr>
                      <w:rFonts w:ascii="Cambria Math" w:eastAsiaTheme="minorEastAsia" w:hAnsi="Cambria Math"/>
                      <w:color w:val="00B0F0"/>
                    </w:rPr>
                    <m:t>O</m:t>
                  </m:r>
                </m:e>
                <m:sub>
                  <m:r>
                    <w:rPr>
                      <w:rFonts w:ascii="Cambria Math" w:eastAsiaTheme="minorEastAsia" w:hAnsi="Cambria Math"/>
                      <w:color w:val="00B0F0"/>
                    </w:rPr>
                    <m:t>2</m:t>
                  </m:r>
                </m:sub>
              </m:sSub>
            </m:e>
            <m:sub>
              <m:r>
                <w:rPr>
                  <w:rFonts w:ascii="Cambria Math" w:eastAsiaTheme="minorEastAsia" w:hAnsi="Cambria Math"/>
                  <w:color w:val="00B0F0"/>
                </w:rPr>
                <m:t>(g)</m:t>
              </m:r>
            </m:sub>
          </m:sSub>
        </m:oMath>
      </m:oMathPara>
    </w:p>
    <w:p w:rsidR="002726E9" w:rsidRDefault="002726E9" w:rsidP="002726E9">
      <w:pPr>
        <w:pStyle w:val="Sansinterligne"/>
        <w:rPr>
          <w:rFonts w:eastAsiaTheme="minorEastAsia"/>
          <w:i/>
          <w:iCs/>
          <w:color w:val="00B0F0"/>
        </w:rPr>
      </w:pPr>
      <w:r>
        <w:rPr>
          <w:rFonts w:eastAsiaTheme="minorEastAsia"/>
          <w:i/>
          <w:iCs/>
          <w:color w:val="00B0F0"/>
        </w:rPr>
        <w:t>D’où son utilisation comme détecteur de dioxyde de carbone.</w:t>
      </w:r>
    </w:p>
    <w:p w:rsidR="002726E9" w:rsidRDefault="002726E9" w:rsidP="002726E9">
      <w:pPr>
        <w:pStyle w:val="Sansinterligne"/>
        <w:rPr>
          <w:rFonts w:eastAsiaTheme="minorEastAsia"/>
          <w:i/>
          <w:iCs/>
          <w:color w:val="00B0F0"/>
        </w:rPr>
      </w:pPr>
    </w:p>
    <w:p w:rsidR="00FA7EB2" w:rsidRDefault="00FA7EB2" w:rsidP="002726E9">
      <w:pPr>
        <w:pStyle w:val="Sansinterligne"/>
        <w:rPr>
          <w:b/>
          <w:bCs/>
          <w:smallCaps/>
          <w:color w:val="FF0000"/>
        </w:rPr>
      </w:pPr>
    </w:p>
    <w:p w:rsidR="002726E9" w:rsidRDefault="002726E9" w:rsidP="002726E9">
      <w:pPr>
        <w:pStyle w:val="Sansinterligne"/>
        <w:rPr>
          <w:b/>
          <w:bCs/>
          <w:i/>
          <w:iCs/>
          <w:smallCaps/>
          <w:color w:val="00B0F0"/>
        </w:rPr>
      </w:pPr>
      <w:r>
        <w:rPr>
          <w:b/>
          <w:bCs/>
          <w:smallCaps/>
          <w:color w:val="FF0000"/>
        </w:rPr>
        <w:t>Conclusion : Au cours de cette leçon, nous avons vu comment quantifier un équilibre de solubilisation par le biais de la constante K</w:t>
      </w:r>
      <w:r>
        <w:rPr>
          <w:b/>
          <w:bCs/>
          <w:smallCaps/>
          <w:color w:val="FF0000"/>
          <w:vertAlign w:val="subscript"/>
        </w:rPr>
        <w:t>s</w:t>
      </w:r>
      <w:r>
        <w:rPr>
          <w:b/>
          <w:bCs/>
          <w:smallCaps/>
          <w:color w:val="FF0000"/>
        </w:rPr>
        <w:t xml:space="preserve"> et de la solubilité. Nous avons mis en évidence différentes facteurs qui pouvaient influencer cet équilibre : température, pH, solvant</w:t>
      </w:r>
      <w:r w:rsidR="00CA4542">
        <w:rPr>
          <w:b/>
          <w:bCs/>
          <w:smallCaps/>
          <w:color w:val="FF0000"/>
        </w:rPr>
        <w:t xml:space="preserve">. </w:t>
      </w:r>
      <w:r w:rsidR="00CA4542">
        <w:rPr>
          <w:b/>
          <w:bCs/>
          <w:i/>
          <w:iCs/>
          <w:smallCaps/>
          <w:color w:val="00B0F0"/>
        </w:rPr>
        <w:t>Un autre facteur important est le phénomène de complexation possible.</w:t>
      </w:r>
    </w:p>
    <w:p w:rsidR="00CA4542" w:rsidRPr="00CA4542" w:rsidRDefault="00CA4542" w:rsidP="002726E9">
      <w:pPr>
        <w:pStyle w:val="Sansinterligne"/>
        <w:rPr>
          <w:b/>
          <w:bCs/>
          <w:i/>
          <w:iCs/>
          <w:smallCaps/>
          <w:color w:val="00B0F0"/>
        </w:rPr>
      </w:pPr>
      <w:r>
        <w:rPr>
          <w:b/>
          <w:bCs/>
          <w:smallCaps/>
          <w:color w:val="FF0000"/>
        </w:rPr>
        <w:t xml:space="preserve">Dans une prochaine leçon, nous verrons comment utiliser cet équilibre pour effectuer un dosage par précipitation. </w:t>
      </w:r>
      <w:r>
        <w:rPr>
          <w:b/>
          <w:bCs/>
          <w:i/>
          <w:iCs/>
          <w:smallCaps/>
          <w:color w:val="00B0F0"/>
        </w:rPr>
        <w:t xml:space="preserve">Dosage de </w:t>
      </w:r>
      <w:proofErr w:type="spellStart"/>
      <w:r>
        <w:rPr>
          <w:b/>
          <w:bCs/>
          <w:i/>
          <w:iCs/>
          <w:smallCaps/>
          <w:color w:val="00B0F0"/>
        </w:rPr>
        <w:t>NaCl</w:t>
      </w:r>
      <w:proofErr w:type="spellEnd"/>
      <w:r>
        <w:rPr>
          <w:b/>
          <w:bCs/>
          <w:i/>
          <w:iCs/>
          <w:smallCaps/>
          <w:color w:val="00B0F0"/>
        </w:rPr>
        <w:t xml:space="preserve"> par une solution de nitrate d’argent avec un suivi conductimétrique par exemple. </w:t>
      </w:r>
    </w:p>
    <w:p w:rsidR="00867F08" w:rsidRDefault="00867F08" w:rsidP="00134BF1"/>
    <w:p w:rsidR="00134BF1" w:rsidRPr="00134BF1" w:rsidRDefault="00134BF1" w:rsidP="00134BF1"/>
    <w:sectPr w:rsidR="00134BF1" w:rsidRPr="00134B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F59" w:rsidRDefault="001B6F59" w:rsidP="00A06968">
      <w:pPr>
        <w:spacing w:after="0" w:line="240" w:lineRule="auto"/>
      </w:pPr>
      <w:r>
        <w:separator/>
      </w:r>
    </w:p>
  </w:endnote>
  <w:endnote w:type="continuationSeparator" w:id="0">
    <w:p w:rsidR="001B6F59" w:rsidRDefault="001B6F59"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F59" w:rsidRDefault="001B6F59" w:rsidP="00A06968">
      <w:pPr>
        <w:spacing w:after="0" w:line="240" w:lineRule="auto"/>
      </w:pPr>
      <w:r>
        <w:separator/>
      </w:r>
    </w:p>
  </w:footnote>
  <w:footnote w:type="continuationSeparator" w:id="0">
    <w:p w:rsidR="001B6F59" w:rsidRDefault="001B6F59" w:rsidP="00A0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330"/>
    <w:multiLevelType w:val="hybridMultilevel"/>
    <w:tmpl w:val="BE8A5712"/>
    <w:lvl w:ilvl="0" w:tplc="1F8CA95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30423"/>
    <w:multiLevelType w:val="hybridMultilevel"/>
    <w:tmpl w:val="40E61BBA"/>
    <w:lvl w:ilvl="0" w:tplc="207EF7E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52C1745"/>
    <w:multiLevelType w:val="hybridMultilevel"/>
    <w:tmpl w:val="EB0E26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1F3D47"/>
    <w:multiLevelType w:val="hybridMultilevel"/>
    <w:tmpl w:val="7012019A"/>
    <w:lvl w:ilvl="0" w:tplc="EC5C15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C780997"/>
    <w:multiLevelType w:val="hybridMultilevel"/>
    <w:tmpl w:val="B7F02538"/>
    <w:lvl w:ilvl="0" w:tplc="3D821A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01D4AA1"/>
    <w:multiLevelType w:val="hybridMultilevel"/>
    <w:tmpl w:val="2B42CE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A97EE4"/>
    <w:multiLevelType w:val="hybridMultilevel"/>
    <w:tmpl w:val="29C26D64"/>
    <w:lvl w:ilvl="0" w:tplc="D338C74C">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A9B5548"/>
    <w:multiLevelType w:val="hybridMultilevel"/>
    <w:tmpl w:val="FEE4FB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F409C9"/>
    <w:multiLevelType w:val="hybridMultilevel"/>
    <w:tmpl w:val="86F6EC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285CC9"/>
    <w:multiLevelType w:val="hybridMultilevel"/>
    <w:tmpl w:val="4CD27460"/>
    <w:lvl w:ilvl="0" w:tplc="F90CEAD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FDD285C"/>
    <w:multiLevelType w:val="hybridMultilevel"/>
    <w:tmpl w:val="F21E2F34"/>
    <w:lvl w:ilvl="0" w:tplc="12F465A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4DC36DE"/>
    <w:multiLevelType w:val="hybridMultilevel"/>
    <w:tmpl w:val="E020C97A"/>
    <w:lvl w:ilvl="0" w:tplc="8BAEFA38">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C7B2511"/>
    <w:multiLevelType w:val="hybridMultilevel"/>
    <w:tmpl w:val="4A3EA1D0"/>
    <w:lvl w:ilvl="0" w:tplc="79089D4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2E1F1FEE"/>
    <w:multiLevelType w:val="hybridMultilevel"/>
    <w:tmpl w:val="6D6E7C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0805F23"/>
    <w:multiLevelType w:val="hybridMultilevel"/>
    <w:tmpl w:val="CF6635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2400AA6"/>
    <w:multiLevelType w:val="hybridMultilevel"/>
    <w:tmpl w:val="F8C40E0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3B97DCC"/>
    <w:multiLevelType w:val="hybridMultilevel"/>
    <w:tmpl w:val="C92AF75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C131A7"/>
    <w:multiLevelType w:val="hybridMultilevel"/>
    <w:tmpl w:val="1EA03AE2"/>
    <w:lvl w:ilvl="0" w:tplc="AFF8727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384859C3"/>
    <w:multiLevelType w:val="hybridMultilevel"/>
    <w:tmpl w:val="B358AF48"/>
    <w:lvl w:ilvl="0" w:tplc="AFD883B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3AD405D3"/>
    <w:multiLevelType w:val="hybridMultilevel"/>
    <w:tmpl w:val="C512E306"/>
    <w:lvl w:ilvl="0" w:tplc="B7AA6F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E53251E"/>
    <w:multiLevelType w:val="hybridMultilevel"/>
    <w:tmpl w:val="0F78BE9C"/>
    <w:lvl w:ilvl="0" w:tplc="0A3E70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2C82597"/>
    <w:multiLevelType w:val="hybridMultilevel"/>
    <w:tmpl w:val="6292EC5E"/>
    <w:lvl w:ilvl="0" w:tplc="A52ACC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46643587"/>
    <w:multiLevelType w:val="hybridMultilevel"/>
    <w:tmpl w:val="84B813F8"/>
    <w:lvl w:ilvl="0" w:tplc="C4162F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A641B1"/>
    <w:multiLevelType w:val="hybridMultilevel"/>
    <w:tmpl w:val="424EFFE4"/>
    <w:lvl w:ilvl="0" w:tplc="D6F641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4FFE7740"/>
    <w:multiLevelType w:val="hybridMultilevel"/>
    <w:tmpl w:val="65B663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31044A6"/>
    <w:multiLevelType w:val="hybridMultilevel"/>
    <w:tmpl w:val="2E4C8BBC"/>
    <w:lvl w:ilvl="0" w:tplc="315CEB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582977D4"/>
    <w:multiLevelType w:val="hybridMultilevel"/>
    <w:tmpl w:val="EC64394E"/>
    <w:lvl w:ilvl="0" w:tplc="D49C01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5C601D28"/>
    <w:multiLevelType w:val="hybridMultilevel"/>
    <w:tmpl w:val="176A832A"/>
    <w:lvl w:ilvl="0" w:tplc="7112210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FB60F1D"/>
    <w:multiLevelType w:val="hybridMultilevel"/>
    <w:tmpl w:val="824E4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68D7E7D"/>
    <w:multiLevelType w:val="hybridMultilevel"/>
    <w:tmpl w:val="727C7880"/>
    <w:lvl w:ilvl="0" w:tplc="B042600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1" w15:restartNumberingAfterBreak="0">
    <w:nsid w:val="694847CE"/>
    <w:multiLevelType w:val="hybridMultilevel"/>
    <w:tmpl w:val="5948B4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B696A1D"/>
    <w:multiLevelType w:val="hybridMultilevel"/>
    <w:tmpl w:val="CA34A334"/>
    <w:lvl w:ilvl="0" w:tplc="367EE66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723C2EF7"/>
    <w:multiLevelType w:val="hybridMultilevel"/>
    <w:tmpl w:val="3E06FAC2"/>
    <w:lvl w:ilvl="0" w:tplc="1404379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2520150"/>
    <w:multiLevelType w:val="hybridMultilevel"/>
    <w:tmpl w:val="7144D8A0"/>
    <w:lvl w:ilvl="0" w:tplc="881C0E5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76613907"/>
    <w:multiLevelType w:val="hybridMultilevel"/>
    <w:tmpl w:val="6F3475DE"/>
    <w:lvl w:ilvl="0" w:tplc="598E126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781A6126"/>
    <w:multiLevelType w:val="hybridMultilevel"/>
    <w:tmpl w:val="3A7622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8F24B8"/>
    <w:multiLevelType w:val="hybridMultilevel"/>
    <w:tmpl w:val="CB7E3FC4"/>
    <w:lvl w:ilvl="0" w:tplc="157220E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7CF52306"/>
    <w:multiLevelType w:val="hybridMultilevel"/>
    <w:tmpl w:val="64EC47A8"/>
    <w:lvl w:ilvl="0" w:tplc="08644F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3"/>
  </w:num>
  <w:num w:numId="2">
    <w:abstractNumId w:val="33"/>
  </w:num>
  <w:num w:numId="3">
    <w:abstractNumId w:val="5"/>
  </w:num>
  <w:num w:numId="4">
    <w:abstractNumId w:val="10"/>
  </w:num>
  <w:num w:numId="5">
    <w:abstractNumId w:val="13"/>
  </w:num>
  <w:num w:numId="6">
    <w:abstractNumId w:val="6"/>
  </w:num>
  <w:num w:numId="7">
    <w:abstractNumId w:val="8"/>
  </w:num>
  <w:num w:numId="8">
    <w:abstractNumId w:val="21"/>
  </w:num>
  <w:num w:numId="9">
    <w:abstractNumId w:val="24"/>
  </w:num>
  <w:num w:numId="10">
    <w:abstractNumId w:val="15"/>
  </w:num>
  <w:num w:numId="11">
    <w:abstractNumId w:val="22"/>
  </w:num>
  <w:num w:numId="12">
    <w:abstractNumId w:val="16"/>
  </w:num>
  <w:num w:numId="13">
    <w:abstractNumId w:val="17"/>
  </w:num>
  <w:num w:numId="14">
    <w:abstractNumId w:val="28"/>
  </w:num>
  <w:num w:numId="15">
    <w:abstractNumId w:val="29"/>
  </w:num>
  <w:num w:numId="16">
    <w:abstractNumId w:val="20"/>
  </w:num>
  <w:num w:numId="17">
    <w:abstractNumId w:val="27"/>
  </w:num>
  <w:num w:numId="18">
    <w:abstractNumId w:val="19"/>
  </w:num>
  <w:num w:numId="19">
    <w:abstractNumId w:val="9"/>
  </w:num>
  <w:num w:numId="20">
    <w:abstractNumId w:val="7"/>
  </w:num>
  <w:num w:numId="21">
    <w:abstractNumId w:val="25"/>
  </w:num>
  <w:num w:numId="22">
    <w:abstractNumId w:val="11"/>
  </w:num>
  <w:num w:numId="23">
    <w:abstractNumId w:val="38"/>
  </w:num>
  <w:num w:numId="24">
    <w:abstractNumId w:val="12"/>
  </w:num>
  <w:num w:numId="25">
    <w:abstractNumId w:val="2"/>
  </w:num>
  <w:num w:numId="26">
    <w:abstractNumId w:val="1"/>
  </w:num>
  <w:num w:numId="27">
    <w:abstractNumId w:val="26"/>
  </w:num>
  <w:num w:numId="28">
    <w:abstractNumId w:val="31"/>
  </w:num>
  <w:num w:numId="29">
    <w:abstractNumId w:val="4"/>
  </w:num>
  <w:num w:numId="30">
    <w:abstractNumId w:val="30"/>
  </w:num>
  <w:num w:numId="31">
    <w:abstractNumId w:val="0"/>
  </w:num>
  <w:num w:numId="32">
    <w:abstractNumId w:val="18"/>
  </w:num>
  <w:num w:numId="33">
    <w:abstractNumId w:val="36"/>
  </w:num>
  <w:num w:numId="34">
    <w:abstractNumId w:val="35"/>
  </w:num>
  <w:num w:numId="35">
    <w:abstractNumId w:val="37"/>
  </w:num>
  <w:num w:numId="36">
    <w:abstractNumId w:val="32"/>
  </w:num>
  <w:num w:numId="37">
    <w:abstractNumId w:val="14"/>
  </w:num>
  <w:num w:numId="38">
    <w:abstractNumId w:val="3"/>
  </w:num>
  <w:num w:numId="39">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000B4"/>
    <w:rsid w:val="00001262"/>
    <w:rsid w:val="0001064F"/>
    <w:rsid w:val="000115F6"/>
    <w:rsid w:val="00012601"/>
    <w:rsid w:val="000134FE"/>
    <w:rsid w:val="0001481E"/>
    <w:rsid w:val="00016977"/>
    <w:rsid w:val="00017335"/>
    <w:rsid w:val="000173F7"/>
    <w:rsid w:val="00020F2C"/>
    <w:rsid w:val="00021E90"/>
    <w:rsid w:val="00022B75"/>
    <w:rsid w:val="00023909"/>
    <w:rsid w:val="00023AE4"/>
    <w:rsid w:val="00024DEC"/>
    <w:rsid w:val="00025BCD"/>
    <w:rsid w:val="0002631B"/>
    <w:rsid w:val="00030BA7"/>
    <w:rsid w:val="00033801"/>
    <w:rsid w:val="00034414"/>
    <w:rsid w:val="0003781D"/>
    <w:rsid w:val="00041BF6"/>
    <w:rsid w:val="00042B70"/>
    <w:rsid w:val="000473AD"/>
    <w:rsid w:val="000477A3"/>
    <w:rsid w:val="000518AB"/>
    <w:rsid w:val="0005225A"/>
    <w:rsid w:val="00053162"/>
    <w:rsid w:val="00057E0C"/>
    <w:rsid w:val="00061875"/>
    <w:rsid w:val="000652C5"/>
    <w:rsid w:val="0006564A"/>
    <w:rsid w:val="00065C19"/>
    <w:rsid w:val="0006651F"/>
    <w:rsid w:val="00066D69"/>
    <w:rsid w:val="0007304E"/>
    <w:rsid w:val="00073F91"/>
    <w:rsid w:val="00075552"/>
    <w:rsid w:val="00081460"/>
    <w:rsid w:val="00081D21"/>
    <w:rsid w:val="00082752"/>
    <w:rsid w:val="00093D37"/>
    <w:rsid w:val="00094625"/>
    <w:rsid w:val="000948D4"/>
    <w:rsid w:val="000A3F8B"/>
    <w:rsid w:val="000A5834"/>
    <w:rsid w:val="000A758C"/>
    <w:rsid w:val="000A7AC8"/>
    <w:rsid w:val="000B062D"/>
    <w:rsid w:val="000B5B3C"/>
    <w:rsid w:val="000B6C12"/>
    <w:rsid w:val="000C01B5"/>
    <w:rsid w:val="000C0D39"/>
    <w:rsid w:val="000C188A"/>
    <w:rsid w:val="000C77A9"/>
    <w:rsid w:val="000C7C08"/>
    <w:rsid w:val="000D165D"/>
    <w:rsid w:val="000D1A5D"/>
    <w:rsid w:val="000D1CA2"/>
    <w:rsid w:val="000D1FB2"/>
    <w:rsid w:val="000D2476"/>
    <w:rsid w:val="000D4731"/>
    <w:rsid w:val="000D7D61"/>
    <w:rsid w:val="000E00CF"/>
    <w:rsid w:val="000E1A27"/>
    <w:rsid w:val="000E234D"/>
    <w:rsid w:val="000E79F8"/>
    <w:rsid w:val="000F3D5A"/>
    <w:rsid w:val="000F3EE6"/>
    <w:rsid w:val="000F58C8"/>
    <w:rsid w:val="000F59BF"/>
    <w:rsid w:val="000F5D77"/>
    <w:rsid w:val="000F7266"/>
    <w:rsid w:val="000F766D"/>
    <w:rsid w:val="001003E6"/>
    <w:rsid w:val="001013BA"/>
    <w:rsid w:val="0010158E"/>
    <w:rsid w:val="001037A3"/>
    <w:rsid w:val="00103E1F"/>
    <w:rsid w:val="001040CD"/>
    <w:rsid w:val="00104588"/>
    <w:rsid w:val="001045C2"/>
    <w:rsid w:val="001061B1"/>
    <w:rsid w:val="00107AF0"/>
    <w:rsid w:val="001126C7"/>
    <w:rsid w:val="0011368C"/>
    <w:rsid w:val="00122226"/>
    <w:rsid w:val="001230F6"/>
    <w:rsid w:val="001269FA"/>
    <w:rsid w:val="001319A7"/>
    <w:rsid w:val="00131AA1"/>
    <w:rsid w:val="00132791"/>
    <w:rsid w:val="00132AD0"/>
    <w:rsid w:val="00134BF1"/>
    <w:rsid w:val="00135493"/>
    <w:rsid w:val="0014306D"/>
    <w:rsid w:val="00143595"/>
    <w:rsid w:val="00143A40"/>
    <w:rsid w:val="00144A30"/>
    <w:rsid w:val="00146398"/>
    <w:rsid w:val="00150C8E"/>
    <w:rsid w:val="00151F76"/>
    <w:rsid w:val="00154310"/>
    <w:rsid w:val="00164527"/>
    <w:rsid w:val="001664B0"/>
    <w:rsid w:val="0017189A"/>
    <w:rsid w:val="00173D9D"/>
    <w:rsid w:val="00174A06"/>
    <w:rsid w:val="001773BF"/>
    <w:rsid w:val="00177EBE"/>
    <w:rsid w:val="00191F3D"/>
    <w:rsid w:val="001959E4"/>
    <w:rsid w:val="001A47CE"/>
    <w:rsid w:val="001A5A58"/>
    <w:rsid w:val="001A73EF"/>
    <w:rsid w:val="001B00ED"/>
    <w:rsid w:val="001B0C87"/>
    <w:rsid w:val="001B248F"/>
    <w:rsid w:val="001B3CA7"/>
    <w:rsid w:val="001B593D"/>
    <w:rsid w:val="001B6EBF"/>
    <w:rsid w:val="001B6F59"/>
    <w:rsid w:val="001C1A47"/>
    <w:rsid w:val="001C41D7"/>
    <w:rsid w:val="001C491B"/>
    <w:rsid w:val="001C5136"/>
    <w:rsid w:val="001C5E23"/>
    <w:rsid w:val="001C78BB"/>
    <w:rsid w:val="001C7E3E"/>
    <w:rsid w:val="001D4532"/>
    <w:rsid w:val="001D6424"/>
    <w:rsid w:val="001D64C2"/>
    <w:rsid w:val="001D7E1C"/>
    <w:rsid w:val="001E1572"/>
    <w:rsid w:val="001E3A19"/>
    <w:rsid w:val="001E7D3C"/>
    <w:rsid w:val="001F0B7D"/>
    <w:rsid w:val="001F2C29"/>
    <w:rsid w:val="001F6F61"/>
    <w:rsid w:val="001F7C8C"/>
    <w:rsid w:val="002017C6"/>
    <w:rsid w:val="00201AFD"/>
    <w:rsid w:val="00201BBC"/>
    <w:rsid w:val="00201FB3"/>
    <w:rsid w:val="0020275E"/>
    <w:rsid w:val="0020481D"/>
    <w:rsid w:val="002064C6"/>
    <w:rsid w:val="0021095D"/>
    <w:rsid w:val="002122E7"/>
    <w:rsid w:val="002137EE"/>
    <w:rsid w:val="00214B75"/>
    <w:rsid w:val="0022289B"/>
    <w:rsid w:val="002236B5"/>
    <w:rsid w:val="00223B8D"/>
    <w:rsid w:val="00224BED"/>
    <w:rsid w:val="002310FB"/>
    <w:rsid w:val="002344FB"/>
    <w:rsid w:val="00234AD4"/>
    <w:rsid w:val="0023546E"/>
    <w:rsid w:val="00235B21"/>
    <w:rsid w:val="00235BA6"/>
    <w:rsid w:val="002371B4"/>
    <w:rsid w:val="0024152D"/>
    <w:rsid w:val="00243CE4"/>
    <w:rsid w:val="002454C1"/>
    <w:rsid w:val="00245B36"/>
    <w:rsid w:val="00247BA1"/>
    <w:rsid w:val="00255930"/>
    <w:rsid w:val="00255EF8"/>
    <w:rsid w:val="00260AB1"/>
    <w:rsid w:val="00262694"/>
    <w:rsid w:val="002656F2"/>
    <w:rsid w:val="00271EA3"/>
    <w:rsid w:val="002726E9"/>
    <w:rsid w:val="00275F0C"/>
    <w:rsid w:val="00276575"/>
    <w:rsid w:val="00281EE7"/>
    <w:rsid w:val="0028202F"/>
    <w:rsid w:val="00284536"/>
    <w:rsid w:val="002928D6"/>
    <w:rsid w:val="00293861"/>
    <w:rsid w:val="002953D6"/>
    <w:rsid w:val="002A2788"/>
    <w:rsid w:val="002A64EC"/>
    <w:rsid w:val="002A685B"/>
    <w:rsid w:val="002B0CDC"/>
    <w:rsid w:val="002B3633"/>
    <w:rsid w:val="002B4F31"/>
    <w:rsid w:val="002C3658"/>
    <w:rsid w:val="002C3750"/>
    <w:rsid w:val="002C40C4"/>
    <w:rsid w:val="002C4B4D"/>
    <w:rsid w:val="002C6171"/>
    <w:rsid w:val="002C6C31"/>
    <w:rsid w:val="002C7747"/>
    <w:rsid w:val="002D0C32"/>
    <w:rsid w:val="002D162C"/>
    <w:rsid w:val="002D6EF0"/>
    <w:rsid w:val="002D6F0F"/>
    <w:rsid w:val="002D6F91"/>
    <w:rsid w:val="002D7777"/>
    <w:rsid w:val="002D7D3A"/>
    <w:rsid w:val="002E3D67"/>
    <w:rsid w:val="002E52DA"/>
    <w:rsid w:val="002E7388"/>
    <w:rsid w:val="002F11EE"/>
    <w:rsid w:val="002F2FAF"/>
    <w:rsid w:val="002F67AE"/>
    <w:rsid w:val="003019F5"/>
    <w:rsid w:val="00303CAD"/>
    <w:rsid w:val="00312058"/>
    <w:rsid w:val="003132FB"/>
    <w:rsid w:val="00316A07"/>
    <w:rsid w:val="00322BA8"/>
    <w:rsid w:val="00322D3D"/>
    <w:rsid w:val="00325F0B"/>
    <w:rsid w:val="003268A5"/>
    <w:rsid w:val="00327864"/>
    <w:rsid w:val="00331A2B"/>
    <w:rsid w:val="00331C57"/>
    <w:rsid w:val="00333DAF"/>
    <w:rsid w:val="0033622F"/>
    <w:rsid w:val="00336811"/>
    <w:rsid w:val="00337E24"/>
    <w:rsid w:val="003420A2"/>
    <w:rsid w:val="00343926"/>
    <w:rsid w:val="00346DD1"/>
    <w:rsid w:val="0034700F"/>
    <w:rsid w:val="00347B53"/>
    <w:rsid w:val="00350477"/>
    <w:rsid w:val="0035264D"/>
    <w:rsid w:val="00353B0E"/>
    <w:rsid w:val="003568A7"/>
    <w:rsid w:val="00362383"/>
    <w:rsid w:val="00364858"/>
    <w:rsid w:val="00364ACF"/>
    <w:rsid w:val="00365C14"/>
    <w:rsid w:val="00365F03"/>
    <w:rsid w:val="003661B7"/>
    <w:rsid w:val="00372E4B"/>
    <w:rsid w:val="003749EE"/>
    <w:rsid w:val="00376419"/>
    <w:rsid w:val="00380C12"/>
    <w:rsid w:val="00382EC4"/>
    <w:rsid w:val="00384446"/>
    <w:rsid w:val="00391852"/>
    <w:rsid w:val="00394708"/>
    <w:rsid w:val="0039588D"/>
    <w:rsid w:val="00397DD1"/>
    <w:rsid w:val="003A0755"/>
    <w:rsid w:val="003A11A8"/>
    <w:rsid w:val="003A41D4"/>
    <w:rsid w:val="003A5853"/>
    <w:rsid w:val="003A66C8"/>
    <w:rsid w:val="003B1033"/>
    <w:rsid w:val="003B10D7"/>
    <w:rsid w:val="003B1452"/>
    <w:rsid w:val="003B7293"/>
    <w:rsid w:val="003C3C6C"/>
    <w:rsid w:val="003C58FC"/>
    <w:rsid w:val="003C5C63"/>
    <w:rsid w:val="003C684E"/>
    <w:rsid w:val="003C7AB0"/>
    <w:rsid w:val="003C7BA3"/>
    <w:rsid w:val="003D0FFB"/>
    <w:rsid w:val="003D2915"/>
    <w:rsid w:val="003D6276"/>
    <w:rsid w:val="003D64C9"/>
    <w:rsid w:val="003D7B08"/>
    <w:rsid w:val="003E4BA1"/>
    <w:rsid w:val="003F45E6"/>
    <w:rsid w:val="003F6819"/>
    <w:rsid w:val="003F701A"/>
    <w:rsid w:val="003F7BEB"/>
    <w:rsid w:val="00404A13"/>
    <w:rsid w:val="004061F3"/>
    <w:rsid w:val="00410CBA"/>
    <w:rsid w:val="00410D01"/>
    <w:rsid w:val="00410F92"/>
    <w:rsid w:val="00412BB1"/>
    <w:rsid w:val="00414F6D"/>
    <w:rsid w:val="00415417"/>
    <w:rsid w:val="004155F8"/>
    <w:rsid w:val="00415A6B"/>
    <w:rsid w:val="00415E7E"/>
    <w:rsid w:val="00415EA2"/>
    <w:rsid w:val="004209CC"/>
    <w:rsid w:val="004214CF"/>
    <w:rsid w:val="00423622"/>
    <w:rsid w:val="00424073"/>
    <w:rsid w:val="0042492A"/>
    <w:rsid w:val="00424DAA"/>
    <w:rsid w:val="0043131D"/>
    <w:rsid w:val="00432B9B"/>
    <w:rsid w:val="0043486F"/>
    <w:rsid w:val="00434FBE"/>
    <w:rsid w:val="0044076E"/>
    <w:rsid w:val="004412FC"/>
    <w:rsid w:val="004451EB"/>
    <w:rsid w:val="00446529"/>
    <w:rsid w:val="0044673E"/>
    <w:rsid w:val="00450B76"/>
    <w:rsid w:val="0045118E"/>
    <w:rsid w:val="0045262E"/>
    <w:rsid w:val="004546BC"/>
    <w:rsid w:val="00455327"/>
    <w:rsid w:val="00456087"/>
    <w:rsid w:val="004566A8"/>
    <w:rsid w:val="0046144E"/>
    <w:rsid w:val="00462B7C"/>
    <w:rsid w:val="0046669E"/>
    <w:rsid w:val="004668DD"/>
    <w:rsid w:val="004706DE"/>
    <w:rsid w:val="0047363F"/>
    <w:rsid w:val="004739E4"/>
    <w:rsid w:val="00473A59"/>
    <w:rsid w:val="00480139"/>
    <w:rsid w:val="00480C50"/>
    <w:rsid w:val="004822B2"/>
    <w:rsid w:val="00485038"/>
    <w:rsid w:val="00486264"/>
    <w:rsid w:val="00490DFC"/>
    <w:rsid w:val="004923C1"/>
    <w:rsid w:val="004923CE"/>
    <w:rsid w:val="0049264A"/>
    <w:rsid w:val="00496F91"/>
    <w:rsid w:val="004A0174"/>
    <w:rsid w:val="004A09D4"/>
    <w:rsid w:val="004A13B9"/>
    <w:rsid w:val="004A2568"/>
    <w:rsid w:val="004A4892"/>
    <w:rsid w:val="004A7863"/>
    <w:rsid w:val="004C0448"/>
    <w:rsid w:val="004C6B84"/>
    <w:rsid w:val="004D0305"/>
    <w:rsid w:val="004D3FBD"/>
    <w:rsid w:val="004E1A8E"/>
    <w:rsid w:val="004E30AF"/>
    <w:rsid w:val="004E4543"/>
    <w:rsid w:val="004E57F4"/>
    <w:rsid w:val="004E6099"/>
    <w:rsid w:val="004F3430"/>
    <w:rsid w:val="004F4174"/>
    <w:rsid w:val="004F4BD2"/>
    <w:rsid w:val="004F7221"/>
    <w:rsid w:val="004F7224"/>
    <w:rsid w:val="004F7246"/>
    <w:rsid w:val="00501513"/>
    <w:rsid w:val="005016F9"/>
    <w:rsid w:val="00501FD8"/>
    <w:rsid w:val="005022FE"/>
    <w:rsid w:val="00502D5A"/>
    <w:rsid w:val="005113F8"/>
    <w:rsid w:val="00513BAD"/>
    <w:rsid w:val="00513DC1"/>
    <w:rsid w:val="005163D0"/>
    <w:rsid w:val="0052245C"/>
    <w:rsid w:val="00522873"/>
    <w:rsid w:val="00523F00"/>
    <w:rsid w:val="005254B2"/>
    <w:rsid w:val="0052616B"/>
    <w:rsid w:val="005269AD"/>
    <w:rsid w:val="005271A3"/>
    <w:rsid w:val="00531010"/>
    <w:rsid w:val="00537DA2"/>
    <w:rsid w:val="0054038B"/>
    <w:rsid w:val="005405A1"/>
    <w:rsid w:val="0054320B"/>
    <w:rsid w:val="005435AB"/>
    <w:rsid w:val="005520AF"/>
    <w:rsid w:val="005540D3"/>
    <w:rsid w:val="00556386"/>
    <w:rsid w:val="00563D57"/>
    <w:rsid w:val="00565EC7"/>
    <w:rsid w:val="00566C06"/>
    <w:rsid w:val="005675EA"/>
    <w:rsid w:val="00567D2F"/>
    <w:rsid w:val="00567F55"/>
    <w:rsid w:val="00571565"/>
    <w:rsid w:val="005723B7"/>
    <w:rsid w:val="00572DC9"/>
    <w:rsid w:val="005733C0"/>
    <w:rsid w:val="00573DA2"/>
    <w:rsid w:val="00574A95"/>
    <w:rsid w:val="005763BF"/>
    <w:rsid w:val="00577C64"/>
    <w:rsid w:val="00580015"/>
    <w:rsid w:val="00581595"/>
    <w:rsid w:val="00582E92"/>
    <w:rsid w:val="00583083"/>
    <w:rsid w:val="00585E31"/>
    <w:rsid w:val="00586FE5"/>
    <w:rsid w:val="005902F2"/>
    <w:rsid w:val="00590A52"/>
    <w:rsid w:val="0059281F"/>
    <w:rsid w:val="00595CBE"/>
    <w:rsid w:val="00596FED"/>
    <w:rsid w:val="00597AAF"/>
    <w:rsid w:val="005A104C"/>
    <w:rsid w:val="005A2376"/>
    <w:rsid w:val="005A3332"/>
    <w:rsid w:val="005A7039"/>
    <w:rsid w:val="005A7BFD"/>
    <w:rsid w:val="005A7EB9"/>
    <w:rsid w:val="005B22F4"/>
    <w:rsid w:val="005B4D19"/>
    <w:rsid w:val="005B6C6D"/>
    <w:rsid w:val="005C01F8"/>
    <w:rsid w:val="005C0ACA"/>
    <w:rsid w:val="005C2121"/>
    <w:rsid w:val="005C5221"/>
    <w:rsid w:val="005C5C7D"/>
    <w:rsid w:val="005D10E8"/>
    <w:rsid w:val="005D1215"/>
    <w:rsid w:val="005D475F"/>
    <w:rsid w:val="005D4806"/>
    <w:rsid w:val="005D4D1D"/>
    <w:rsid w:val="005E0DFF"/>
    <w:rsid w:val="005E2364"/>
    <w:rsid w:val="005E75F4"/>
    <w:rsid w:val="005F6079"/>
    <w:rsid w:val="005F60DF"/>
    <w:rsid w:val="006017E7"/>
    <w:rsid w:val="0060391D"/>
    <w:rsid w:val="00603B2A"/>
    <w:rsid w:val="006046C7"/>
    <w:rsid w:val="006054B6"/>
    <w:rsid w:val="006058B6"/>
    <w:rsid w:val="00606A80"/>
    <w:rsid w:val="0061019A"/>
    <w:rsid w:val="00610A89"/>
    <w:rsid w:val="00611ACD"/>
    <w:rsid w:val="00612D94"/>
    <w:rsid w:val="00615239"/>
    <w:rsid w:val="006156EA"/>
    <w:rsid w:val="00616DF9"/>
    <w:rsid w:val="00616E5D"/>
    <w:rsid w:val="0062291D"/>
    <w:rsid w:val="00623708"/>
    <w:rsid w:val="0062394A"/>
    <w:rsid w:val="00624F6E"/>
    <w:rsid w:val="00625E1D"/>
    <w:rsid w:val="00626898"/>
    <w:rsid w:val="006312BA"/>
    <w:rsid w:val="006365A1"/>
    <w:rsid w:val="00636E43"/>
    <w:rsid w:val="00643AE6"/>
    <w:rsid w:val="006446DB"/>
    <w:rsid w:val="00644B36"/>
    <w:rsid w:val="006467C7"/>
    <w:rsid w:val="006530EC"/>
    <w:rsid w:val="006547A3"/>
    <w:rsid w:val="00654EB9"/>
    <w:rsid w:val="00661E0D"/>
    <w:rsid w:val="00661F5B"/>
    <w:rsid w:val="006641FA"/>
    <w:rsid w:val="006704C8"/>
    <w:rsid w:val="0067448A"/>
    <w:rsid w:val="00676E9D"/>
    <w:rsid w:val="00677347"/>
    <w:rsid w:val="00677B15"/>
    <w:rsid w:val="00680A79"/>
    <w:rsid w:val="00680BE8"/>
    <w:rsid w:val="00687027"/>
    <w:rsid w:val="006873A5"/>
    <w:rsid w:val="00691B68"/>
    <w:rsid w:val="006A1997"/>
    <w:rsid w:val="006A3317"/>
    <w:rsid w:val="006A3CF6"/>
    <w:rsid w:val="006A3F21"/>
    <w:rsid w:val="006A5CF0"/>
    <w:rsid w:val="006B0D7E"/>
    <w:rsid w:val="006B4A1A"/>
    <w:rsid w:val="006B6180"/>
    <w:rsid w:val="006B61B8"/>
    <w:rsid w:val="006B7889"/>
    <w:rsid w:val="006C4EDF"/>
    <w:rsid w:val="006C5C8D"/>
    <w:rsid w:val="006C6E21"/>
    <w:rsid w:val="006D17AC"/>
    <w:rsid w:val="006D1AC6"/>
    <w:rsid w:val="006D257B"/>
    <w:rsid w:val="006D384C"/>
    <w:rsid w:val="006D67AB"/>
    <w:rsid w:val="006E25ED"/>
    <w:rsid w:val="006E2A97"/>
    <w:rsid w:val="006E3E10"/>
    <w:rsid w:val="006E4379"/>
    <w:rsid w:val="006E4DA0"/>
    <w:rsid w:val="006E77CE"/>
    <w:rsid w:val="006F0B13"/>
    <w:rsid w:val="006F3382"/>
    <w:rsid w:val="00702A36"/>
    <w:rsid w:val="00702DB7"/>
    <w:rsid w:val="007035BF"/>
    <w:rsid w:val="00703ED7"/>
    <w:rsid w:val="00704C0C"/>
    <w:rsid w:val="00704C19"/>
    <w:rsid w:val="00705066"/>
    <w:rsid w:val="00706389"/>
    <w:rsid w:val="007069BE"/>
    <w:rsid w:val="00711C2C"/>
    <w:rsid w:val="00711E27"/>
    <w:rsid w:val="00713F5C"/>
    <w:rsid w:val="00714497"/>
    <w:rsid w:val="00715594"/>
    <w:rsid w:val="007226DF"/>
    <w:rsid w:val="007232F7"/>
    <w:rsid w:val="0072481C"/>
    <w:rsid w:val="00724C17"/>
    <w:rsid w:val="00725AC1"/>
    <w:rsid w:val="00727C7E"/>
    <w:rsid w:val="00727E8A"/>
    <w:rsid w:val="0073045B"/>
    <w:rsid w:val="007320CA"/>
    <w:rsid w:val="00732327"/>
    <w:rsid w:val="0073353F"/>
    <w:rsid w:val="00733EDB"/>
    <w:rsid w:val="00735F1E"/>
    <w:rsid w:val="00736405"/>
    <w:rsid w:val="00740838"/>
    <w:rsid w:val="00747602"/>
    <w:rsid w:val="00750363"/>
    <w:rsid w:val="0075075D"/>
    <w:rsid w:val="00751138"/>
    <w:rsid w:val="0075642B"/>
    <w:rsid w:val="00757FF1"/>
    <w:rsid w:val="00761A31"/>
    <w:rsid w:val="0076223C"/>
    <w:rsid w:val="00763F20"/>
    <w:rsid w:val="007671C0"/>
    <w:rsid w:val="00767647"/>
    <w:rsid w:val="00771924"/>
    <w:rsid w:val="007721EA"/>
    <w:rsid w:val="0077595D"/>
    <w:rsid w:val="00777AD5"/>
    <w:rsid w:val="00777B95"/>
    <w:rsid w:val="00777E66"/>
    <w:rsid w:val="00781A6A"/>
    <w:rsid w:val="00784621"/>
    <w:rsid w:val="00786122"/>
    <w:rsid w:val="00787B1B"/>
    <w:rsid w:val="007908D7"/>
    <w:rsid w:val="00795797"/>
    <w:rsid w:val="00796489"/>
    <w:rsid w:val="007A1289"/>
    <w:rsid w:val="007A12FA"/>
    <w:rsid w:val="007A20A0"/>
    <w:rsid w:val="007A3F09"/>
    <w:rsid w:val="007A4BC0"/>
    <w:rsid w:val="007A72B4"/>
    <w:rsid w:val="007B1658"/>
    <w:rsid w:val="007B21F3"/>
    <w:rsid w:val="007B5DA2"/>
    <w:rsid w:val="007B7213"/>
    <w:rsid w:val="007B749F"/>
    <w:rsid w:val="007C077C"/>
    <w:rsid w:val="007C157B"/>
    <w:rsid w:val="007D0D08"/>
    <w:rsid w:val="007D101A"/>
    <w:rsid w:val="007D3491"/>
    <w:rsid w:val="007D4220"/>
    <w:rsid w:val="007D4B98"/>
    <w:rsid w:val="007E129D"/>
    <w:rsid w:val="007E3221"/>
    <w:rsid w:val="007E4AAA"/>
    <w:rsid w:val="007F30DC"/>
    <w:rsid w:val="007F442C"/>
    <w:rsid w:val="00803021"/>
    <w:rsid w:val="008051FB"/>
    <w:rsid w:val="00810A1C"/>
    <w:rsid w:val="00811740"/>
    <w:rsid w:val="00812C4E"/>
    <w:rsid w:val="00813008"/>
    <w:rsid w:val="0081434B"/>
    <w:rsid w:val="00815F9F"/>
    <w:rsid w:val="00817A2A"/>
    <w:rsid w:val="008217A3"/>
    <w:rsid w:val="00821F63"/>
    <w:rsid w:val="008220D6"/>
    <w:rsid w:val="00822B6A"/>
    <w:rsid w:val="00822BD8"/>
    <w:rsid w:val="00825271"/>
    <w:rsid w:val="00826E0A"/>
    <w:rsid w:val="008276EC"/>
    <w:rsid w:val="0083287C"/>
    <w:rsid w:val="00835122"/>
    <w:rsid w:val="008379EC"/>
    <w:rsid w:val="008424D6"/>
    <w:rsid w:val="00843FF9"/>
    <w:rsid w:val="0084427E"/>
    <w:rsid w:val="00846A7E"/>
    <w:rsid w:val="00853C47"/>
    <w:rsid w:val="008554CA"/>
    <w:rsid w:val="008563F1"/>
    <w:rsid w:val="0086000F"/>
    <w:rsid w:val="008616EF"/>
    <w:rsid w:val="00865677"/>
    <w:rsid w:val="00867CE1"/>
    <w:rsid w:val="00867F08"/>
    <w:rsid w:val="008762FE"/>
    <w:rsid w:val="008764D9"/>
    <w:rsid w:val="00881955"/>
    <w:rsid w:val="00882A17"/>
    <w:rsid w:val="008868B5"/>
    <w:rsid w:val="008920C0"/>
    <w:rsid w:val="00894402"/>
    <w:rsid w:val="0089464B"/>
    <w:rsid w:val="00895B0D"/>
    <w:rsid w:val="0089608E"/>
    <w:rsid w:val="00897F55"/>
    <w:rsid w:val="008A42ED"/>
    <w:rsid w:val="008B3CAE"/>
    <w:rsid w:val="008C3C9F"/>
    <w:rsid w:val="008C7BCD"/>
    <w:rsid w:val="008E035E"/>
    <w:rsid w:val="008E198C"/>
    <w:rsid w:val="008E2DC5"/>
    <w:rsid w:val="008E2E7A"/>
    <w:rsid w:val="008E30BB"/>
    <w:rsid w:val="008E3BDD"/>
    <w:rsid w:val="008E3D90"/>
    <w:rsid w:val="008E5663"/>
    <w:rsid w:val="008E64D2"/>
    <w:rsid w:val="008E678A"/>
    <w:rsid w:val="008F1EBF"/>
    <w:rsid w:val="008F75C7"/>
    <w:rsid w:val="009016E0"/>
    <w:rsid w:val="00901CF4"/>
    <w:rsid w:val="00902A74"/>
    <w:rsid w:val="00903C35"/>
    <w:rsid w:val="00904622"/>
    <w:rsid w:val="0090604C"/>
    <w:rsid w:val="00906625"/>
    <w:rsid w:val="00906D7D"/>
    <w:rsid w:val="00907E33"/>
    <w:rsid w:val="00907F9B"/>
    <w:rsid w:val="00913DE0"/>
    <w:rsid w:val="00914C9A"/>
    <w:rsid w:val="00914CEF"/>
    <w:rsid w:val="0091786D"/>
    <w:rsid w:val="0092180E"/>
    <w:rsid w:val="00925227"/>
    <w:rsid w:val="00927509"/>
    <w:rsid w:val="00931B4B"/>
    <w:rsid w:val="00934FED"/>
    <w:rsid w:val="00935470"/>
    <w:rsid w:val="00936624"/>
    <w:rsid w:val="009367CB"/>
    <w:rsid w:val="00937013"/>
    <w:rsid w:val="00937E62"/>
    <w:rsid w:val="009407DC"/>
    <w:rsid w:val="009411DF"/>
    <w:rsid w:val="0094221C"/>
    <w:rsid w:val="00943ECF"/>
    <w:rsid w:val="00944154"/>
    <w:rsid w:val="00946249"/>
    <w:rsid w:val="00947486"/>
    <w:rsid w:val="00950316"/>
    <w:rsid w:val="00954DE6"/>
    <w:rsid w:val="00955301"/>
    <w:rsid w:val="00955600"/>
    <w:rsid w:val="00955DA4"/>
    <w:rsid w:val="009568BA"/>
    <w:rsid w:val="00957974"/>
    <w:rsid w:val="00961670"/>
    <w:rsid w:val="0096666F"/>
    <w:rsid w:val="0096671B"/>
    <w:rsid w:val="00967F13"/>
    <w:rsid w:val="00973284"/>
    <w:rsid w:val="00973B26"/>
    <w:rsid w:val="00977E46"/>
    <w:rsid w:val="00983D50"/>
    <w:rsid w:val="00986918"/>
    <w:rsid w:val="00990EED"/>
    <w:rsid w:val="009932FD"/>
    <w:rsid w:val="00996E7B"/>
    <w:rsid w:val="0099797E"/>
    <w:rsid w:val="00997D51"/>
    <w:rsid w:val="009A0292"/>
    <w:rsid w:val="009A21F6"/>
    <w:rsid w:val="009A39EA"/>
    <w:rsid w:val="009A7D39"/>
    <w:rsid w:val="009B3A3E"/>
    <w:rsid w:val="009B481C"/>
    <w:rsid w:val="009B6084"/>
    <w:rsid w:val="009B74DF"/>
    <w:rsid w:val="009C1E24"/>
    <w:rsid w:val="009C397F"/>
    <w:rsid w:val="009D381E"/>
    <w:rsid w:val="009D5F3A"/>
    <w:rsid w:val="009D6D66"/>
    <w:rsid w:val="009E0E46"/>
    <w:rsid w:val="009E6E05"/>
    <w:rsid w:val="009E7162"/>
    <w:rsid w:val="009E7DB8"/>
    <w:rsid w:val="009F1021"/>
    <w:rsid w:val="009F3FB8"/>
    <w:rsid w:val="009F4916"/>
    <w:rsid w:val="009F6B32"/>
    <w:rsid w:val="00A0202C"/>
    <w:rsid w:val="00A0266A"/>
    <w:rsid w:val="00A02749"/>
    <w:rsid w:val="00A028B3"/>
    <w:rsid w:val="00A04532"/>
    <w:rsid w:val="00A046A0"/>
    <w:rsid w:val="00A046F7"/>
    <w:rsid w:val="00A04C68"/>
    <w:rsid w:val="00A06968"/>
    <w:rsid w:val="00A07174"/>
    <w:rsid w:val="00A12998"/>
    <w:rsid w:val="00A16433"/>
    <w:rsid w:val="00A27575"/>
    <w:rsid w:val="00A3207E"/>
    <w:rsid w:val="00A32C9F"/>
    <w:rsid w:val="00A337D3"/>
    <w:rsid w:val="00A3629A"/>
    <w:rsid w:val="00A36B01"/>
    <w:rsid w:val="00A37009"/>
    <w:rsid w:val="00A4122F"/>
    <w:rsid w:val="00A432F4"/>
    <w:rsid w:val="00A455A2"/>
    <w:rsid w:val="00A53AFE"/>
    <w:rsid w:val="00A5663F"/>
    <w:rsid w:val="00A570E4"/>
    <w:rsid w:val="00A625F4"/>
    <w:rsid w:val="00A6361F"/>
    <w:rsid w:val="00A63CAF"/>
    <w:rsid w:val="00A6497D"/>
    <w:rsid w:val="00A677CD"/>
    <w:rsid w:val="00A70AEC"/>
    <w:rsid w:val="00A744F7"/>
    <w:rsid w:val="00A77BD3"/>
    <w:rsid w:val="00A82F6C"/>
    <w:rsid w:val="00A83C2D"/>
    <w:rsid w:val="00A83D69"/>
    <w:rsid w:val="00A83EBD"/>
    <w:rsid w:val="00A86EE2"/>
    <w:rsid w:val="00A90D4C"/>
    <w:rsid w:val="00A91D7D"/>
    <w:rsid w:val="00A93F6B"/>
    <w:rsid w:val="00A942C1"/>
    <w:rsid w:val="00A9541D"/>
    <w:rsid w:val="00A95741"/>
    <w:rsid w:val="00AA0EE0"/>
    <w:rsid w:val="00AA497F"/>
    <w:rsid w:val="00AA4B52"/>
    <w:rsid w:val="00AA5A6F"/>
    <w:rsid w:val="00AA5F0C"/>
    <w:rsid w:val="00AA7063"/>
    <w:rsid w:val="00AB0E25"/>
    <w:rsid w:val="00AB324D"/>
    <w:rsid w:val="00AB4D3A"/>
    <w:rsid w:val="00AB6A4C"/>
    <w:rsid w:val="00AC2AFB"/>
    <w:rsid w:val="00AC65F2"/>
    <w:rsid w:val="00AC7B2D"/>
    <w:rsid w:val="00AC7D3F"/>
    <w:rsid w:val="00AD1B0F"/>
    <w:rsid w:val="00AD67F4"/>
    <w:rsid w:val="00AE6DE8"/>
    <w:rsid w:val="00AF0297"/>
    <w:rsid w:val="00AF051D"/>
    <w:rsid w:val="00AF1CE8"/>
    <w:rsid w:val="00AF6892"/>
    <w:rsid w:val="00AF7FB2"/>
    <w:rsid w:val="00B000DD"/>
    <w:rsid w:val="00B01923"/>
    <w:rsid w:val="00B01C67"/>
    <w:rsid w:val="00B077AC"/>
    <w:rsid w:val="00B170E9"/>
    <w:rsid w:val="00B21D0D"/>
    <w:rsid w:val="00B27EB9"/>
    <w:rsid w:val="00B30344"/>
    <w:rsid w:val="00B31BDC"/>
    <w:rsid w:val="00B33ECC"/>
    <w:rsid w:val="00B3429C"/>
    <w:rsid w:val="00B36D33"/>
    <w:rsid w:val="00B371AA"/>
    <w:rsid w:val="00B375A4"/>
    <w:rsid w:val="00B50FC9"/>
    <w:rsid w:val="00B52E79"/>
    <w:rsid w:val="00B53226"/>
    <w:rsid w:val="00B5405F"/>
    <w:rsid w:val="00B54FC9"/>
    <w:rsid w:val="00B563E0"/>
    <w:rsid w:val="00B60143"/>
    <w:rsid w:val="00B61924"/>
    <w:rsid w:val="00B65063"/>
    <w:rsid w:val="00B65F39"/>
    <w:rsid w:val="00B671E3"/>
    <w:rsid w:val="00B67BC0"/>
    <w:rsid w:val="00B71C3B"/>
    <w:rsid w:val="00B72BC5"/>
    <w:rsid w:val="00B72F63"/>
    <w:rsid w:val="00B73CCD"/>
    <w:rsid w:val="00B7446A"/>
    <w:rsid w:val="00B746FC"/>
    <w:rsid w:val="00B75306"/>
    <w:rsid w:val="00B760BB"/>
    <w:rsid w:val="00B81F72"/>
    <w:rsid w:val="00B836BE"/>
    <w:rsid w:val="00B83E2D"/>
    <w:rsid w:val="00B87463"/>
    <w:rsid w:val="00B875FB"/>
    <w:rsid w:val="00B91169"/>
    <w:rsid w:val="00B91F81"/>
    <w:rsid w:val="00BA11A1"/>
    <w:rsid w:val="00BA5778"/>
    <w:rsid w:val="00BB121A"/>
    <w:rsid w:val="00BB5F0E"/>
    <w:rsid w:val="00BC03B0"/>
    <w:rsid w:val="00BC1AAE"/>
    <w:rsid w:val="00BC1AB7"/>
    <w:rsid w:val="00BC25A6"/>
    <w:rsid w:val="00BC2811"/>
    <w:rsid w:val="00BC4191"/>
    <w:rsid w:val="00BC4E24"/>
    <w:rsid w:val="00BC6B85"/>
    <w:rsid w:val="00BD020F"/>
    <w:rsid w:val="00BD0A9A"/>
    <w:rsid w:val="00BD1272"/>
    <w:rsid w:val="00BD2A4B"/>
    <w:rsid w:val="00BD418D"/>
    <w:rsid w:val="00BD52A9"/>
    <w:rsid w:val="00BD5B03"/>
    <w:rsid w:val="00BE047C"/>
    <w:rsid w:val="00BE0673"/>
    <w:rsid w:val="00BE08CC"/>
    <w:rsid w:val="00BE0F62"/>
    <w:rsid w:val="00BE5F7F"/>
    <w:rsid w:val="00BE77E6"/>
    <w:rsid w:val="00BF2417"/>
    <w:rsid w:val="00BF2AE2"/>
    <w:rsid w:val="00BF2FF3"/>
    <w:rsid w:val="00BF35AB"/>
    <w:rsid w:val="00BF484B"/>
    <w:rsid w:val="00BF5339"/>
    <w:rsid w:val="00BF7261"/>
    <w:rsid w:val="00BF76C4"/>
    <w:rsid w:val="00BF79E2"/>
    <w:rsid w:val="00C03C8B"/>
    <w:rsid w:val="00C05045"/>
    <w:rsid w:val="00C10DB8"/>
    <w:rsid w:val="00C11BB8"/>
    <w:rsid w:val="00C14B73"/>
    <w:rsid w:val="00C200CD"/>
    <w:rsid w:val="00C21721"/>
    <w:rsid w:val="00C219DF"/>
    <w:rsid w:val="00C23EF1"/>
    <w:rsid w:val="00C24BB9"/>
    <w:rsid w:val="00C27105"/>
    <w:rsid w:val="00C27B19"/>
    <w:rsid w:val="00C3006D"/>
    <w:rsid w:val="00C3374C"/>
    <w:rsid w:val="00C4012D"/>
    <w:rsid w:val="00C40282"/>
    <w:rsid w:val="00C44188"/>
    <w:rsid w:val="00C44461"/>
    <w:rsid w:val="00C51D31"/>
    <w:rsid w:val="00C52A29"/>
    <w:rsid w:val="00C5522B"/>
    <w:rsid w:val="00C57081"/>
    <w:rsid w:val="00C606BE"/>
    <w:rsid w:val="00C634AC"/>
    <w:rsid w:val="00C66547"/>
    <w:rsid w:val="00C711C8"/>
    <w:rsid w:val="00C7127F"/>
    <w:rsid w:val="00C72470"/>
    <w:rsid w:val="00C921F1"/>
    <w:rsid w:val="00C94886"/>
    <w:rsid w:val="00C95BE0"/>
    <w:rsid w:val="00C96E81"/>
    <w:rsid w:val="00CA211B"/>
    <w:rsid w:val="00CA31DC"/>
    <w:rsid w:val="00CA33F1"/>
    <w:rsid w:val="00CA35C4"/>
    <w:rsid w:val="00CA4542"/>
    <w:rsid w:val="00CA50B8"/>
    <w:rsid w:val="00CA60C3"/>
    <w:rsid w:val="00CA7DC9"/>
    <w:rsid w:val="00CB131B"/>
    <w:rsid w:val="00CB19B5"/>
    <w:rsid w:val="00CB5815"/>
    <w:rsid w:val="00CB5BF8"/>
    <w:rsid w:val="00CC292E"/>
    <w:rsid w:val="00CC4FED"/>
    <w:rsid w:val="00CD0C76"/>
    <w:rsid w:val="00CD1BB3"/>
    <w:rsid w:val="00CD5194"/>
    <w:rsid w:val="00CD7D15"/>
    <w:rsid w:val="00CE0300"/>
    <w:rsid w:val="00CE0314"/>
    <w:rsid w:val="00CE5191"/>
    <w:rsid w:val="00CF1944"/>
    <w:rsid w:val="00CF357A"/>
    <w:rsid w:val="00CF3B10"/>
    <w:rsid w:val="00CF5A80"/>
    <w:rsid w:val="00CF7603"/>
    <w:rsid w:val="00D00208"/>
    <w:rsid w:val="00D01835"/>
    <w:rsid w:val="00D032E9"/>
    <w:rsid w:val="00D057E7"/>
    <w:rsid w:val="00D0584B"/>
    <w:rsid w:val="00D067CC"/>
    <w:rsid w:val="00D07D6C"/>
    <w:rsid w:val="00D07FFA"/>
    <w:rsid w:val="00D10B3A"/>
    <w:rsid w:val="00D13DF6"/>
    <w:rsid w:val="00D22E9A"/>
    <w:rsid w:val="00D23EF2"/>
    <w:rsid w:val="00D24F3E"/>
    <w:rsid w:val="00D25061"/>
    <w:rsid w:val="00D27564"/>
    <w:rsid w:val="00D27B17"/>
    <w:rsid w:val="00D34A2D"/>
    <w:rsid w:val="00D34DAF"/>
    <w:rsid w:val="00D401A1"/>
    <w:rsid w:val="00D408D1"/>
    <w:rsid w:val="00D4260A"/>
    <w:rsid w:val="00D428C3"/>
    <w:rsid w:val="00D42BBD"/>
    <w:rsid w:val="00D45EE5"/>
    <w:rsid w:val="00D50270"/>
    <w:rsid w:val="00D5137C"/>
    <w:rsid w:val="00D51752"/>
    <w:rsid w:val="00D53EA2"/>
    <w:rsid w:val="00D5422F"/>
    <w:rsid w:val="00D56655"/>
    <w:rsid w:val="00D56C6A"/>
    <w:rsid w:val="00D577F3"/>
    <w:rsid w:val="00D63A28"/>
    <w:rsid w:val="00D63C9D"/>
    <w:rsid w:val="00D642E3"/>
    <w:rsid w:val="00D65606"/>
    <w:rsid w:val="00D66234"/>
    <w:rsid w:val="00D70528"/>
    <w:rsid w:val="00D71276"/>
    <w:rsid w:val="00D74BC6"/>
    <w:rsid w:val="00D75FCC"/>
    <w:rsid w:val="00D760D7"/>
    <w:rsid w:val="00D8117E"/>
    <w:rsid w:val="00D81BBB"/>
    <w:rsid w:val="00D83904"/>
    <w:rsid w:val="00D85A8F"/>
    <w:rsid w:val="00D869FD"/>
    <w:rsid w:val="00D86E21"/>
    <w:rsid w:val="00D91081"/>
    <w:rsid w:val="00D94509"/>
    <w:rsid w:val="00D9761E"/>
    <w:rsid w:val="00DA1F43"/>
    <w:rsid w:val="00DA3ECA"/>
    <w:rsid w:val="00DA404B"/>
    <w:rsid w:val="00DB12DF"/>
    <w:rsid w:val="00DB324B"/>
    <w:rsid w:val="00DB3AD7"/>
    <w:rsid w:val="00DB3DBB"/>
    <w:rsid w:val="00DB46A5"/>
    <w:rsid w:val="00DB5478"/>
    <w:rsid w:val="00DB5B5F"/>
    <w:rsid w:val="00DB6922"/>
    <w:rsid w:val="00DB7AF3"/>
    <w:rsid w:val="00DC141B"/>
    <w:rsid w:val="00DC2696"/>
    <w:rsid w:val="00DC3B55"/>
    <w:rsid w:val="00DC3CEB"/>
    <w:rsid w:val="00DC59F6"/>
    <w:rsid w:val="00DD5E9B"/>
    <w:rsid w:val="00DE0CE6"/>
    <w:rsid w:val="00DE10AB"/>
    <w:rsid w:val="00DE154A"/>
    <w:rsid w:val="00DE4353"/>
    <w:rsid w:val="00DE6DEE"/>
    <w:rsid w:val="00DE7CAB"/>
    <w:rsid w:val="00DF17CF"/>
    <w:rsid w:val="00DF2253"/>
    <w:rsid w:val="00DF228E"/>
    <w:rsid w:val="00DF39F8"/>
    <w:rsid w:val="00DF4D4E"/>
    <w:rsid w:val="00E0185A"/>
    <w:rsid w:val="00E041CB"/>
    <w:rsid w:val="00E05BA5"/>
    <w:rsid w:val="00E07A1A"/>
    <w:rsid w:val="00E07D57"/>
    <w:rsid w:val="00E11454"/>
    <w:rsid w:val="00E11A46"/>
    <w:rsid w:val="00E12F45"/>
    <w:rsid w:val="00E2050F"/>
    <w:rsid w:val="00E205E8"/>
    <w:rsid w:val="00E22A71"/>
    <w:rsid w:val="00E23ABA"/>
    <w:rsid w:val="00E248DE"/>
    <w:rsid w:val="00E31711"/>
    <w:rsid w:val="00E34450"/>
    <w:rsid w:val="00E357E9"/>
    <w:rsid w:val="00E35ED8"/>
    <w:rsid w:val="00E36FA0"/>
    <w:rsid w:val="00E40B81"/>
    <w:rsid w:val="00E43396"/>
    <w:rsid w:val="00E51019"/>
    <w:rsid w:val="00E5418F"/>
    <w:rsid w:val="00E621E3"/>
    <w:rsid w:val="00E63AA7"/>
    <w:rsid w:val="00E67CFF"/>
    <w:rsid w:val="00E71A0B"/>
    <w:rsid w:val="00E8023B"/>
    <w:rsid w:val="00E8302B"/>
    <w:rsid w:val="00E84457"/>
    <w:rsid w:val="00E879DC"/>
    <w:rsid w:val="00E9100C"/>
    <w:rsid w:val="00E91A36"/>
    <w:rsid w:val="00E924D9"/>
    <w:rsid w:val="00E93520"/>
    <w:rsid w:val="00E94F16"/>
    <w:rsid w:val="00EA086B"/>
    <w:rsid w:val="00EA0BC5"/>
    <w:rsid w:val="00EA2097"/>
    <w:rsid w:val="00EA2509"/>
    <w:rsid w:val="00EA3B03"/>
    <w:rsid w:val="00EA692A"/>
    <w:rsid w:val="00EB2660"/>
    <w:rsid w:val="00EB3182"/>
    <w:rsid w:val="00EB3E8F"/>
    <w:rsid w:val="00EB5F2B"/>
    <w:rsid w:val="00EC0F98"/>
    <w:rsid w:val="00EC7112"/>
    <w:rsid w:val="00ED08D2"/>
    <w:rsid w:val="00ED0C7A"/>
    <w:rsid w:val="00ED2FCC"/>
    <w:rsid w:val="00ED7DF2"/>
    <w:rsid w:val="00EE4570"/>
    <w:rsid w:val="00EE4583"/>
    <w:rsid w:val="00EE611E"/>
    <w:rsid w:val="00EE6273"/>
    <w:rsid w:val="00EF2337"/>
    <w:rsid w:val="00EF4DC5"/>
    <w:rsid w:val="00EF6134"/>
    <w:rsid w:val="00EF6897"/>
    <w:rsid w:val="00F00A62"/>
    <w:rsid w:val="00F01326"/>
    <w:rsid w:val="00F014FD"/>
    <w:rsid w:val="00F11818"/>
    <w:rsid w:val="00F22DE9"/>
    <w:rsid w:val="00F22F8A"/>
    <w:rsid w:val="00F23204"/>
    <w:rsid w:val="00F261BC"/>
    <w:rsid w:val="00F3172E"/>
    <w:rsid w:val="00F31FF5"/>
    <w:rsid w:val="00F32760"/>
    <w:rsid w:val="00F33901"/>
    <w:rsid w:val="00F42309"/>
    <w:rsid w:val="00F4371F"/>
    <w:rsid w:val="00F44E86"/>
    <w:rsid w:val="00F47A2A"/>
    <w:rsid w:val="00F507DE"/>
    <w:rsid w:val="00F51AB5"/>
    <w:rsid w:val="00F5318B"/>
    <w:rsid w:val="00F55E05"/>
    <w:rsid w:val="00F564E1"/>
    <w:rsid w:val="00F63A78"/>
    <w:rsid w:val="00F72A36"/>
    <w:rsid w:val="00F73571"/>
    <w:rsid w:val="00F75763"/>
    <w:rsid w:val="00F773FB"/>
    <w:rsid w:val="00F823B3"/>
    <w:rsid w:val="00F904AF"/>
    <w:rsid w:val="00F935A7"/>
    <w:rsid w:val="00F944C6"/>
    <w:rsid w:val="00F94D8E"/>
    <w:rsid w:val="00F95E62"/>
    <w:rsid w:val="00F97133"/>
    <w:rsid w:val="00FA28F7"/>
    <w:rsid w:val="00FA5F3F"/>
    <w:rsid w:val="00FA7EB2"/>
    <w:rsid w:val="00FB1997"/>
    <w:rsid w:val="00FB54AC"/>
    <w:rsid w:val="00FB7042"/>
    <w:rsid w:val="00FC01EF"/>
    <w:rsid w:val="00FC115C"/>
    <w:rsid w:val="00FC3565"/>
    <w:rsid w:val="00FC481E"/>
    <w:rsid w:val="00FC7637"/>
    <w:rsid w:val="00FC7E11"/>
    <w:rsid w:val="00FD0C66"/>
    <w:rsid w:val="00FD2A5C"/>
    <w:rsid w:val="00FD2EE3"/>
    <w:rsid w:val="00FD5869"/>
    <w:rsid w:val="00FE4AF2"/>
    <w:rsid w:val="00FF14D8"/>
    <w:rsid w:val="00FF371E"/>
    <w:rsid w:val="00FF6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5B20"/>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287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22BA8"/>
    <w:rPr>
      <w:sz w:val="16"/>
      <w:szCs w:val="16"/>
    </w:rPr>
  </w:style>
  <w:style w:type="paragraph" w:styleId="Commentaire">
    <w:name w:val="annotation text"/>
    <w:basedOn w:val="Normal"/>
    <w:link w:val="CommentaireCar"/>
    <w:uiPriority w:val="99"/>
    <w:semiHidden/>
    <w:unhideWhenUsed/>
    <w:rsid w:val="00322BA8"/>
    <w:pPr>
      <w:spacing w:line="240" w:lineRule="auto"/>
    </w:pPr>
    <w:rPr>
      <w:sz w:val="20"/>
      <w:szCs w:val="20"/>
    </w:rPr>
  </w:style>
  <w:style w:type="character" w:customStyle="1" w:styleId="CommentaireCar">
    <w:name w:val="Commentaire Car"/>
    <w:basedOn w:val="Policepardfaut"/>
    <w:link w:val="Commentaire"/>
    <w:uiPriority w:val="99"/>
    <w:semiHidden/>
    <w:rsid w:val="00322BA8"/>
    <w:rPr>
      <w:sz w:val="20"/>
      <w:szCs w:val="20"/>
    </w:rPr>
  </w:style>
  <w:style w:type="paragraph" w:styleId="Objetducommentaire">
    <w:name w:val="annotation subject"/>
    <w:basedOn w:val="Commentaire"/>
    <w:next w:val="Commentaire"/>
    <w:link w:val="ObjetducommentaireCar"/>
    <w:uiPriority w:val="99"/>
    <w:semiHidden/>
    <w:unhideWhenUsed/>
    <w:rsid w:val="00322BA8"/>
    <w:rPr>
      <w:b/>
      <w:bCs/>
    </w:rPr>
  </w:style>
  <w:style w:type="character" w:customStyle="1" w:styleId="ObjetducommentaireCar">
    <w:name w:val="Objet du commentaire Car"/>
    <w:basedOn w:val="CommentaireCar"/>
    <w:link w:val="Objetducommentaire"/>
    <w:uiPriority w:val="99"/>
    <w:semiHidden/>
    <w:rsid w:val="00322BA8"/>
    <w:rPr>
      <w:b/>
      <w:bCs/>
      <w:sz w:val="20"/>
      <w:szCs w:val="20"/>
    </w:rPr>
  </w:style>
  <w:style w:type="paragraph" w:styleId="Textedebulles">
    <w:name w:val="Balloon Text"/>
    <w:basedOn w:val="Normal"/>
    <w:link w:val="TextedebullesCar"/>
    <w:uiPriority w:val="99"/>
    <w:semiHidden/>
    <w:unhideWhenUsed/>
    <w:rsid w:val="00322B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2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642078587">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 w:id="1397165125">
      <w:bodyDiv w:val="1"/>
      <w:marLeft w:val="0"/>
      <w:marRight w:val="0"/>
      <w:marTop w:val="0"/>
      <w:marBottom w:val="0"/>
      <w:divBdr>
        <w:top w:val="none" w:sz="0" w:space="0" w:color="auto"/>
        <w:left w:val="none" w:sz="0" w:space="0" w:color="auto"/>
        <w:bottom w:val="none" w:sz="0" w:space="0" w:color="auto"/>
        <w:right w:val="none" w:sz="0" w:space="0" w:color="auto"/>
      </w:divBdr>
    </w:div>
    <w:div w:id="16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iodni.com/fr/constantes_du_produit_de_solubilit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O67MnZaAvQ" TargetMode="External"/><Relationship Id="rId5" Type="http://schemas.openxmlformats.org/officeDocument/2006/relationships/webSettings" Target="webSettings.xml"/><Relationship Id="rId10" Type="http://schemas.openxmlformats.org/officeDocument/2006/relationships/hyperlink" Target="%20https:/www.suezwaterhandbook.fr/eau-et-generalites/processus-elementaires-du-genie-physico-chimique-en-traitement-de-l-eau/precipitations-chimiques/precipitation-des-metaux" TargetMode="External"/><Relationship Id="rId4" Type="http://schemas.openxmlformats.org/officeDocument/2006/relationships/settings" Target="settings.xml"/><Relationship Id="rId9" Type="http://schemas.openxmlformats.org/officeDocument/2006/relationships/hyperlink" Target="https://www.suezwaterhandbook.fr/eau-et-generalites/processus-elementaires-du-genie-physico-chimique-en-traitement-de-l-eau/precipitations-chimiques/autres-precipitations-cas-des-anion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738ED-3670-49B6-8135-09B3067A8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12170</TotalTime>
  <Pages>8</Pages>
  <Words>2993</Words>
  <Characters>16464</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487</cp:revision>
  <dcterms:created xsi:type="dcterms:W3CDTF">2020-03-15T12:13:00Z</dcterms:created>
  <dcterms:modified xsi:type="dcterms:W3CDTF">2020-06-17T17:00:00Z</dcterms:modified>
</cp:coreProperties>
</file>