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33D4D1AF"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Arslan A. Zaidi</w:t>
      </w:r>
      <w:r w:rsidR="00D43DCB" w:rsidRPr="0047213A">
        <w:rPr>
          <w:vertAlign w:val="superscript"/>
        </w:rPr>
        <w:t>1,</w:t>
      </w:r>
      <w:r w:rsidR="00D43DCB" w:rsidRPr="00A545C6">
        <w:rPr>
          <w:vertAlign w:val="superscript"/>
        </w:rPr>
        <w:t>2</w:t>
      </w:r>
      <w:r w:rsidR="00D43DCB">
        <w:t>,</w:t>
      </w:r>
      <w:r>
        <w:t xml:space="preserve"> Harry Matthews</w:t>
      </w:r>
      <w:r w:rsidR="008F4E4F">
        <w:rPr>
          <w:vertAlign w:val="superscript"/>
        </w:rPr>
        <w:t>5,6,7</w:t>
      </w:r>
      <w:r>
        <w:t>,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7777777" w:rsidR="00310124" w:rsidRPr="00D43DCB" w:rsidRDefault="00EA3D3C" w:rsidP="00AC0270">
      <w:pPr>
        <w:pStyle w:val="Heading1"/>
      </w:pPr>
      <w:r w:rsidRPr="00376CC5">
        <w:t>Introduction</w:t>
      </w:r>
    </w:p>
    <w:p w14:paraId="01D6048F" w14:textId="77777777" w:rsidR="00DE23E8" w:rsidRDefault="008F4E4F" w:rsidP="00AC0270">
      <w:pPr>
        <w:pStyle w:val="Heading1"/>
      </w:pPr>
      <w:r>
        <w:t>Materials and Methods</w:t>
      </w:r>
    </w:p>
    <w:p w14:paraId="0A799BA6" w14:textId="77777777" w:rsidR="00D25C57" w:rsidRDefault="005E5405" w:rsidP="00D25C57">
      <w:pPr>
        <w:pStyle w:val="Heading2"/>
      </w:pPr>
      <w:proofErr w:type="spellStart"/>
      <w:r>
        <w:t>MeshMonk</w:t>
      </w:r>
      <w:proofErr w:type="spellEnd"/>
      <w:r>
        <w:t xml:space="preserve"> </w:t>
      </w:r>
      <w:r w:rsidR="00D25C57">
        <w:t>Overview</w:t>
      </w:r>
    </w:p>
    <w:p w14:paraId="30C3C460" w14:textId="77777777" w:rsidR="00D25C57" w:rsidRDefault="00D25C57" w:rsidP="005E5405">
      <w:pPr>
        <w:pStyle w:val="Heading3"/>
      </w:pPr>
      <w:r>
        <w:t>Explanation of process</w:t>
      </w:r>
    </w:p>
    <w:p w14:paraId="61516BEB" w14:textId="148857C3" w:rsidR="00D25C57" w:rsidRDefault="00D25C57" w:rsidP="005E5405">
      <w:pPr>
        <w:pStyle w:val="Heading3"/>
      </w:pPr>
      <w:r>
        <w:t>Parameters and tuning</w:t>
      </w:r>
    </w:p>
    <w:p w14:paraId="2C6921D9" w14:textId="77777777" w:rsidR="00746A86" w:rsidRDefault="00746A86" w:rsidP="00746A86">
      <w:pPr>
        <w:pStyle w:val="Heading2"/>
      </w:pPr>
      <w:r>
        <w:t>Spatially dense facial quasi-landmarking of 3D facial scans</w:t>
      </w:r>
    </w:p>
    <w:p w14:paraId="51DFFA11" w14:textId="77777777" w:rsidR="00725A73" w:rsidRDefault="00F30759" w:rsidP="00725A73">
      <w:pPr>
        <w:pStyle w:val="Heading3"/>
      </w:pPr>
      <w:r>
        <w:t xml:space="preserve">Spatially dense facial quasi-landmarking. </w:t>
      </w:r>
    </w:p>
    <w:p w14:paraId="4D9B7EEC" w14:textId="63D34495" w:rsidR="00746A86" w:rsidRDefault="00746A86" w:rsidP="00746A86">
      <w:r>
        <w:t xml:space="preserve">3D images in wavefront.obj file format </w:t>
      </w:r>
      <w:proofErr w:type="gramStart"/>
      <w:r w:rsidR="00725A73">
        <w:t>are</w:t>
      </w:r>
      <w:proofErr w:type="gramEnd"/>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their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77777777" w:rsidR="00725A73" w:rsidRDefault="00F30759" w:rsidP="00725A73">
      <w:pPr>
        <w:pStyle w:val="Heading3"/>
      </w:pPr>
      <w:r>
        <w:t xml:space="preserve">Facial quality control. </w:t>
      </w:r>
    </w:p>
    <w:p w14:paraId="1B7FEE71" w14:textId="42E7B7A1" w:rsidR="00F30759" w:rsidRPr="00F30759" w:rsidRDefault="00F30759" w:rsidP="00746A86">
      <w:r>
        <w:t xml:space="preserve">Outlier faces, due to quasi-landmark mapping errors, </w:t>
      </w:r>
      <w:r w:rsidR="00725A73">
        <w:t>are</w:t>
      </w:r>
      <w:r>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 Identified erroneous faces are removed, and the whole process starting from the generalized Procrustes superimposition of original and reflected quasi-landmark configurations is repeated. </w:t>
      </w:r>
    </w:p>
    <w:p w14:paraId="0BA5F66F" w14:textId="77777777" w:rsidR="00D25C57" w:rsidRDefault="00D25C57" w:rsidP="00D25C57">
      <w:pPr>
        <w:pStyle w:val="Heading2"/>
      </w:pPr>
      <w:r>
        <w:lastRenderedPageBreak/>
        <w:t>Validation</w:t>
      </w:r>
    </w:p>
    <w:p w14:paraId="78EBAE8D" w14:textId="77777777" w:rsidR="00424774" w:rsidRDefault="005E5405" w:rsidP="005E5405">
      <w:pPr>
        <w:pStyle w:val="Heading3"/>
      </w:pPr>
      <w:r>
        <w:t>Sample and data curation</w:t>
      </w:r>
    </w:p>
    <w:p w14:paraId="04945A34" w14:textId="6155CFA0" w:rsidR="004555F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1AA9DA30" w:rsidR="005E5405" w:rsidRDefault="004555F5" w:rsidP="005E5405">
      <w:r>
        <w:t xml:space="preserve">Digital facial </w:t>
      </w:r>
      <w:proofErr w:type="spellStart"/>
      <w:r>
        <w:t>stereophotogrammetry</w:t>
      </w:r>
      <w:proofErr w:type="spellEnd"/>
      <w:r>
        <w:t xml:space="preserve"> </w:t>
      </w:r>
      <w:r w:rsidR="00A84661">
        <w:t>has been</w:t>
      </w:r>
      <w:r>
        <w:t xml:space="preserve"> used to capture </w:t>
      </w:r>
      <w:r w:rsidR="005E5405">
        <w:t xml:space="preserve">3D </w:t>
      </w:r>
      <w:r>
        <w:t>facial surfaces</w:t>
      </w:r>
      <w:r w:rsidR="005E5405">
        <w:t xml:space="preserve"> </w:t>
      </w:r>
      <w:r w:rsidR="00A84661">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rsidR="00A84661">
        <w:t>.</w:t>
      </w:r>
      <w:r w:rsidR="005E5405">
        <w:t xml:space="preserve"> </w:t>
      </w:r>
      <w:r>
        <w:t xml:space="preserve">This well-established method uses digital photography to generate a dense 3D point cloud representing the surface geometry of the face from multiple 2D images with overlapping fields of view. </w:t>
      </w:r>
      <w:r w:rsidR="005E5405">
        <w:t xml:space="preserve">During photo capture, participant volunteers were asked to adopt a neutral facial expression </w:t>
      </w:r>
      <w:r>
        <w:t xml:space="preserve">with their mouth closed </w:t>
      </w:r>
      <w:r w:rsidR="005E5405">
        <w:t>and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 images were immediately stitched together by the camera system and 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04354B0C" w:rsidR="00C24B79" w:rsidRDefault="00A84661" w:rsidP="005E5405">
      <w:r>
        <w:t xml:space="preserve">Of the larger sample, </w:t>
      </w:r>
      <w:r w:rsidR="00690070">
        <w:t>N=</w:t>
      </w:r>
      <w:r>
        <w:t>50 images</w:t>
      </w:r>
      <w:r w:rsidR="004555F5">
        <w:t xml:space="preserve"> were chosen at random for validation</w:t>
      </w:r>
      <w:r>
        <w:t xml:space="preserve">. This number was then reduced by </w:t>
      </w:r>
      <w:r w:rsidR="002E4A96">
        <w:t>excluding images from participants that reported major facial injury or surgery</w:t>
      </w:r>
      <w:r>
        <w:t xml:space="preserve"> and excluding images which did not pass the quality control measures reported above. This resulted in N=41 images for validation</w:t>
      </w:r>
      <w:r w:rsidR="004555F5">
        <w:t>.</w:t>
      </w:r>
      <w:r>
        <w:t xml:space="preserve"> Images were diverse with respect to sex</w:t>
      </w:r>
      <w:r w:rsidR="00596B47">
        <w:t xml:space="preserve"> (F=29, M=12)</w:t>
      </w:r>
      <w:r>
        <w:t>, age</w:t>
      </w:r>
      <w:r w:rsidR="00596B47">
        <w:t xml:space="preserve"> (18-79, </w:t>
      </w:r>
      <w:r w:rsidR="00596B47">
        <w:rPr>
          <w:rFonts w:cs="Times New Roman"/>
        </w:rPr>
        <w:t>µ</w:t>
      </w:r>
      <w:r w:rsidR="00596B47">
        <w:t>=32.7)</w:t>
      </w:r>
      <w:r>
        <w:t>, height</w:t>
      </w:r>
      <w:r w:rsidR="00841525">
        <w:t xml:space="preserve"> (</w:t>
      </w:r>
      <w:r w:rsidR="00504C1F">
        <w:t xml:space="preserve">149.86-184.00 cm, </w:t>
      </w:r>
      <w:r w:rsidR="00504C1F">
        <w:rPr>
          <w:rFonts w:cs="Times New Roman"/>
        </w:rPr>
        <w:t>µ</w:t>
      </w:r>
      <w:r w:rsidR="00504C1F">
        <w:t>=167.13 cm)</w:t>
      </w:r>
      <w:r>
        <w:t>, weight</w:t>
      </w:r>
      <w:r w:rsidR="00504C1F">
        <w:t xml:space="preserve"> (43.00-103.80 kg, </w:t>
      </w:r>
      <w:r w:rsidR="00504C1F">
        <w:rPr>
          <w:rFonts w:cs="Times New Roman"/>
        </w:rPr>
        <w:t>µ</w:t>
      </w:r>
      <w:r w:rsidR="00504C1F">
        <w:t>=67.62 kg)</w:t>
      </w:r>
      <w:r>
        <w:t>, and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 image</w:t>
      </w:r>
      <w:r w:rsidR="00690070">
        <w:t xml:space="preserve"> in wavefront.obj format</w:t>
      </w:r>
      <w:r w:rsidR="001B1336">
        <w:t xml:space="preserve"> (Fig. X</w:t>
      </w:r>
      <w:r w:rsidR="00C24B79">
        <w:t>; Table X</w:t>
      </w:r>
      <w:r w:rsidR="001B1336">
        <w:t>). Two independent observers placed these landmarks three times each, with at least 24 hours in-between landmarking sessions, resulting in 6 total landmark iterations for each facial scan. For each individual, we checked for gross landmark coordinate errors (e.g. mislabeling right and left side landmarks) before analysis.</w:t>
      </w:r>
    </w:p>
    <w:p w14:paraId="7D09C08E" w14:textId="5F0AF522" w:rsidR="00F30759" w:rsidRDefault="00F30759" w:rsidP="005E5405">
      <w:r w:rsidRPr="00904E53">
        <w:rPr>
          <w:b/>
        </w:rPr>
        <w:t>Table X. Description of landmarks used in validation.</w:t>
      </w:r>
      <w:r>
        <w:t xml:space="preserve">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49"/>
        <w:gridCol w:w="810"/>
        <w:gridCol w:w="1070"/>
        <w:gridCol w:w="6248"/>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55B0F254"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proofErr w:type="spellStart"/>
            <w:r w:rsidRPr="00C24B79">
              <w:rPr>
                <w:i w:val="0"/>
              </w:rPr>
              <w:t>Ab</w:t>
            </w:r>
            <w:r>
              <w:rPr>
                <w:i w:val="0"/>
              </w:rPr>
              <w:t>vn</w:t>
            </w:r>
            <w:proofErr w:type="spellEnd"/>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superius</w:t>
            </w:r>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lastRenderedPageBreak/>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52B734EE" w14:textId="1E915EEC" w:rsidR="00690070" w:rsidRPr="00FE4FE5" w:rsidRDefault="004555F5" w:rsidP="001B1336">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Specifically, the average manual landmark configurations of 39 faces were aligned to the </w:t>
      </w:r>
      <w:r w:rsidR="00690070">
        <w:t>anthropometric mask</w:t>
      </w:r>
      <w:r w:rsidR="00FE4FE5">
        <w:t xml:space="preserve"> and forced to lie on the surface of the </w:t>
      </w:r>
      <w:proofErr w:type="gramStart"/>
      <w:r w:rsidR="00690070">
        <w:t>mask, if</w:t>
      </w:r>
      <w:proofErr w:type="gramEnd"/>
      <w:r w:rsidR="00FE4FE5">
        <w:t xml:space="preserve"> the landmark and the mask differed in the </w:t>
      </w:r>
      <w:r w:rsidR="00FE4FE5">
        <w:rPr>
          <w:i/>
        </w:rPr>
        <w:t>z-</w:t>
      </w:r>
      <w:r w:rsidR="00FE4FE5">
        <w:t>dimension. The nearest barycentric coordinate</w:t>
      </w:r>
      <w:r w:rsidR="00690070">
        <w:t xml:space="preserve">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p>
    <w:p w14:paraId="36F8E79B" w14:textId="448290AE" w:rsidR="00D43DCB" w:rsidRDefault="00926217" w:rsidP="00D43DCB">
      <w:pPr>
        <w:pStyle w:val="Heading3"/>
      </w:pPr>
      <w:r>
        <w:t>Statistical analysis</w:t>
      </w:r>
    </w:p>
    <w:p w14:paraId="5FF53B8D" w14:textId="53025283" w:rsidR="00926217" w:rsidRPr="00926217" w:rsidRDefault="00926217" w:rsidP="00926217">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w:t>
      </w:r>
      <w:r w:rsidR="00C96F24">
        <w:t xml:space="preserve"> </w:t>
      </w:r>
      <w:r>
        <w:t xml:space="preserve">Measurement errors were calculated as the standard deviation between the automatic and manual </w:t>
      </w:r>
      <w:r w:rsidRPr="00981D6F">
        <w:rPr>
          <w:i/>
        </w:rPr>
        <w:t>x</w:t>
      </w:r>
      <w:r>
        <w:t xml:space="preserve">, </w:t>
      </w:r>
      <w:r w:rsidRPr="00981D6F">
        <w:rPr>
          <w:i/>
        </w:rPr>
        <w:t>y</w:t>
      </w:r>
      <w:r>
        <w:t xml:space="preserve">, and </w:t>
      </w:r>
      <w:r w:rsidRPr="00981D6F">
        <w:rPr>
          <w:i/>
        </w:rPr>
        <w:t>z</w:t>
      </w:r>
      <w:r>
        <w:t xml:space="preserve"> coordinates. In validation, we considered the automatic placements to be a third observer, with the goal of determining if including the automatic placements resulted in errors that were within or below the range of those produced by human observers. </w:t>
      </w:r>
    </w:p>
    <w:p w14:paraId="2FA26AC8" w14:textId="6E6BED5D" w:rsidR="00926217" w:rsidRDefault="0093338E" w:rsidP="00926217">
      <w:pPr>
        <w:pStyle w:val="Heading4"/>
      </w:pPr>
      <w:r>
        <w:t>Intra- and inter-observer error of manual landmarks</w:t>
      </w:r>
    </w:p>
    <w:p w14:paraId="2D04BA95" w14:textId="76FE6FF1" w:rsidR="00A36610" w:rsidRDefault="00926217" w:rsidP="00926217">
      <w:r>
        <w:t>Precision</w:t>
      </w:r>
      <w:r w:rsidR="0093338E">
        <w:t>, our measure of intra-observer error,</w:t>
      </w:r>
      <w:r>
        <w:t xml:space="preserve"> has been previously defined as the absolute difference between repeated measures of the same estimates and can be calculated local to each landmark without superimposition </w:t>
      </w:r>
      <w:r>
        <w:fldChar w:fldCharType="begin" w:fldLock="1"/>
      </w:r>
      <w:r w:rsidR="00A36610">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A"},"uris":["http://www.mendeley.com/documents/?uuid=4419db9c-87b4-4507-b5bc-e9f4bf803261"]}],"mendeley":{"formattedCitation":"(Aldridge et al., 2005)","plainTextFormattedCitation":"(Aldridge et al., 2005)","previouslyFormattedCitation":"(Aldridge et al., 2005)"},"properties":{"noteIndex":0},"schema":"https://github.com/citation-style-language/schema/raw/master/csl-citation.json"}</w:instrText>
      </w:r>
      <w:r>
        <w:fldChar w:fldCharType="separate"/>
      </w:r>
      <w:r w:rsidRPr="00926217">
        <w:rPr>
          <w:noProof/>
        </w:rPr>
        <w:t>(Aldridge et al., 2005)</w:t>
      </w:r>
      <w:r>
        <w:fldChar w:fldCharType="end"/>
      </w:r>
      <w:r>
        <w:t xml:space="preserve">. Precision was calculated for each landmark as 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t xml:space="preserve">each </w:t>
      </w:r>
      <w:r w:rsidR="0093338E">
        <w:t>observer</w:t>
      </w:r>
      <w:r>
        <w:t>’s landmarking iterat</w:t>
      </w:r>
      <w:r w:rsidR="00BB1E70">
        <w:t xml:space="preserve">ions </w:t>
      </w:r>
      <w:r>
        <w:t>independently.</w:t>
      </w:r>
      <w:r w:rsidR="00BB1E70">
        <w:t xml:space="preserve"> </w:t>
      </w:r>
      <w:r w:rsidR="00A36610">
        <w:t xml:space="preserve">Each observer’s landmarking iterations were then averaged to create a centroid landmark configuration for that observer. The standard deviation of the x, y, and z coordinates of each observer’s centroid configurations were taken as the inter-observer error of the manual landmarks. Measures are averaged across dimensions and images (Table X) as well as averaged only across images (SI Table X). </w:t>
      </w:r>
    </w:p>
    <w:p w14:paraId="32F45BE6" w14:textId="09A52A27" w:rsidR="00137EC0" w:rsidRDefault="00926217" w:rsidP="00137EC0">
      <w:r>
        <w:rPr>
          <w:b/>
        </w:rPr>
        <w:t>Table X.</w:t>
      </w:r>
      <w:bookmarkStart w:id="0" w:name="_Hlk515122221"/>
      <w:r w:rsidR="0093338E">
        <w:rPr>
          <w:b/>
        </w:rPr>
        <w:t xml:space="preserve"> Intra- and inter-observer error of manual landmarks. </w:t>
      </w:r>
      <w:bookmarkEnd w:id="0"/>
      <w:r w:rsidR="0093338E">
        <w:t xml:space="preserve">Average of the standard deviation between observer AZ and observer JW’s landmarking iterations and between the centroid of observer AZ and observer JW’s landmark iterations across </w:t>
      </w:r>
      <w:r w:rsidR="0093338E" w:rsidRPr="0093338E">
        <w:rPr>
          <w:i/>
        </w:rPr>
        <w:t>x</w:t>
      </w:r>
      <w:r w:rsidR="0093338E">
        <w:t xml:space="preserve">, </w:t>
      </w:r>
      <w:r w:rsidR="0093338E" w:rsidRPr="0093338E">
        <w:rPr>
          <w:i/>
        </w:rPr>
        <w:t>y</w:t>
      </w:r>
      <w:r w:rsidR="0093338E">
        <w:t xml:space="preserve">, and </w:t>
      </w:r>
      <w:r w:rsidR="0093338E" w:rsidRPr="0093338E">
        <w:rPr>
          <w:i/>
        </w:rPr>
        <w:t>z</w:t>
      </w:r>
      <w:r w:rsidR="0093338E">
        <w:t xml:space="preserve"> dimensions and images.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50"/>
        <w:gridCol w:w="1476"/>
        <w:gridCol w:w="1603"/>
      </w:tblGrid>
      <w:tr w:rsidR="0093338E" w:rsidRPr="00270D5E" w14:paraId="3476B2DE" w14:textId="77777777" w:rsidTr="0093338E">
        <w:trPr>
          <w:trHeight w:val="310"/>
        </w:trPr>
        <w:tc>
          <w:tcPr>
            <w:tcW w:w="0" w:type="auto"/>
            <w:vMerge w:val="restart"/>
            <w:tcBorders>
              <w:right w:val="single" w:sz="4" w:space="0" w:color="auto"/>
            </w:tcBorders>
            <w:noWrap/>
            <w:vAlign w:val="center"/>
          </w:tcPr>
          <w:p w14:paraId="30AC6DAB" w14:textId="7E790B5B" w:rsidR="0093338E" w:rsidRPr="0093338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Landmark</w:t>
            </w:r>
          </w:p>
        </w:tc>
        <w:tc>
          <w:tcPr>
            <w:tcW w:w="0" w:type="auto"/>
            <w:gridSpan w:val="3"/>
            <w:tcBorders>
              <w:left w:val="single" w:sz="4" w:space="0" w:color="auto"/>
            </w:tcBorders>
            <w:noWrap/>
            <w:vAlign w:val="center"/>
          </w:tcPr>
          <w:p w14:paraId="5B826557" w14:textId="0FC40297" w:rsidR="0093338E" w:rsidRPr="0093338E" w:rsidRDefault="0093338E" w:rsidP="0093338E">
            <w:pPr>
              <w:spacing w:before="0" w:after="0"/>
              <w:jc w:val="center"/>
              <w:rPr>
                <w:rFonts w:eastAsia="Times New Roman" w:cs="Times New Roman"/>
                <w:i/>
                <w:color w:val="000000"/>
                <w:szCs w:val="24"/>
              </w:rPr>
            </w:pPr>
            <w:r w:rsidRPr="0093338E">
              <w:rPr>
                <w:rFonts w:eastAsia="Times New Roman" w:cs="Times New Roman"/>
                <w:i/>
                <w:color w:val="000000"/>
                <w:szCs w:val="24"/>
              </w:rPr>
              <w:t>Average SD (mm)</w:t>
            </w:r>
          </w:p>
        </w:tc>
      </w:tr>
      <w:tr w:rsidR="0093338E" w:rsidRPr="00270D5E" w14:paraId="13A389C1" w14:textId="77777777" w:rsidTr="0093338E">
        <w:trPr>
          <w:trHeight w:val="310"/>
        </w:trPr>
        <w:tc>
          <w:tcPr>
            <w:tcW w:w="0" w:type="auto"/>
            <w:vMerge/>
            <w:tcBorders>
              <w:bottom w:val="single" w:sz="4" w:space="0" w:color="auto"/>
              <w:right w:val="single" w:sz="4" w:space="0" w:color="auto"/>
            </w:tcBorders>
            <w:noWrap/>
            <w:vAlign w:val="center"/>
            <w:hideMark/>
          </w:tcPr>
          <w:p w14:paraId="6DB759F6" w14:textId="65FB8DBA" w:rsidR="0093338E" w:rsidRPr="00270D5E" w:rsidRDefault="0093338E" w:rsidP="0093338E">
            <w:pPr>
              <w:spacing w:before="0" w:after="0"/>
              <w:jc w:val="center"/>
              <w:rPr>
                <w:rFonts w:eastAsia="Times New Roman" w:cs="Times New Roman"/>
                <w:i/>
                <w:color w:val="000000"/>
                <w:szCs w:val="24"/>
              </w:rPr>
            </w:pPr>
          </w:p>
        </w:tc>
        <w:tc>
          <w:tcPr>
            <w:tcW w:w="0" w:type="auto"/>
            <w:tcBorders>
              <w:left w:val="single" w:sz="4" w:space="0" w:color="auto"/>
              <w:bottom w:val="single" w:sz="4" w:space="0" w:color="auto"/>
            </w:tcBorders>
            <w:noWrap/>
            <w:vAlign w:val="center"/>
            <w:hideMark/>
          </w:tcPr>
          <w:p w14:paraId="2E0317BF"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AZ</w:t>
            </w:r>
          </w:p>
        </w:tc>
        <w:tc>
          <w:tcPr>
            <w:tcW w:w="0" w:type="auto"/>
            <w:tcBorders>
              <w:bottom w:val="single" w:sz="4" w:space="0" w:color="auto"/>
            </w:tcBorders>
            <w:noWrap/>
            <w:vAlign w:val="center"/>
            <w:hideMark/>
          </w:tcPr>
          <w:p w14:paraId="47B2CB16"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JW</w:t>
            </w:r>
          </w:p>
        </w:tc>
        <w:tc>
          <w:tcPr>
            <w:tcW w:w="0" w:type="auto"/>
            <w:tcBorders>
              <w:bottom w:val="single" w:sz="4" w:space="0" w:color="auto"/>
            </w:tcBorders>
            <w:noWrap/>
            <w:vAlign w:val="center"/>
            <w:hideMark/>
          </w:tcPr>
          <w:p w14:paraId="3125D685" w14:textId="0A0283CF"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Inter-observer</w:t>
            </w:r>
          </w:p>
        </w:tc>
      </w:tr>
      <w:tr w:rsidR="00270D5E" w:rsidRPr="00270D5E" w14:paraId="0CA1138C" w14:textId="77777777" w:rsidTr="0093338E">
        <w:trPr>
          <w:trHeight w:val="310"/>
        </w:trPr>
        <w:tc>
          <w:tcPr>
            <w:tcW w:w="0" w:type="auto"/>
            <w:tcBorders>
              <w:top w:val="single" w:sz="4" w:space="0" w:color="auto"/>
              <w:right w:val="single" w:sz="4" w:space="0" w:color="auto"/>
            </w:tcBorders>
            <w:noWrap/>
            <w:vAlign w:val="center"/>
            <w:hideMark/>
          </w:tcPr>
          <w:p w14:paraId="03E87800"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lastRenderedPageBreak/>
              <w:t>Alar curvature left</w:t>
            </w:r>
          </w:p>
        </w:tc>
        <w:tc>
          <w:tcPr>
            <w:tcW w:w="0" w:type="auto"/>
            <w:tcBorders>
              <w:top w:val="single" w:sz="4" w:space="0" w:color="auto"/>
              <w:left w:val="single" w:sz="4" w:space="0" w:color="auto"/>
            </w:tcBorders>
            <w:noWrap/>
            <w:vAlign w:val="center"/>
            <w:hideMark/>
          </w:tcPr>
          <w:p w14:paraId="0850450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0.6020</w:t>
            </w:r>
          </w:p>
        </w:tc>
        <w:tc>
          <w:tcPr>
            <w:tcW w:w="0" w:type="auto"/>
            <w:tcBorders>
              <w:top w:val="single" w:sz="4" w:space="0" w:color="auto"/>
            </w:tcBorders>
            <w:noWrap/>
            <w:vAlign w:val="center"/>
            <w:hideMark/>
          </w:tcPr>
          <w:p w14:paraId="0A75241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0.4339</w:t>
            </w:r>
          </w:p>
        </w:tc>
        <w:tc>
          <w:tcPr>
            <w:tcW w:w="0" w:type="auto"/>
            <w:tcBorders>
              <w:top w:val="single" w:sz="4" w:space="0" w:color="auto"/>
            </w:tcBorders>
            <w:noWrap/>
            <w:vAlign w:val="center"/>
            <w:hideMark/>
          </w:tcPr>
          <w:p w14:paraId="4AF74F1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0.3067</w:t>
            </w:r>
          </w:p>
        </w:tc>
      </w:tr>
      <w:tr w:rsidR="00270D5E" w:rsidRPr="00270D5E" w14:paraId="3C70D969" w14:textId="77777777" w:rsidTr="0093338E">
        <w:trPr>
          <w:trHeight w:val="310"/>
        </w:trPr>
        <w:tc>
          <w:tcPr>
            <w:tcW w:w="0" w:type="auto"/>
            <w:tcBorders>
              <w:right w:val="single" w:sz="4" w:space="0" w:color="auto"/>
            </w:tcBorders>
            <w:noWrap/>
            <w:vAlign w:val="center"/>
            <w:hideMark/>
          </w:tcPr>
          <w:p w14:paraId="1A77A992"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right</w:t>
            </w:r>
          </w:p>
        </w:tc>
        <w:tc>
          <w:tcPr>
            <w:tcW w:w="0" w:type="auto"/>
            <w:tcBorders>
              <w:left w:val="single" w:sz="4" w:space="0" w:color="auto"/>
            </w:tcBorders>
            <w:noWrap/>
            <w:vAlign w:val="center"/>
            <w:hideMark/>
          </w:tcPr>
          <w:p w14:paraId="7BB0F2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0.6304</w:t>
            </w:r>
          </w:p>
        </w:tc>
        <w:tc>
          <w:tcPr>
            <w:tcW w:w="0" w:type="auto"/>
            <w:noWrap/>
            <w:vAlign w:val="center"/>
            <w:hideMark/>
          </w:tcPr>
          <w:p w14:paraId="4E66F9E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0.3773</w:t>
            </w:r>
          </w:p>
        </w:tc>
        <w:tc>
          <w:tcPr>
            <w:tcW w:w="0" w:type="auto"/>
            <w:noWrap/>
            <w:vAlign w:val="center"/>
            <w:hideMark/>
          </w:tcPr>
          <w:p w14:paraId="5F8CED1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0.3287</w:t>
            </w:r>
          </w:p>
        </w:tc>
      </w:tr>
      <w:tr w:rsidR="00270D5E" w:rsidRPr="00270D5E" w14:paraId="7945B82E" w14:textId="77777777" w:rsidTr="0093338E">
        <w:trPr>
          <w:trHeight w:val="310"/>
        </w:trPr>
        <w:tc>
          <w:tcPr>
            <w:tcW w:w="0" w:type="auto"/>
            <w:tcBorders>
              <w:right w:val="single" w:sz="4" w:space="0" w:color="auto"/>
            </w:tcBorders>
            <w:noWrap/>
            <w:vAlign w:val="center"/>
            <w:hideMark/>
          </w:tcPr>
          <w:p w14:paraId="50515840"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5BB377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0.6080</w:t>
            </w:r>
          </w:p>
        </w:tc>
        <w:tc>
          <w:tcPr>
            <w:tcW w:w="0" w:type="auto"/>
            <w:noWrap/>
            <w:vAlign w:val="center"/>
            <w:hideMark/>
          </w:tcPr>
          <w:p w14:paraId="0EFE301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0.4472</w:t>
            </w:r>
          </w:p>
        </w:tc>
        <w:tc>
          <w:tcPr>
            <w:tcW w:w="0" w:type="auto"/>
            <w:noWrap/>
            <w:vAlign w:val="center"/>
            <w:hideMark/>
          </w:tcPr>
          <w:p w14:paraId="4886DFD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0.4182</w:t>
            </w:r>
          </w:p>
        </w:tc>
      </w:tr>
      <w:tr w:rsidR="00270D5E" w:rsidRPr="00270D5E" w14:paraId="2E05FB2B" w14:textId="77777777" w:rsidTr="0093338E">
        <w:trPr>
          <w:trHeight w:val="310"/>
        </w:trPr>
        <w:tc>
          <w:tcPr>
            <w:tcW w:w="0" w:type="auto"/>
            <w:tcBorders>
              <w:right w:val="single" w:sz="4" w:space="0" w:color="auto"/>
            </w:tcBorders>
            <w:noWrap/>
            <w:vAlign w:val="center"/>
            <w:hideMark/>
          </w:tcPr>
          <w:p w14:paraId="02B7B9B2"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5D5B943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0.6002</w:t>
            </w:r>
          </w:p>
        </w:tc>
        <w:tc>
          <w:tcPr>
            <w:tcW w:w="0" w:type="auto"/>
            <w:noWrap/>
            <w:vAlign w:val="center"/>
            <w:hideMark/>
          </w:tcPr>
          <w:p w14:paraId="1D52D94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0.4934</w:t>
            </w:r>
          </w:p>
        </w:tc>
        <w:tc>
          <w:tcPr>
            <w:tcW w:w="0" w:type="auto"/>
            <w:noWrap/>
            <w:vAlign w:val="center"/>
            <w:hideMark/>
          </w:tcPr>
          <w:p w14:paraId="0E675A7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0.2984</w:t>
            </w:r>
          </w:p>
        </w:tc>
      </w:tr>
      <w:tr w:rsidR="00270D5E" w:rsidRPr="00270D5E" w14:paraId="158599EA" w14:textId="77777777" w:rsidTr="0093338E">
        <w:trPr>
          <w:trHeight w:val="310"/>
        </w:trPr>
        <w:tc>
          <w:tcPr>
            <w:tcW w:w="0" w:type="auto"/>
            <w:tcBorders>
              <w:right w:val="single" w:sz="4" w:space="0" w:color="auto"/>
            </w:tcBorders>
            <w:noWrap/>
            <w:vAlign w:val="center"/>
            <w:hideMark/>
          </w:tcPr>
          <w:p w14:paraId="36817118"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1EDC82B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0.5016</w:t>
            </w:r>
          </w:p>
        </w:tc>
        <w:tc>
          <w:tcPr>
            <w:tcW w:w="0" w:type="auto"/>
            <w:noWrap/>
            <w:vAlign w:val="center"/>
            <w:hideMark/>
          </w:tcPr>
          <w:p w14:paraId="0C8F1D3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0.3041</w:t>
            </w:r>
          </w:p>
        </w:tc>
        <w:tc>
          <w:tcPr>
            <w:tcW w:w="0" w:type="auto"/>
            <w:noWrap/>
            <w:vAlign w:val="center"/>
            <w:hideMark/>
          </w:tcPr>
          <w:p w14:paraId="695FA68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0.3881</w:t>
            </w:r>
          </w:p>
        </w:tc>
      </w:tr>
      <w:tr w:rsidR="00270D5E" w:rsidRPr="00270D5E" w14:paraId="0B4C58DF" w14:textId="77777777" w:rsidTr="0093338E">
        <w:trPr>
          <w:trHeight w:val="310"/>
        </w:trPr>
        <w:tc>
          <w:tcPr>
            <w:tcW w:w="0" w:type="auto"/>
            <w:tcBorders>
              <w:right w:val="single" w:sz="4" w:space="0" w:color="auto"/>
            </w:tcBorders>
            <w:noWrap/>
            <w:vAlign w:val="center"/>
            <w:hideMark/>
          </w:tcPr>
          <w:p w14:paraId="416E50F1"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40240A7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0.5358</w:t>
            </w:r>
          </w:p>
        </w:tc>
        <w:tc>
          <w:tcPr>
            <w:tcW w:w="0" w:type="auto"/>
            <w:noWrap/>
            <w:vAlign w:val="center"/>
            <w:hideMark/>
          </w:tcPr>
          <w:p w14:paraId="41B233B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0.2949</w:t>
            </w:r>
          </w:p>
        </w:tc>
        <w:tc>
          <w:tcPr>
            <w:tcW w:w="0" w:type="auto"/>
            <w:noWrap/>
            <w:vAlign w:val="center"/>
            <w:hideMark/>
          </w:tcPr>
          <w:p w14:paraId="6C7623E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0.4737</w:t>
            </w:r>
          </w:p>
        </w:tc>
      </w:tr>
      <w:tr w:rsidR="00270D5E" w:rsidRPr="00270D5E" w14:paraId="46356F65" w14:textId="77777777" w:rsidTr="0093338E">
        <w:trPr>
          <w:trHeight w:val="310"/>
        </w:trPr>
        <w:tc>
          <w:tcPr>
            <w:tcW w:w="0" w:type="auto"/>
            <w:tcBorders>
              <w:right w:val="single" w:sz="4" w:space="0" w:color="auto"/>
            </w:tcBorders>
            <w:noWrap/>
            <w:vAlign w:val="center"/>
            <w:hideMark/>
          </w:tcPr>
          <w:p w14:paraId="0AFA118C"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67FD39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0.7447</w:t>
            </w:r>
          </w:p>
        </w:tc>
        <w:tc>
          <w:tcPr>
            <w:tcW w:w="0" w:type="auto"/>
            <w:noWrap/>
            <w:vAlign w:val="center"/>
            <w:hideMark/>
          </w:tcPr>
          <w:p w14:paraId="60E6313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0.4372</w:t>
            </w:r>
          </w:p>
        </w:tc>
        <w:tc>
          <w:tcPr>
            <w:tcW w:w="0" w:type="auto"/>
            <w:noWrap/>
            <w:vAlign w:val="center"/>
            <w:hideMark/>
          </w:tcPr>
          <w:p w14:paraId="79FBA6A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0.4362</w:t>
            </w:r>
          </w:p>
        </w:tc>
      </w:tr>
      <w:tr w:rsidR="00270D5E" w:rsidRPr="00270D5E" w14:paraId="79AAB616" w14:textId="77777777" w:rsidTr="0093338E">
        <w:trPr>
          <w:trHeight w:val="310"/>
        </w:trPr>
        <w:tc>
          <w:tcPr>
            <w:tcW w:w="0" w:type="auto"/>
            <w:tcBorders>
              <w:right w:val="single" w:sz="4" w:space="0" w:color="auto"/>
            </w:tcBorders>
            <w:noWrap/>
            <w:vAlign w:val="center"/>
            <w:hideMark/>
          </w:tcPr>
          <w:p w14:paraId="0AFF52FB"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01F202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0.7697</w:t>
            </w:r>
          </w:p>
        </w:tc>
        <w:tc>
          <w:tcPr>
            <w:tcW w:w="0" w:type="auto"/>
            <w:noWrap/>
            <w:vAlign w:val="center"/>
            <w:hideMark/>
          </w:tcPr>
          <w:p w14:paraId="45206DA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0.4462</w:t>
            </w:r>
          </w:p>
        </w:tc>
        <w:tc>
          <w:tcPr>
            <w:tcW w:w="0" w:type="auto"/>
            <w:noWrap/>
            <w:vAlign w:val="center"/>
            <w:hideMark/>
          </w:tcPr>
          <w:p w14:paraId="081A729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0.3608</w:t>
            </w:r>
          </w:p>
        </w:tc>
      </w:tr>
      <w:tr w:rsidR="00270D5E" w:rsidRPr="00270D5E" w14:paraId="3B09D5FD" w14:textId="77777777" w:rsidTr="0093338E">
        <w:trPr>
          <w:trHeight w:val="310"/>
        </w:trPr>
        <w:tc>
          <w:tcPr>
            <w:tcW w:w="0" w:type="auto"/>
            <w:tcBorders>
              <w:right w:val="single" w:sz="4" w:space="0" w:color="auto"/>
            </w:tcBorders>
            <w:noWrap/>
            <w:vAlign w:val="center"/>
            <w:hideMark/>
          </w:tcPr>
          <w:p w14:paraId="251862C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3923EA4"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0.5863</w:t>
            </w:r>
          </w:p>
        </w:tc>
        <w:tc>
          <w:tcPr>
            <w:tcW w:w="0" w:type="auto"/>
            <w:noWrap/>
            <w:vAlign w:val="center"/>
            <w:hideMark/>
          </w:tcPr>
          <w:p w14:paraId="0C79E4F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0.4380</w:t>
            </w:r>
          </w:p>
        </w:tc>
        <w:tc>
          <w:tcPr>
            <w:tcW w:w="0" w:type="auto"/>
            <w:noWrap/>
            <w:vAlign w:val="center"/>
            <w:hideMark/>
          </w:tcPr>
          <w:p w14:paraId="3B515A8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0.2946</w:t>
            </w:r>
          </w:p>
        </w:tc>
      </w:tr>
      <w:tr w:rsidR="00270D5E" w:rsidRPr="00270D5E" w14:paraId="43BDCC07" w14:textId="77777777" w:rsidTr="0093338E">
        <w:trPr>
          <w:trHeight w:val="310"/>
        </w:trPr>
        <w:tc>
          <w:tcPr>
            <w:tcW w:w="0" w:type="auto"/>
            <w:tcBorders>
              <w:right w:val="single" w:sz="4" w:space="0" w:color="auto"/>
            </w:tcBorders>
            <w:noWrap/>
            <w:vAlign w:val="center"/>
            <w:hideMark/>
          </w:tcPr>
          <w:p w14:paraId="03631D8F"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71B7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0.6543</w:t>
            </w:r>
          </w:p>
        </w:tc>
        <w:tc>
          <w:tcPr>
            <w:tcW w:w="0" w:type="auto"/>
            <w:noWrap/>
            <w:vAlign w:val="center"/>
            <w:hideMark/>
          </w:tcPr>
          <w:p w14:paraId="01A6722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0.3579</w:t>
            </w:r>
          </w:p>
        </w:tc>
        <w:tc>
          <w:tcPr>
            <w:tcW w:w="0" w:type="auto"/>
            <w:noWrap/>
            <w:vAlign w:val="center"/>
            <w:hideMark/>
          </w:tcPr>
          <w:p w14:paraId="6974DF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0.2855</w:t>
            </w:r>
          </w:p>
        </w:tc>
      </w:tr>
      <w:tr w:rsidR="00270D5E" w:rsidRPr="00270D5E" w14:paraId="1B4D5DE2" w14:textId="77777777" w:rsidTr="0093338E">
        <w:trPr>
          <w:trHeight w:val="310"/>
        </w:trPr>
        <w:tc>
          <w:tcPr>
            <w:tcW w:w="0" w:type="auto"/>
            <w:tcBorders>
              <w:right w:val="single" w:sz="4" w:space="0" w:color="auto"/>
            </w:tcBorders>
            <w:noWrap/>
            <w:vAlign w:val="center"/>
            <w:hideMark/>
          </w:tcPr>
          <w:p w14:paraId="6348EF33"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Glabella</w:t>
            </w:r>
          </w:p>
        </w:tc>
        <w:tc>
          <w:tcPr>
            <w:tcW w:w="0" w:type="auto"/>
            <w:tcBorders>
              <w:left w:val="single" w:sz="4" w:space="0" w:color="auto"/>
            </w:tcBorders>
            <w:noWrap/>
            <w:vAlign w:val="center"/>
            <w:hideMark/>
          </w:tcPr>
          <w:p w14:paraId="000D5C6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0.5761</w:t>
            </w:r>
          </w:p>
        </w:tc>
        <w:tc>
          <w:tcPr>
            <w:tcW w:w="0" w:type="auto"/>
            <w:noWrap/>
            <w:vAlign w:val="center"/>
            <w:hideMark/>
          </w:tcPr>
          <w:p w14:paraId="1B9DE1D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0.6881</w:t>
            </w:r>
          </w:p>
        </w:tc>
        <w:tc>
          <w:tcPr>
            <w:tcW w:w="0" w:type="auto"/>
            <w:noWrap/>
            <w:vAlign w:val="center"/>
            <w:hideMark/>
          </w:tcPr>
          <w:p w14:paraId="12ECA39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0.4542</w:t>
            </w:r>
          </w:p>
        </w:tc>
      </w:tr>
      <w:tr w:rsidR="00270D5E" w:rsidRPr="00270D5E" w14:paraId="583E3E17" w14:textId="77777777" w:rsidTr="0093338E">
        <w:trPr>
          <w:trHeight w:val="310"/>
        </w:trPr>
        <w:tc>
          <w:tcPr>
            <w:tcW w:w="0" w:type="auto"/>
            <w:tcBorders>
              <w:right w:val="single" w:sz="4" w:space="0" w:color="auto"/>
            </w:tcBorders>
            <w:noWrap/>
            <w:vAlign w:val="center"/>
            <w:hideMark/>
          </w:tcPr>
          <w:p w14:paraId="0217622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inferius</w:t>
            </w:r>
            <w:proofErr w:type="spellEnd"/>
          </w:p>
        </w:tc>
        <w:tc>
          <w:tcPr>
            <w:tcW w:w="0" w:type="auto"/>
            <w:tcBorders>
              <w:left w:val="single" w:sz="4" w:space="0" w:color="auto"/>
            </w:tcBorders>
            <w:noWrap/>
            <w:vAlign w:val="center"/>
            <w:hideMark/>
          </w:tcPr>
          <w:p w14:paraId="561D046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0.5032</w:t>
            </w:r>
          </w:p>
        </w:tc>
        <w:tc>
          <w:tcPr>
            <w:tcW w:w="0" w:type="auto"/>
            <w:noWrap/>
            <w:vAlign w:val="center"/>
            <w:hideMark/>
          </w:tcPr>
          <w:p w14:paraId="323DB60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0.3175</w:t>
            </w:r>
          </w:p>
        </w:tc>
        <w:tc>
          <w:tcPr>
            <w:tcW w:w="0" w:type="auto"/>
            <w:noWrap/>
            <w:vAlign w:val="center"/>
            <w:hideMark/>
          </w:tcPr>
          <w:p w14:paraId="047D5BF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0.5857</w:t>
            </w:r>
          </w:p>
        </w:tc>
      </w:tr>
      <w:tr w:rsidR="00270D5E" w:rsidRPr="00270D5E" w14:paraId="18438A61" w14:textId="77777777" w:rsidTr="0093338E">
        <w:trPr>
          <w:trHeight w:val="310"/>
        </w:trPr>
        <w:tc>
          <w:tcPr>
            <w:tcW w:w="0" w:type="auto"/>
            <w:tcBorders>
              <w:right w:val="single" w:sz="4" w:space="0" w:color="auto"/>
            </w:tcBorders>
            <w:noWrap/>
            <w:vAlign w:val="center"/>
            <w:hideMark/>
          </w:tcPr>
          <w:p w14:paraId="66E0E201"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superius</w:t>
            </w:r>
          </w:p>
        </w:tc>
        <w:tc>
          <w:tcPr>
            <w:tcW w:w="0" w:type="auto"/>
            <w:tcBorders>
              <w:left w:val="single" w:sz="4" w:space="0" w:color="auto"/>
            </w:tcBorders>
            <w:noWrap/>
            <w:vAlign w:val="center"/>
            <w:hideMark/>
          </w:tcPr>
          <w:p w14:paraId="5C4B1E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0.4254</w:t>
            </w:r>
          </w:p>
        </w:tc>
        <w:tc>
          <w:tcPr>
            <w:tcW w:w="0" w:type="auto"/>
            <w:noWrap/>
            <w:vAlign w:val="center"/>
            <w:hideMark/>
          </w:tcPr>
          <w:p w14:paraId="48DFC71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0.2666</w:t>
            </w:r>
          </w:p>
        </w:tc>
        <w:tc>
          <w:tcPr>
            <w:tcW w:w="0" w:type="auto"/>
            <w:noWrap/>
            <w:vAlign w:val="center"/>
            <w:hideMark/>
          </w:tcPr>
          <w:p w14:paraId="4BE4815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0.3185</w:t>
            </w:r>
          </w:p>
        </w:tc>
      </w:tr>
      <w:tr w:rsidR="00270D5E" w:rsidRPr="00270D5E" w14:paraId="44822F67" w14:textId="77777777" w:rsidTr="0093338E">
        <w:trPr>
          <w:trHeight w:val="310"/>
        </w:trPr>
        <w:tc>
          <w:tcPr>
            <w:tcW w:w="0" w:type="auto"/>
            <w:tcBorders>
              <w:right w:val="single" w:sz="4" w:space="0" w:color="auto"/>
            </w:tcBorders>
            <w:noWrap/>
            <w:vAlign w:val="center"/>
            <w:hideMark/>
          </w:tcPr>
          <w:p w14:paraId="72206A8D"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Nasion</w:t>
            </w:r>
            <w:proofErr w:type="spellEnd"/>
          </w:p>
        </w:tc>
        <w:tc>
          <w:tcPr>
            <w:tcW w:w="0" w:type="auto"/>
            <w:tcBorders>
              <w:left w:val="single" w:sz="4" w:space="0" w:color="auto"/>
            </w:tcBorders>
            <w:noWrap/>
            <w:vAlign w:val="center"/>
            <w:hideMark/>
          </w:tcPr>
          <w:p w14:paraId="60A48FB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0.5365</w:t>
            </w:r>
          </w:p>
        </w:tc>
        <w:tc>
          <w:tcPr>
            <w:tcW w:w="0" w:type="auto"/>
            <w:noWrap/>
            <w:vAlign w:val="center"/>
            <w:hideMark/>
          </w:tcPr>
          <w:p w14:paraId="242A604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0.5402</w:t>
            </w:r>
          </w:p>
        </w:tc>
        <w:tc>
          <w:tcPr>
            <w:tcW w:w="0" w:type="auto"/>
            <w:noWrap/>
            <w:vAlign w:val="center"/>
            <w:hideMark/>
          </w:tcPr>
          <w:p w14:paraId="08BC8D3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0.4938</w:t>
            </w:r>
          </w:p>
        </w:tc>
      </w:tr>
      <w:tr w:rsidR="00270D5E" w:rsidRPr="00270D5E" w14:paraId="1BEE6F26" w14:textId="77777777" w:rsidTr="0093338E">
        <w:trPr>
          <w:trHeight w:val="310"/>
        </w:trPr>
        <w:tc>
          <w:tcPr>
            <w:tcW w:w="0" w:type="auto"/>
            <w:tcBorders>
              <w:right w:val="single" w:sz="4" w:space="0" w:color="auto"/>
            </w:tcBorders>
            <w:noWrap/>
            <w:vAlign w:val="center"/>
            <w:hideMark/>
          </w:tcPr>
          <w:p w14:paraId="516153A4"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Pogonion</w:t>
            </w:r>
          </w:p>
        </w:tc>
        <w:tc>
          <w:tcPr>
            <w:tcW w:w="0" w:type="auto"/>
            <w:tcBorders>
              <w:left w:val="single" w:sz="4" w:space="0" w:color="auto"/>
            </w:tcBorders>
            <w:noWrap/>
            <w:vAlign w:val="center"/>
            <w:hideMark/>
          </w:tcPr>
          <w:p w14:paraId="1DD2908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0.8208</w:t>
            </w:r>
          </w:p>
        </w:tc>
        <w:tc>
          <w:tcPr>
            <w:tcW w:w="0" w:type="auto"/>
            <w:noWrap/>
            <w:vAlign w:val="center"/>
            <w:hideMark/>
          </w:tcPr>
          <w:p w14:paraId="31FF254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0.7593</w:t>
            </w:r>
          </w:p>
        </w:tc>
        <w:tc>
          <w:tcPr>
            <w:tcW w:w="0" w:type="auto"/>
            <w:noWrap/>
            <w:vAlign w:val="center"/>
            <w:hideMark/>
          </w:tcPr>
          <w:p w14:paraId="2445919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0.5987</w:t>
            </w:r>
          </w:p>
        </w:tc>
      </w:tr>
      <w:tr w:rsidR="00270D5E" w:rsidRPr="00270D5E" w14:paraId="780B9619" w14:textId="77777777" w:rsidTr="0093338E">
        <w:trPr>
          <w:trHeight w:val="310"/>
        </w:trPr>
        <w:tc>
          <w:tcPr>
            <w:tcW w:w="0" w:type="auto"/>
            <w:tcBorders>
              <w:right w:val="single" w:sz="4" w:space="0" w:color="auto"/>
            </w:tcBorders>
            <w:noWrap/>
            <w:vAlign w:val="center"/>
            <w:hideMark/>
          </w:tcPr>
          <w:p w14:paraId="252AC7DE"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Pronasale</w:t>
            </w:r>
            <w:proofErr w:type="spellEnd"/>
          </w:p>
        </w:tc>
        <w:tc>
          <w:tcPr>
            <w:tcW w:w="0" w:type="auto"/>
            <w:tcBorders>
              <w:left w:val="single" w:sz="4" w:space="0" w:color="auto"/>
            </w:tcBorders>
            <w:noWrap/>
            <w:vAlign w:val="center"/>
            <w:hideMark/>
          </w:tcPr>
          <w:p w14:paraId="754258E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0.4593</w:t>
            </w:r>
          </w:p>
        </w:tc>
        <w:tc>
          <w:tcPr>
            <w:tcW w:w="0" w:type="auto"/>
            <w:noWrap/>
            <w:vAlign w:val="center"/>
            <w:hideMark/>
          </w:tcPr>
          <w:p w14:paraId="0D5A6EAB"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0.3157</w:t>
            </w:r>
          </w:p>
        </w:tc>
        <w:tc>
          <w:tcPr>
            <w:tcW w:w="0" w:type="auto"/>
            <w:noWrap/>
            <w:vAlign w:val="center"/>
            <w:hideMark/>
          </w:tcPr>
          <w:p w14:paraId="61543F4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0.3323</w:t>
            </w:r>
          </w:p>
        </w:tc>
      </w:tr>
      <w:tr w:rsidR="00270D5E" w:rsidRPr="00270D5E" w14:paraId="69BAACF7" w14:textId="77777777" w:rsidTr="0093338E">
        <w:trPr>
          <w:trHeight w:val="310"/>
        </w:trPr>
        <w:tc>
          <w:tcPr>
            <w:tcW w:w="0" w:type="auto"/>
            <w:tcBorders>
              <w:right w:val="single" w:sz="4" w:space="0" w:color="auto"/>
            </w:tcBorders>
            <w:noWrap/>
            <w:vAlign w:val="center"/>
            <w:hideMark/>
          </w:tcPr>
          <w:p w14:paraId="6F8A361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2449F7A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0.5018</w:t>
            </w:r>
          </w:p>
        </w:tc>
        <w:tc>
          <w:tcPr>
            <w:tcW w:w="0" w:type="auto"/>
            <w:noWrap/>
            <w:vAlign w:val="center"/>
            <w:hideMark/>
          </w:tcPr>
          <w:p w14:paraId="44AFBAA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0.4262</w:t>
            </w:r>
          </w:p>
        </w:tc>
        <w:tc>
          <w:tcPr>
            <w:tcW w:w="0" w:type="auto"/>
            <w:noWrap/>
            <w:vAlign w:val="center"/>
            <w:hideMark/>
          </w:tcPr>
          <w:p w14:paraId="2497AC5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0.4005</w:t>
            </w:r>
          </w:p>
        </w:tc>
      </w:tr>
      <w:tr w:rsidR="00270D5E" w:rsidRPr="00270D5E" w14:paraId="03E47E68" w14:textId="77777777" w:rsidTr="0093338E">
        <w:trPr>
          <w:trHeight w:val="310"/>
        </w:trPr>
        <w:tc>
          <w:tcPr>
            <w:tcW w:w="0" w:type="auto"/>
            <w:tcBorders>
              <w:right w:val="single" w:sz="4" w:space="0" w:color="auto"/>
            </w:tcBorders>
            <w:noWrap/>
            <w:vAlign w:val="center"/>
            <w:hideMark/>
          </w:tcPr>
          <w:p w14:paraId="398A5E24"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4A5F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0.4883</w:t>
            </w:r>
          </w:p>
        </w:tc>
        <w:tc>
          <w:tcPr>
            <w:tcW w:w="0" w:type="auto"/>
            <w:noWrap/>
            <w:vAlign w:val="center"/>
            <w:hideMark/>
          </w:tcPr>
          <w:p w14:paraId="1C4AE5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0.4848</w:t>
            </w:r>
          </w:p>
        </w:tc>
        <w:tc>
          <w:tcPr>
            <w:tcW w:w="0" w:type="auto"/>
            <w:noWrap/>
            <w:vAlign w:val="center"/>
            <w:hideMark/>
          </w:tcPr>
          <w:p w14:paraId="006027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0.4283</w:t>
            </w:r>
          </w:p>
        </w:tc>
      </w:tr>
      <w:tr w:rsidR="00270D5E" w:rsidRPr="00270D5E" w14:paraId="5F238A13" w14:textId="77777777" w:rsidTr="0093338E">
        <w:trPr>
          <w:trHeight w:val="310"/>
        </w:trPr>
        <w:tc>
          <w:tcPr>
            <w:tcW w:w="0" w:type="auto"/>
            <w:tcBorders>
              <w:right w:val="single" w:sz="4" w:space="0" w:color="auto"/>
            </w:tcBorders>
            <w:noWrap/>
            <w:vAlign w:val="center"/>
            <w:hideMark/>
          </w:tcPr>
          <w:p w14:paraId="6FD20A7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Subnasale</w:t>
            </w:r>
            <w:proofErr w:type="spellEnd"/>
          </w:p>
        </w:tc>
        <w:tc>
          <w:tcPr>
            <w:tcW w:w="0" w:type="auto"/>
            <w:tcBorders>
              <w:left w:val="single" w:sz="4" w:space="0" w:color="auto"/>
            </w:tcBorders>
            <w:noWrap/>
            <w:vAlign w:val="center"/>
            <w:hideMark/>
          </w:tcPr>
          <w:p w14:paraId="67E83F4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0.4504</w:t>
            </w:r>
          </w:p>
        </w:tc>
        <w:tc>
          <w:tcPr>
            <w:tcW w:w="0" w:type="auto"/>
            <w:noWrap/>
            <w:vAlign w:val="center"/>
            <w:hideMark/>
          </w:tcPr>
          <w:p w14:paraId="53D125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0.4695</w:t>
            </w:r>
          </w:p>
        </w:tc>
        <w:tc>
          <w:tcPr>
            <w:tcW w:w="0" w:type="auto"/>
            <w:noWrap/>
            <w:vAlign w:val="center"/>
            <w:hideMark/>
          </w:tcPr>
          <w:p w14:paraId="19AB63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0.3480</w:t>
            </w:r>
          </w:p>
        </w:tc>
      </w:tr>
      <w:tr w:rsidR="00270D5E" w:rsidRPr="00270D5E" w14:paraId="0869BA0B" w14:textId="77777777" w:rsidTr="0093338E">
        <w:trPr>
          <w:trHeight w:val="310"/>
        </w:trPr>
        <w:tc>
          <w:tcPr>
            <w:tcW w:w="0" w:type="auto"/>
            <w:tcBorders>
              <w:right w:val="single" w:sz="4" w:space="0" w:color="auto"/>
            </w:tcBorders>
            <w:noWrap/>
            <w:vAlign w:val="center"/>
            <w:hideMark/>
          </w:tcPr>
          <w:p w14:paraId="7174E4D9" w14:textId="77777777" w:rsidR="00270D5E" w:rsidRPr="00270D5E" w:rsidRDefault="00270D5E" w:rsidP="0093338E">
            <w:pPr>
              <w:spacing w:before="0" w:after="0"/>
              <w:jc w:val="center"/>
              <w:rPr>
                <w:rFonts w:eastAsia="Times New Roman" w:cs="Times New Roman"/>
                <w:b/>
                <w:i/>
                <w:color w:val="000000"/>
                <w:szCs w:val="24"/>
              </w:rPr>
            </w:pPr>
            <w:r w:rsidRPr="00270D5E">
              <w:rPr>
                <w:rFonts w:eastAsia="Times New Roman" w:cs="Times New Roman"/>
                <w:b/>
                <w:i/>
                <w:color w:val="000000"/>
                <w:szCs w:val="24"/>
              </w:rPr>
              <w:t>Mean</w:t>
            </w:r>
          </w:p>
        </w:tc>
        <w:tc>
          <w:tcPr>
            <w:tcW w:w="0" w:type="auto"/>
            <w:tcBorders>
              <w:left w:val="single" w:sz="4" w:space="0" w:color="auto"/>
            </w:tcBorders>
            <w:noWrap/>
            <w:vAlign w:val="center"/>
            <w:hideMark/>
          </w:tcPr>
          <w:p w14:paraId="2C7C52E4"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0.5787</w:t>
            </w:r>
          </w:p>
        </w:tc>
        <w:tc>
          <w:tcPr>
            <w:tcW w:w="0" w:type="auto"/>
            <w:noWrap/>
            <w:vAlign w:val="center"/>
            <w:hideMark/>
          </w:tcPr>
          <w:p w14:paraId="3884CA9F"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0.4367</w:t>
            </w:r>
          </w:p>
        </w:tc>
        <w:tc>
          <w:tcPr>
            <w:tcW w:w="0" w:type="auto"/>
            <w:noWrap/>
            <w:vAlign w:val="center"/>
            <w:hideMark/>
          </w:tcPr>
          <w:p w14:paraId="595E0EC6"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0.3974</w:t>
            </w:r>
          </w:p>
        </w:tc>
      </w:tr>
    </w:tbl>
    <w:p w14:paraId="72272FAB" w14:textId="77777777" w:rsidR="00904E53" w:rsidRDefault="00904E53" w:rsidP="00904E53">
      <w:pPr>
        <w:pStyle w:val="Heading4"/>
        <w:numPr>
          <w:ilvl w:val="0"/>
          <w:numId w:val="0"/>
        </w:numPr>
        <w:ind w:left="567"/>
      </w:pPr>
    </w:p>
    <w:p w14:paraId="09245956" w14:textId="2165B9D2" w:rsidR="00E94D94" w:rsidRDefault="00904E53" w:rsidP="00904E53">
      <w:pPr>
        <w:pStyle w:val="Heading4"/>
      </w:pPr>
      <w:r>
        <w:t>Comparison of manual and automatic landmark placements</w:t>
      </w:r>
    </w:p>
    <w:p w14:paraId="5696833B" w14:textId="77777777" w:rsidR="00904E53" w:rsidRPr="00904E53" w:rsidRDefault="00904E53" w:rsidP="00904E53">
      <w:bookmarkStart w:id="1" w:name="_GoBack"/>
      <w:bookmarkEnd w:id="1"/>
    </w:p>
    <w:p w14:paraId="05D9FA82" w14:textId="77777777" w:rsidR="001D5C23" w:rsidRDefault="008F4E4F" w:rsidP="001D5C23">
      <w:pPr>
        <w:pStyle w:val="Heading1"/>
      </w:pPr>
      <w:r>
        <w:t>Results</w:t>
      </w:r>
    </w:p>
    <w:p w14:paraId="166BEE7F" w14:textId="60F4E754" w:rsidR="00D43DCB" w:rsidRDefault="00740F06" w:rsidP="00766354">
      <w:pPr>
        <w:pStyle w:val="Heading2"/>
      </w:pPr>
      <w:r>
        <w:t>Intra-</w:t>
      </w:r>
      <w:r w:rsidR="006473D4">
        <w:t xml:space="preserve"> and inter-</w:t>
      </w:r>
      <w:r>
        <w:t>observer error of manual landmarks</w:t>
      </w:r>
    </w:p>
    <w:p w14:paraId="3BC02623" w14:textId="34C1332F" w:rsidR="00740F06" w:rsidRPr="00740F06" w:rsidRDefault="00740F06" w:rsidP="00740F06">
      <w:r>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w:t>
      </w:r>
      <w:r w:rsidR="00A36610">
        <w:t>.</w:t>
      </w:r>
      <w:r w:rsidR="00065622">
        <w:t xml:space="preserve"> </w:t>
      </w:r>
      <w:r w:rsidR="00BD0465">
        <w:t xml:space="preserve">Table X reports the </w:t>
      </w:r>
      <w:r w:rsidR="00A36610">
        <w:t xml:space="preserve">per-landmark </w:t>
      </w:r>
      <w:r w:rsidR="00C96F24">
        <w:t>standard deviation</w:t>
      </w:r>
      <w:r w:rsidR="00A36610">
        <w:t xml:space="preserve">, averaged across dimensions and images. </w:t>
      </w:r>
      <w:r w:rsidR="00BD0465">
        <w:t xml:space="preserve">The average </w:t>
      </w:r>
      <w:r w:rsidR="00137EC0">
        <w:t>standard deviation of</w:t>
      </w:r>
      <w:r w:rsidR="00A36610">
        <w:t xml:space="preserve"> observer AZ across all landmarks was 0.5787 mm while the average standard deviation of observer JW across all landmarks was 0.4367 mm</w:t>
      </w:r>
      <w:r w:rsidR="00BD0465">
        <w:t xml:space="preserve">. </w:t>
      </w:r>
      <w:r w:rsidR="00970F8F">
        <w:t xml:space="preserve">The average inter-observer error, measured as the standard deviation between the </w:t>
      </w:r>
      <w:r w:rsidR="00970F8F" w:rsidRPr="00970F8F">
        <w:rPr>
          <w:i/>
        </w:rPr>
        <w:t>x</w:t>
      </w:r>
      <w:r w:rsidR="00970F8F">
        <w:t xml:space="preserve">, </w:t>
      </w:r>
      <w:r w:rsidR="00970F8F" w:rsidRPr="00970F8F">
        <w:rPr>
          <w:i/>
        </w:rPr>
        <w:t>y</w:t>
      </w:r>
      <w:r w:rsidR="00970F8F">
        <w:t xml:space="preserve">, and </w:t>
      </w:r>
      <w:r w:rsidR="00970F8F" w:rsidRPr="00970F8F">
        <w:rPr>
          <w:i/>
        </w:rPr>
        <w:t>z</w:t>
      </w:r>
      <w:r w:rsidR="00970F8F">
        <w:t xml:space="preserve"> coordinates of each observer’s centroid configuration was 0.3974 mm. </w:t>
      </w:r>
      <w:r w:rsidR="00BD0465">
        <w:t xml:space="preserve">This range of deviation is considered highly precise and is similar to previously reported measures of landmark error </w:t>
      </w:r>
      <w:r w:rsidR="00BD0465">
        <w:fldChar w:fldCharType="begin" w:fldLock="1"/>
      </w:r>
      <w:r w:rsidR="00970F8F">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modifications","type":"article-journal","volume":"134"},"uris":["http://www.mendeley.com/documents/?uuid=a8914b52-71a1-4be4-858e-5982dd1cc049"]}],"mendeley":{"formattedCitation":"(Aldridge et al., 2005; von Cramon-Taubadel et al., 2007)","plainTextFormattedCitation":"(Aldridge et al., 2005; von Cramon-Taubadel et al., 2007)","previouslyFormattedCitation":"(Aldridge et al., 2005; von Cramon-Taubadel et al., 8793BC)"},"properties":{"noteIndex":0},"schema":"https://github.com/citation-style-language/schema/raw/master/csl-citation.json"}</w:instrText>
      </w:r>
      <w:r w:rsidR="00BD0465">
        <w:fldChar w:fldCharType="separate"/>
      </w:r>
      <w:r w:rsidR="00970F8F" w:rsidRPr="00970F8F">
        <w:rPr>
          <w:noProof/>
        </w:rPr>
        <w:t>(Aldridge et al., 2005; von Cramon-Taubadel et al., 2007)</w:t>
      </w:r>
      <w:r w:rsidR="00BD0465">
        <w:fldChar w:fldCharType="end"/>
      </w:r>
      <w:r w:rsidR="00BD0465">
        <w:t xml:space="preserve">. </w:t>
      </w:r>
    </w:p>
    <w:p w14:paraId="45A94A7D" w14:textId="77777777" w:rsidR="00D43DCB" w:rsidRDefault="00D43DCB" w:rsidP="00766354">
      <w:pPr>
        <w:pStyle w:val="Heading2"/>
      </w:pPr>
      <w:r>
        <w:t>Distance between points</w:t>
      </w:r>
    </w:p>
    <w:p w14:paraId="0A9B7AC6" w14:textId="77777777" w:rsidR="00D43DCB" w:rsidRPr="00D43DCB" w:rsidRDefault="00D43DCB" w:rsidP="00766354">
      <w:pPr>
        <w:pStyle w:val="Heading2"/>
      </w:pPr>
      <w:r>
        <w:t>Centroid sizes</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0C0B88B0" w:rsidR="00746A86" w:rsidRPr="00746A86" w:rsidRDefault="00746A86" w:rsidP="00746A86">
      <w:pPr>
        <w:rPr>
          <w:bCs/>
          <w:szCs w:val="24"/>
          <w:lang w:val="en-GB"/>
        </w:rPr>
      </w:pPr>
      <w:r>
        <w:rPr>
          <w:bCs/>
          <w:szCs w:val="24"/>
          <w:lang w:val="en-GB"/>
        </w:rPr>
        <w:lastRenderedPageBreak/>
        <w:t>Manual landmarks were considered the gold standard and have long been used and validated in morphological studies (Aldridge paper).</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7777777" w:rsidR="00D43DCB" w:rsidRDefault="00D43DCB" w:rsidP="00D43DCB">
      <w:r>
        <w:t xml:space="preserve">JW performed validation analyses and landmarked the 3D scans used for validation with AZ. JW and AOC and wrote the first draft of the manuscript under supervision of PC. PC conceptualized the design of the study. HM,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7777777" w:rsidR="007F5F2A" w:rsidRPr="007F5F2A" w:rsidRDefault="007F5F2A" w:rsidP="007F5F2A">
      <w:r>
        <w:t xml:space="preserve">We thank the participants for providing the data necessary to carry out this validation. We are also grateful to all members of the Shriver Lab and Claes Lab,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77777777" w:rsidR="00D25C57" w:rsidRDefault="00D25C57" w:rsidP="00A53000">
      <w:pPr>
        <w:pStyle w:val="Heading1"/>
      </w:pPr>
      <w:r>
        <w:t>References</w:t>
      </w:r>
    </w:p>
    <w:p w14:paraId="1DD053F1" w14:textId="77777777" w:rsidR="0088513A" w:rsidRPr="0088513A" w:rsidRDefault="0088513A" w:rsidP="0088513A">
      <w:pPr>
        <w:pStyle w:val="Heading1"/>
        <w:numPr>
          <w:ilvl w:val="0"/>
          <w:numId w:val="22"/>
        </w:numPr>
      </w:pPr>
      <w:r w:rsidRPr="0088513A">
        <w:t>Data Availability Statement</w:t>
      </w:r>
    </w:p>
    <w:p w14:paraId="5C310822" w14:textId="77777777"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images 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6BAFB" w14:textId="77777777" w:rsidR="003A00DA" w:rsidRDefault="003A00DA" w:rsidP="00117666">
      <w:pPr>
        <w:spacing w:after="0"/>
      </w:pPr>
      <w:r>
        <w:separator/>
      </w:r>
    </w:p>
  </w:endnote>
  <w:endnote w:type="continuationSeparator" w:id="0">
    <w:p w14:paraId="4BD73F11" w14:textId="77777777" w:rsidR="003A00DA" w:rsidRDefault="003A00D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93338E" w:rsidRPr="00577C4C" w:rsidRDefault="0093338E">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93338E" w:rsidRPr="00577C4C" w:rsidRDefault="009333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93338E" w:rsidRPr="00577C4C" w:rsidRDefault="009333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93338E" w:rsidRPr="00577C4C" w:rsidRDefault="0093338E">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93338E" w:rsidRPr="00577C4C" w:rsidRDefault="009333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93338E" w:rsidRPr="00577C4C" w:rsidRDefault="0093338E">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A62F0" w14:textId="77777777" w:rsidR="003A00DA" w:rsidRDefault="003A00DA" w:rsidP="00117666">
      <w:pPr>
        <w:spacing w:after="0"/>
      </w:pPr>
      <w:r>
        <w:separator/>
      </w:r>
    </w:p>
  </w:footnote>
  <w:footnote w:type="continuationSeparator" w:id="0">
    <w:p w14:paraId="36AEDB6A" w14:textId="77777777" w:rsidR="003A00DA" w:rsidRDefault="003A00D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93338E" w:rsidRPr="007E3148" w:rsidRDefault="0093338E"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93338E" w:rsidRPr="00A53000" w:rsidRDefault="00904E53"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93338E" w:rsidRDefault="0093338E"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4CA278F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4CA278FC"/>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4CA278FC"/>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114D6"/>
    <w:rsid w:val="00034304"/>
    <w:rsid w:val="00035434"/>
    <w:rsid w:val="00045678"/>
    <w:rsid w:val="000458E4"/>
    <w:rsid w:val="00063D84"/>
    <w:rsid w:val="00065622"/>
    <w:rsid w:val="0006636D"/>
    <w:rsid w:val="00077D53"/>
    <w:rsid w:val="00081394"/>
    <w:rsid w:val="000B34BD"/>
    <w:rsid w:val="000C7E2A"/>
    <w:rsid w:val="000F4CFB"/>
    <w:rsid w:val="00117666"/>
    <w:rsid w:val="001223A7"/>
    <w:rsid w:val="00134256"/>
    <w:rsid w:val="00137EC0"/>
    <w:rsid w:val="00144781"/>
    <w:rsid w:val="00147395"/>
    <w:rsid w:val="001552C9"/>
    <w:rsid w:val="00177D84"/>
    <w:rsid w:val="001964EF"/>
    <w:rsid w:val="001B1336"/>
    <w:rsid w:val="001B1A2C"/>
    <w:rsid w:val="001D5C23"/>
    <w:rsid w:val="001F4C07"/>
    <w:rsid w:val="00220AEA"/>
    <w:rsid w:val="00226954"/>
    <w:rsid w:val="002629A3"/>
    <w:rsid w:val="00265660"/>
    <w:rsid w:val="00267D18"/>
    <w:rsid w:val="00270D5E"/>
    <w:rsid w:val="002868E2"/>
    <w:rsid w:val="002869C3"/>
    <w:rsid w:val="002936E4"/>
    <w:rsid w:val="00296B88"/>
    <w:rsid w:val="002C74CA"/>
    <w:rsid w:val="002E4A96"/>
    <w:rsid w:val="002F17A2"/>
    <w:rsid w:val="002F744D"/>
    <w:rsid w:val="00303DE6"/>
    <w:rsid w:val="00310124"/>
    <w:rsid w:val="003544FB"/>
    <w:rsid w:val="00365D63"/>
    <w:rsid w:val="0036793B"/>
    <w:rsid w:val="00372682"/>
    <w:rsid w:val="00376CC5"/>
    <w:rsid w:val="0039693B"/>
    <w:rsid w:val="003A00DA"/>
    <w:rsid w:val="003D2F2D"/>
    <w:rsid w:val="00401590"/>
    <w:rsid w:val="00424774"/>
    <w:rsid w:val="004555F5"/>
    <w:rsid w:val="00463E3D"/>
    <w:rsid w:val="004645AE"/>
    <w:rsid w:val="0047213A"/>
    <w:rsid w:val="004B7F1A"/>
    <w:rsid w:val="004D3E33"/>
    <w:rsid w:val="00504C1F"/>
    <w:rsid w:val="005250F2"/>
    <w:rsid w:val="00556B08"/>
    <w:rsid w:val="00596B47"/>
    <w:rsid w:val="005A1D84"/>
    <w:rsid w:val="005A70EA"/>
    <w:rsid w:val="005C3963"/>
    <w:rsid w:val="005D1840"/>
    <w:rsid w:val="005D35E4"/>
    <w:rsid w:val="005D7910"/>
    <w:rsid w:val="005E5405"/>
    <w:rsid w:val="0062154F"/>
    <w:rsid w:val="00631A8C"/>
    <w:rsid w:val="006473D4"/>
    <w:rsid w:val="00651CA2"/>
    <w:rsid w:val="00653D60"/>
    <w:rsid w:val="00660D05"/>
    <w:rsid w:val="0066471B"/>
    <w:rsid w:val="00671D9A"/>
    <w:rsid w:val="00673952"/>
    <w:rsid w:val="00686C9D"/>
    <w:rsid w:val="00690070"/>
    <w:rsid w:val="006B2D5B"/>
    <w:rsid w:val="006B7D14"/>
    <w:rsid w:val="006C42A2"/>
    <w:rsid w:val="006D5B93"/>
    <w:rsid w:val="00725A73"/>
    <w:rsid w:val="00725A7D"/>
    <w:rsid w:val="0073085C"/>
    <w:rsid w:val="00740F06"/>
    <w:rsid w:val="00746505"/>
    <w:rsid w:val="00746A86"/>
    <w:rsid w:val="0075139A"/>
    <w:rsid w:val="00766354"/>
    <w:rsid w:val="00790BB3"/>
    <w:rsid w:val="00792043"/>
    <w:rsid w:val="00797EDD"/>
    <w:rsid w:val="007B0322"/>
    <w:rsid w:val="007C0E3F"/>
    <w:rsid w:val="007C206C"/>
    <w:rsid w:val="007C5729"/>
    <w:rsid w:val="007F5F2A"/>
    <w:rsid w:val="008111E4"/>
    <w:rsid w:val="0081301C"/>
    <w:rsid w:val="00817DD6"/>
    <w:rsid w:val="0084053C"/>
    <w:rsid w:val="00841525"/>
    <w:rsid w:val="008629A9"/>
    <w:rsid w:val="0088513A"/>
    <w:rsid w:val="00893C19"/>
    <w:rsid w:val="008D6C8D"/>
    <w:rsid w:val="008E2B54"/>
    <w:rsid w:val="008E4404"/>
    <w:rsid w:val="008E58C7"/>
    <w:rsid w:val="008F4E4F"/>
    <w:rsid w:val="008F5021"/>
    <w:rsid w:val="00904E53"/>
    <w:rsid w:val="00926217"/>
    <w:rsid w:val="0093338E"/>
    <w:rsid w:val="00943573"/>
    <w:rsid w:val="00970F8F"/>
    <w:rsid w:val="00971B61"/>
    <w:rsid w:val="00980C31"/>
    <w:rsid w:val="00981D6F"/>
    <w:rsid w:val="009955FF"/>
    <w:rsid w:val="009A0A32"/>
    <w:rsid w:val="009D259D"/>
    <w:rsid w:val="00A36610"/>
    <w:rsid w:val="00A43547"/>
    <w:rsid w:val="00A47278"/>
    <w:rsid w:val="00A50D9D"/>
    <w:rsid w:val="00A53000"/>
    <w:rsid w:val="00A545C6"/>
    <w:rsid w:val="00A75F87"/>
    <w:rsid w:val="00A84661"/>
    <w:rsid w:val="00A95D8B"/>
    <w:rsid w:val="00AC0270"/>
    <w:rsid w:val="00AC3EA3"/>
    <w:rsid w:val="00AC792D"/>
    <w:rsid w:val="00B657B8"/>
    <w:rsid w:val="00B84920"/>
    <w:rsid w:val="00B8556A"/>
    <w:rsid w:val="00BB1E70"/>
    <w:rsid w:val="00BD0465"/>
    <w:rsid w:val="00BD7368"/>
    <w:rsid w:val="00C012A3"/>
    <w:rsid w:val="00C16F19"/>
    <w:rsid w:val="00C24B79"/>
    <w:rsid w:val="00C46580"/>
    <w:rsid w:val="00C52A7B"/>
    <w:rsid w:val="00C6324C"/>
    <w:rsid w:val="00C679AA"/>
    <w:rsid w:val="00C724CF"/>
    <w:rsid w:val="00C75972"/>
    <w:rsid w:val="00C82792"/>
    <w:rsid w:val="00C948FD"/>
    <w:rsid w:val="00C96F24"/>
    <w:rsid w:val="00CB43D5"/>
    <w:rsid w:val="00CC76F9"/>
    <w:rsid w:val="00CD066B"/>
    <w:rsid w:val="00CD46E2"/>
    <w:rsid w:val="00D00D0B"/>
    <w:rsid w:val="00D04B69"/>
    <w:rsid w:val="00D25C57"/>
    <w:rsid w:val="00D43DCB"/>
    <w:rsid w:val="00D537FA"/>
    <w:rsid w:val="00D538D0"/>
    <w:rsid w:val="00D80D99"/>
    <w:rsid w:val="00D9503C"/>
    <w:rsid w:val="00DD73EF"/>
    <w:rsid w:val="00DE23E8"/>
    <w:rsid w:val="00E0128B"/>
    <w:rsid w:val="00E06713"/>
    <w:rsid w:val="00E64E17"/>
    <w:rsid w:val="00E94D94"/>
    <w:rsid w:val="00EA3D3C"/>
    <w:rsid w:val="00EC7CC3"/>
    <w:rsid w:val="00F30759"/>
    <w:rsid w:val="00F46494"/>
    <w:rsid w:val="00F558AB"/>
    <w:rsid w:val="00F61D89"/>
    <w:rsid w:val="00F86ABB"/>
    <w:rsid w:val="00FD5C43"/>
    <w:rsid w:val="00FD7648"/>
    <w:rsid w:val="00FE4FE5"/>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A02A258-10F4-4948-9E8C-9ACFA732D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1317</TotalTime>
  <Pages>6</Pages>
  <Words>5688</Words>
  <Characters>32424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11</cp:revision>
  <cp:lastPrinted>2013-10-03T12:51:00Z</cp:lastPrinted>
  <dcterms:created xsi:type="dcterms:W3CDTF">2018-05-25T19:27:00Z</dcterms:created>
  <dcterms:modified xsi:type="dcterms:W3CDTF">2018-05-27T09:55:00Z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