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sz w:val="44"/>
          <w:szCs w:val="44"/>
        </w:rPr>
        <w:t xml:space="preserve">THE CHALLENGE OF ECOLOGICAL VALIDITY IN CNFA</w:t>
      </w:r>
    </w:p>
    <w:p>
      <w:pPr>
        <w:spacing w:after="120"/>
        <w:jc w:val="center"/>
      </w:pPr>
      <w:r>
        <w:rPr>
          <w:rFonts w:ascii="Georgia" w:cs="Georgia" w:eastAsia="Georgia" w:hAnsi="Georgia"/>
          <w:sz w:val="32"/>
          <w:szCs w:val="32"/>
        </w:rPr>
        <w:t xml:space="preserve">Background Notes, Expert Panel, and Tier 2b Specification</w:t>
      </w:r>
    </w:p>
    <w:p>
      <w:pPr>
        <w:spacing w:after="120"/>
        <w:jc w:val="center"/>
      </w:pPr>
      <w:r>
        <w:rPr>
          <w:rFonts w:ascii="Georgia" w:cs="Georgia" w:eastAsia="Georgia" w:hAnsi="Georgia"/>
          <w:sz w:val="28"/>
          <w:szCs w:val="28"/>
        </w:rPr>
        <w:t xml:space="preserve">Working Document for Article Eater Architecture</w:t>
      </w:r>
    </w:p>
    <w:p>
      <w:pPr>
        <w:spacing w:after="400"/>
        <w:jc w:val="center"/>
      </w:pPr>
      <w:r>
        <w:rPr>
          <w:rFonts w:ascii="Georgia" w:cs="Georgia" w:eastAsia="Georgia" w:hAnsi="Georgia"/>
          <w:sz w:val="24"/>
          <w:szCs w:val="24"/>
        </w:rPr>
        <w:t xml:space="preserve">Version 1.0 — February 14, 2026</w:t>
      </w:r>
    </w:p>
    <w:p>
      <w:pPr>
        <w:spacing w:after="200"/>
        <w:jc w:val="center"/>
      </w:pPr>
      <w:r>
        <w:rPr>
          <w:rFonts w:ascii="Georgia" w:cs="Georgia" w:eastAsia="Georgia" w:hAnsi="Georgia"/>
          <w:i/>
          <w:iCs/>
          <w:sz w:val="24"/>
          <w:szCs w:val="24"/>
        </w:rPr>
        <w:t xml:space="preserve">This document serves three purposes: (1) background notes and evidence for a planned essay, (2) an expert panel discussion, and (3) a formal Tier 2b specification for task-ecological validity in Article Eater.</w:t>
      </w:r>
    </w:p>
    <w:p>
      <w:r>
        <w:br w:type="page"/>
      </w:r>
    </w:p>
    <w:p>
      <w:pPr>
        <w:pStyle w:val="Heading1"/>
        <w:spacing w:before="360" w:after="200"/>
      </w:pPr>
      <w:r>
        <w:rPr>
          <w:rFonts w:ascii="Georgia" w:cs="Georgia" w:eastAsia="Georgia" w:hAnsi="Georgia"/>
          <w:b/>
          <w:bCs/>
          <w:sz w:val="32"/>
          <w:szCs w:val="32"/>
        </w:rPr>
        <w:t xml:space="preserve">Part I: Background Notes for the Essay</w:t>
      </w:r>
    </w:p>
    <w:p>
      <w:pPr>
        <w:spacing w:after="160" w:line="276"/>
      </w:pPr>
      <w:r>
        <w:rPr>
          <w:rFonts w:ascii="Georgia" w:cs="Georgia" w:eastAsia="Georgia" w:hAnsi="Georgia"/>
          <w:i/>
          <w:iCs/>
          <w:sz w:val="24"/>
          <w:szCs w:val="24"/>
        </w:rPr>
        <w:t xml:space="preserve">These notes collect ideas, evidence, examples, arguments, and counterarguments that should inform the essay. They are organized by theme, not by essay structure.</w:t>
      </w:r>
    </w:p>
    <w:p>
      <w:pPr>
        <w:pStyle w:val="Heading2"/>
        <w:spacing w:before="280" w:after="160"/>
      </w:pPr>
      <w:r>
        <w:rPr>
          <w:rFonts w:ascii="Georgia" w:cs="Georgia" w:eastAsia="Georgia" w:hAnsi="Georgia"/>
          <w:b/>
          <w:bCs/>
          <w:sz w:val="28"/>
          <w:szCs w:val="28"/>
        </w:rPr>
        <w:t xml:space="preserve">1.1 The Passive Observer Fallacy</w:t>
      </w:r>
    </w:p>
    <w:p>
      <w:pPr>
        <w:spacing w:after="160" w:line="276"/>
      </w:pPr>
      <w:r>
        <w:rPr>
          <w:rFonts w:ascii="Georgia" w:cs="Georgia" w:eastAsia="Georgia" w:hAnsi="Georgia"/>
          <w:sz w:val="24"/>
          <w:szCs w:val="24"/>
        </w:rPr>
        <w:t xml:space="preserve">The dominant experimental paradigm in CNFA treats the participant as a spectator. This paradigm originates in the landscape preference tradition of the 1970s (Kaplan, Kaplan, &amp; Wendt, 1972; Zube, Sell, &amp; Taylor, 1982) where the research question was genuinely about preference: which environments do people prefer? For that question, showing people images and asking them to rate preference is a valid method. The problem arose when the field extended from preference to experience, performance, health, and wellbeing without fundamentally changing the paradigm. The question shifted from “which environments do people prefer?” to “how do environments affect people?” but the method stayed the same: show stimuli, collect ratings.</w:t>
      </w:r>
    </w:p>
    <w:p>
      <w:pPr>
        <w:spacing w:after="160" w:line="276"/>
      </w:pPr>
      <w:r>
        <w:rPr>
          <w:rFonts w:ascii="Georgia" w:cs="Georgia" w:eastAsia="Georgia" w:hAnsi="Georgia"/>
          <w:sz w:val="24"/>
          <w:szCs w:val="24"/>
        </w:rPr>
        <w:t xml:space="preserve">The Kaplans themselves understood this distinction. Kaplan’s (1995) theory of restorative environments explicitly required extended temporal engagement (fascination, being away, extent, compatibility) that cannot be captured in a stimulus-rating paradigm. Yet the empirical literature testing ART overwhelmingly uses short exposures and self-report ratings of perceived restorativeness rather than actual restoration measured over ecologically authentic timescales.</w:t>
      </w:r>
    </w:p>
    <w:p>
      <w:pPr>
        <w:spacing w:after="160" w:line="276"/>
      </w:pPr>
      <w:r>
        <w:rPr>
          <w:rFonts w:ascii="Georgia" w:cs="Georgia" w:eastAsia="Georgia" w:hAnsi="Georgia"/>
          <w:b/>
          <w:bCs/>
          <w:sz w:val="24"/>
          <w:szCs w:val="24"/>
        </w:rPr>
        <w:t xml:space="preserve">Key evidence: </w:t>
      </w:r>
      <w:r>
        <w:rPr>
          <w:rFonts w:ascii="Georgia" w:cs="Georgia" w:eastAsia="Georgia" w:hAnsi="Georgia"/>
          <w:sz w:val="24"/>
          <w:szCs w:val="24"/>
        </w:rPr>
        <w:t xml:space="preserve">Stamps (1990) meta-analysis: r = 0.86 between photo and in-situ preference, N = 2,400+, 152 environments. This is strong for preference. But note: the correlation was computed on aggregate environment rankings, not on individual responses, and only for evaluative judgments. The generalization to non-evaluative outcomes (stress, cognition, wayfinding, social behavior) has been assumed but never established with comparable rigor.</w:t>
      </w:r>
    </w:p>
    <w:p>
      <w:pPr>
        <w:spacing w:after="160" w:line="276"/>
      </w:pPr>
      <w:r>
        <w:rPr>
          <w:rFonts w:ascii="Georgia" w:cs="Georgia" w:eastAsia="Georgia" w:hAnsi="Georgia"/>
          <w:b/>
          <w:bCs/>
          <w:sz w:val="24"/>
          <w:szCs w:val="24"/>
        </w:rPr>
        <w:t xml:space="preserve">Key example — Fich et al. (2014): </w:t>
      </w:r>
      <w:r>
        <w:rPr>
          <w:rFonts w:ascii="Georgia" w:cs="Georgia" w:eastAsia="Georgia" w:hAnsi="Georgia"/>
          <w:sz w:val="24"/>
          <w:szCs w:val="24"/>
        </w:rPr>
        <w:t xml:space="preserve">One of the best-designed CNFA studies. Used CAVE VR with the Trier Social Stress Test — a validated stressor that gives participants an actual task (speech + arithmetic under social evaluation). N = 93. Proper cortisol timing (7 samples spanning the full HPA response arc). Found enclosed spaces amplified cortisol reactivity by 73%. Critically, this study had a real task: the participants were under genuine social-evaluative stress. The architectural manipulation (open vs. closed room) modulated a real stress response, not just a preference rating. This is closer to ecological validity than most CNFA studies, though the task (mock job interview) is still artificial relative to real building use.</w:t>
      </w:r>
    </w:p>
    <w:p>
      <w:pPr>
        <w:spacing w:after="160" w:line="276"/>
      </w:pPr>
      <w:r>
        <w:rPr>
          <w:rFonts w:ascii="Georgia" w:cs="Georgia" w:eastAsia="Georgia" w:hAnsi="Georgia"/>
          <w:b/>
          <w:bCs/>
          <w:sz w:val="24"/>
          <w:szCs w:val="24"/>
        </w:rPr>
        <w:t xml:space="preserve">Key example — Vartanian et al. (2015): </w:t>
      </w:r>
      <w:r>
        <w:rPr>
          <w:rFonts w:ascii="Georgia" w:cs="Georgia" w:eastAsia="Georgia" w:hAnsi="Georgia"/>
          <w:sz w:val="24"/>
          <w:szCs w:val="24"/>
        </w:rPr>
        <w:t xml:space="preserve">Examined ceiling height and enclosure using fMRI while participants viewed 200 photographs and made beauty judgments and approach/avoidance decisions. Found enclosed spaces activated the anterior midcingulate cortex (aMCC), which has direct projections from the amygdala — suggesting an automatic threat/avoidance response to enclosure. But the participant is lying in a scanner viewing photographs. The finding tells us that the visual pattern of enclosure triggers aMCC even in the absence of actual enclosure. This is interesting neuroscience but tells us little about what aMCC does when you’re actually in an enclosed space carrying groceries.</w:t>
      </w:r>
    </w:p>
    <w:p>
      <w:pPr>
        <w:pStyle w:val="Heading2"/>
        <w:spacing w:before="280" w:after="160"/>
      </w:pPr>
      <w:r>
        <w:rPr>
          <w:rFonts w:ascii="Georgia" w:cs="Georgia" w:eastAsia="Georgia" w:hAnsi="Georgia"/>
          <w:b/>
          <w:bCs/>
          <w:sz w:val="28"/>
          <w:szCs w:val="28"/>
        </w:rPr>
        <w:t xml:space="preserve">1.2 The Task-Environment Coupling Problem</w:t>
      </w:r>
    </w:p>
    <w:p>
      <w:pPr>
        <w:spacing w:after="160" w:line="276"/>
      </w:pPr>
      <w:r>
        <w:rPr>
          <w:rFonts w:ascii="Georgia" w:cs="Georgia" w:eastAsia="Georgia" w:hAnsi="Georgia"/>
          <w:sz w:val="24"/>
          <w:szCs w:val="24"/>
        </w:rPr>
        <w:t xml:space="preserve">Gibson’s (1979) ecological approach to perception insists that perception is always perception-for-action. We perceive affordances — possibilities for action relative to our body and current goals. A staircase affords climbing for the able-bodied person and affords nothing useful for the wheelchair user. A door affords pushing for the person approaching, pulling for the person leaving. The affordance structure of a building is not an objective property of the building; it is a relation between building features and the activities the person is trying to accomplish.</w:t>
      </w:r>
    </w:p>
    <w:p>
      <w:pPr>
        <w:spacing w:after="160" w:line="276"/>
      </w:pPr>
      <w:r>
        <w:rPr>
          <w:rFonts w:ascii="Georgia" w:cs="Georgia" w:eastAsia="Georgia" w:hAnsi="Georgia"/>
          <w:sz w:val="24"/>
          <w:szCs w:val="24"/>
        </w:rPr>
        <w:t xml:space="preserve">This means that architectural experience is always task-coupled. The building you experience depends on what you’re doing in it. There is no “experience of the building itself” apart from some task context, even if the task is merely “walking through and looking around.” The experimental implications are profound:</w:t>
      </w:r>
    </w:p>
    <w:p>
      <w:pPr>
        <w:spacing w:after="160" w:line="276"/>
      </w:pPr>
      <w:r>
        <w:rPr>
          <w:rFonts w:ascii="Georgia" w:cs="Georgia" w:eastAsia="Georgia" w:hAnsi="Georgia"/>
          <w:b/>
          <w:bCs/>
          <w:sz w:val="24"/>
          <w:szCs w:val="24"/>
        </w:rPr>
        <w:t xml:space="preserve">(a) The same space has different affordance structures for different tasks. </w:t>
      </w:r>
      <w:r>
        <w:rPr>
          <w:rFonts w:ascii="Georgia" w:cs="Georgia" w:eastAsia="Georgia" w:hAnsi="Georgia"/>
          <w:sz w:val="24"/>
          <w:szCs w:val="24"/>
        </w:rPr>
        <w:t xml:space="preserve">An open-plan office affords visual surveillance for the manager and affords distraction for the worker trying to concentrate. A hospital corridor affords efficient transit for the clinician and affords anxiety-amplifying exposure for the patient in a gown. The affordance inventory of the space shifts with the task.</w:t>
      </w:r>
    </w:p>
    <w:p>
      <w:pPr>
        <w:spacing w:after="160" w:line="276"/>
      </w:pPr>
      <w:r>
        <w:rPr>
          <w:rFonts w:ascii="Georgia" w:cs="Georgia" w:eastAsia="Georgia" w:hAnsi="Georgia"/>
          <w:b/>
          <w:bCs/>
          <w:sz w:val="24"/>
          <w:szCs w:val="24"/>
        </w:rPr>
        <w:t xml:space="preserve">(b) The same architectural feature has different salience under different tasks. </w:t>
      </w:r>
      <w:r>
        <w:rPr>
          <w:rFonts w:ascii="Georgia" w:cs="Georgia" w:eastAsia="Georgia" w:hAnsi="Georgia"/>
          <w:sz w:val="24"/>
          <w:szCs w:val="24"/>
        </w:rPr>
        <w:t xml:space="preserve">Ceiling height is salient when you’re thinking abstractly (Meyers-Levy &amp; Zhu, 2007) but irrelevant when you’re in pain. Biophilic elements are restorative when you’re depleted (ART) but merely decorative when you’re energized and task-focused. The precision weighting on environmental features shifts with task demands and internal state.</w:t>
      </w:r>
    </w:p>
    <w:p>
      <w:pPr>
        <w:spacing w:after="160" w:line="276"/>
      </w:pPr>
      <w:r>
        <w:rPr>
          <w:rFonts w:ascii="Georgia" w:cs="Georgia" w:eastAsia="Georgia" w:hAnsi="Georgia"/>
          <w:b/>
          <w:bCs/>
          <w:sz w:val="24"/>
          <w:szCs w:val="24"/>
        </w:rPr>
        <w:t xml:space="preserve">(c) Task demands compete for processing resources. </w:t>
      </w:r>
      <w:r>
        <w:rPr>
          <w:rFonts w:ascii="Georgia" w:cs="Georgia" w:eastAsia="Georgia" w:hAnsi="Georgia"/>
          <w:sz w:val="24"/>
          <w:szCs w:val="24"/>
        </w:rPr>
        <w:t xml:space="preserve">A person navigating an unfamiliar hospital while anxious about a diagnosis has very little cognitive capacity available for processing aesthetic qualities. Cognitive load theory (Sweller, 1988) and attentional resource theories (Kahneman, 1973) predict that high-priority tasks consume resources, leaving fewer for lower-priority environmental processing. Most CNFA experiments eliminate this competition by making environmental processing the primary (or only) task.</w:t>
      </w:r>
    </w:p>
    <w:p>
      <w:pPr>
        <w:pStyle w:val="Heading2"/>
        <w:spacing w:before="280" w:after="160"/>
      </w:pPr>
      <w:r>
        <w:rPr>
          <w:rFonts w:ascii="Georgia" w:cs="Georgia" w:eastAsia="Georgia" w:hAnsi="Georgia"/>
          <w:b/>
          <w:bCs/>
          <w:sz w:val="28"/>
          <w:szCs w:val="28"/>
        </w:rPr>
        <w:t xml:space="preserve">1.3 Incoming State and State Momentum</w:t>
      </w:r>
    </w:p>
    <w:p>
      <w:pPr>
        <w:spacing w:after="160" w:line="276"/>
      </w:pPr>
      <w:r>
        <w:rPr>
          <w:rFonts w:ascii="Georgia" w:cs="Georgia" w:eastAsia="Georgia" w:hAnsi="Georgia"/>
          <w:sz w:val="24"/>
          <w:szCs w:val="24"/>
        </w:rPr>
        <w:t xml:space="preserve">Participants arrive at buildings in states. These states are not random noise to be averaged away; they are systematic modulators of the architectural encounter. Several categories:</w:t>
      </w:r>
    </w:p>
    <w:p>
      <w:pPr>
        <w:spacing w:after="160" w:line="276"/>
      </w:pPr>
      <w:r>
        <w:rPr>
          <w:rFonts w:ascii="Georgia" w:cs="Georgia" w:eastAsia="Georgia" w:hAnsi="Georgia"/>
          <w:b/>
          <w:bCs/>
          <w:sz w:val="24"/>
          <w:szCs w:val="24"/>
        </w:rPr>
        <w:t xml:space="preserve">Affective state: </w:t>
      </w:r>
      <w:r>
        <w:rPr>
          <w:rFonts w:ascii="Georgia" w:cs="Georgia" w:eastAsia="Georgia" w:hAnsi="Georgia"/>
          <w:sz w:val="24"/>
          <w:szCs w:val="24"/>
        </w:rPr>
        <w:t xml:space="preserve">Anxiety, excitement, grief, calm, irritation, anticipation. A person entering a courthouse for a custody hearing and a person entering the same courthouse for jury duty have such different affective states that they might as well be in different buildings. The anxious state elevates amygdala reactivity, increases vigilance for threat cues, narrows attentional focus, and shifts environmental processing toward safety-relevant features (exits, open sightlines, perceived escape routes) — exactly the prospect-refuge variables that Appleton (1975) identified.</w:t>
      </w:r>
    </w:p>
    <w:p>
      <w:pPr>
        <w:spacing w:after="160" w:line="276"/>
      </w:pPr>
      <w:r>
        <w:rPr>
          <w:rFonts w:ascii="Georgia" w:cs="Georgia" w:eastAsia="Georgia" w:hAnsi="Georgia"/>
          <w:b/>
          <w:bCs/>
          <w:sz w:val="24"/>
          <w:szCs w:val="24"/>
        </w:rPr>
        <w:t xml:space="preserve">Cognitive load / depletion: </w:t>
      </w:r>
      <w:r>
        <w:rPr>
          <w:rFonts w:ascii="Georgia" w:cs="Georgia" w:eastAsia="Georgia" w:hAnsi="Georgia"/>
          <w:sz w:val="24"/>
          <w:szCs w:val="24"/>
        </w:rPr>
        <w:t xml:space="preserve">A fatigued person has reduced directed-attention capacity (Kaplan, 1995). This shifts the optimal complexity point — the fatigued person benefits more from simple, legible environments that don’t demand additional processing, while the alert person can engage productively with more complex environments. The Goldilocks zone moves with the person’s current cognitive state.</w:t>
      </w:r>
    </w:p>
    <w:p>
      <w:pPr>
        <w:spacing w:after="160" w:line="276"/>
      </w:pPr>
      <w:r>
        <w:rPr>
          <w:rFonts w:ascii="Georgia" w:cs="Georgia" w:eastAsia="Georgia" w:hAnsi="Georgia"/>
          <w:b/>
          <w:bCs/>
          <w:sz w:val="24"/>
          <w:szCs w:val="24"/>
        </w:rPr>
        <w:t xml:space="preserve">Goal urgency: </w:t>
      </w:r>
      <w:r>
        <w:rPr>
          <w:rFonts w:ascii="Georgia" w:cs="Georgia" w:eastAsia="Georgia" w:hAnsi="Georgia"/>
          <w:sz w:val="24"/>
          <w:szCs w:val="24"/>
        </w:rPr>
        <w:t xml:space="preserve">A person rushing to catch a flight processes an airport terminal very differently from the same person killing time during a layover. Under urgency, wayfinding efficiency dominates — signage quality, corridor legibility, decision-point clarity become the primary environmental features. Under leisure, aesthetic qualities, comfort, commercial affordances emerge. The same terminal has different functional architectures under different urgency states.</w:t>
      </w:r>
    </w:p>
    <w:p>
      <w:pPr>
        <w:spacing w:after="160" w:line="276"/>
      </w:pPr>
      <w:r>
        <w:rPr>
          <w:rFonts w:ascii="Georgia" w:cs="Georgia" w:eastAsia="Georgia" w:hAnsi="Georgia"/>
          <w:b/>
          <w:bCs/>
          <w:sz w:val="24"/>
          <w:szCs w:val="24"/>
        </w:rPr>
        <w:t xml:space="preserve">Familiarity / expectation: </w:t>
      </w:r>
      <w:r>
        <w:rPr>
          <w:rFonts w:ascii="Georgia" w:cs="Georgia" w:eastAsia="Georgia" w:hAnsi="Georgia"/>
          <w:sz w:val="24"/>
          <w:szCs w:val="24"/>
        </w:rPr>
        <w:t xml:space="preserve">The tourist seeing Sagrada Família for the first time, having studied photographs and reviews, has a rich predictive model. The encounter generates prediction errors relative to that model — the light is more intense than expected, the scale is larger, the sound is different. The local parishioner who has attended for decades has minimal prediction error; the experience is dominated by habituation, comfort, and social/ritual meaning. First-visit and habitual-use are categorically different encounters.</w:t>
      </w:r>
    </w:p>
    <w:p>
      <w:pPr>
        <w:spacing w:after="160" w:line="276"/>
      </w:pPr>
      <w:r>
        <w:rPr>
          <w:rFonts w:ascii="Georgia" w:cs="Georgia" w:eastAsia="Georgia" w:hAnsi="Georgia"/>
          <w:b/>
          <w:bCs/>
          <w:sz w:val="24"/>
          <w:szCs w:val="24"/>
        </w:rPr>
        <w:t xml:space="preserve">Physical state: </w:t>
      </w:r>
      <w:r>
        <w:rPr>
          <w:rFonts w:ascii="Georgia" w:cs="Georgia" w:eastAsia="Georgia" w:hAnsi="Georgia"/>
          <w:sz w:val="24"/>
          <w:szCs w:val="24"/>
        </w:rPr>
        <w:t xml:space="preserve">Fatigue, hunger, pain, thermal discomfort, illness. A cancer patient experiencing chemotherapy side effects in a hospital has a fundamentally different interoceptive state than a healthy visitor. The constructionist theory of affect (Tier 1, Framework 6) predicts that this interoceptive state directly shapes the affective meaning of the environment.</w:t>
      </w:r>
    </w:p>
    <w:p>
      <w:pPr>
        <w:spacing w:after="160" w:line="276"/>
      </w:pPr>
      <w:r>
        <w:rPr>
          <w:rFonts w:ascii="Georgia" w:cs="Georgia" w:eastAsia="Georgia" w:hAnsi="Georgia"/>
          <w:b/>
          <w:bCs/>
          <w:sz w:val="24"/>
          <w:szCs w:val="24"/>
        </w:rPr>
        <w:t xml:space="preserve">Social state: </w:t>
      </w:r>
      <w:r>
        <w:rPr>
          <w:rFonts w:ascii="Georgia" w:cs="Georgia" w:eastAsia="Georgia" w:hAnsi="Georgia"/>
          <w:sz w:val="24"/>
          <w:szCs w:val="24"/>
        </w:rPr>
        <w:t xml:space="preserve">Alone, with strangers, with intimate partner, with children, in a crowd. The social configuration modulates every aspect of environmental processing. Crowding research (Stokols, 1972) shows that the same density of people produces different stress levels depending on whether they are strangers or friends, whether the person has control over the situation, and whether the density is expected or unexpected.</w:t>
      </w:r>
    </w:p>
    <w:p>
      <w:pPr>
        <w:pStyle w:val="Heading2"/>
        <w:spacing w:before="280" w:after="160"/>
      </w:pPr>
      <w:r>
        <w:rPr>
          <w:rFonts w:ascii="Georgia" w:cs="Georgia" w:eastAsia="Georgia" w:hAnsi="Georgia"/>
          <w:b/>
          <w:bCs/>
          <w:sz w:val="28"/>
          <w:szCs w:val="28"/>
        </w:rPr>
        <w:t xml:space="preserve">1.4 The Dual-Pathway Problem: Implicit vs. Explicit Architectural Effects</w:t>
      </w:r>
    </w:p>
    <w:p>
      <w:pPr>
        <w:spacing w:after="160" w:line="276"/>
      </w:pPr>
      <w:r>
        <w:rPr>
          <w:rFonts w:ascii="Georgia" w:cs="Georgia" w:eastAsia="Georgia" w:hAnsi="Georgia"/>
          <w:sz w:val="24"/>
          <w:szCs w:val="24"/>
        </w:rPr>
        <w:t xml:space="preserve">Most experimental paradigms are designed to measure explicit effects — effects that the participant can report. But the effects that matter most for wellbeing, health, and performance in real buildings may be predominantly implicit. Consider three pathways by which a building might affect a person:</w:t>
      </w:r>
    </w:p>
    <w:p>
      <w:pPr>
        <w:spacing w:after="160" w:line="276"/>
      </w:pPr>
      <w:r>
        <w:rPr>
          <w:rFonts w:ascii="Georgia" w:cs="Georgia" w:eastAsia="Georgia" w:hAnsi="Georgia"/>
          <w:b/>
          <w:bCs/>
          <w:sz w:val="24"/>
          <w:szCs w:val="24"/>
        </w:rPr>
        <w:t xml:space="preserve">Pathway 1 — Explicit evaluative: </w:t>
      </w:r>
      <w:r>
        <w:rPr>
          <w:rFonts w:ascii="Georgia" w:cs="Georgia" w:eastAsia="Georgia" w:hAnsi="Georgia"/>
          <w:sz w:val="24"/>
          <w:szCs w:val="24"/>
        </w:rPr>
        <w:t xml:space="preserve">“I notice the nice materials and high ceiling; I feel this is a pleasant space.” This is what preference studies measure. It is conscious, verbally reportable, and probably relatively rare in normal building use (you don’t constantly evaluate the architecture of spaces you inhabit daily).</w:t>
      </w:r>
    </w:p>
    <w:p>
      <w:pPr>
        <w:spacing w:after="160" w:line="276"/>
      </w:pPr>
      <w:r>
        <w:rPr>
          <w:rFonts w:ascii="Georgia" w:cs="Georgia" w:eastAsia="Georgia" w:hAnsi="Georgia"/>
          <w:b/>
          <w:bCs/>
          <w:sz w:val="24"/>
          <w:szCs w:val="24"/>
        </w:rPr>
        <w:t xml:space="preserve">Pathway 2 — Implicit cognitive: </w:t>
      </w:r>
      <w:r>
        <w:rPr>
          <w:rFonts w:ascii="Georgia" w:cs="Georgia" w:eastAsia="Georgia" w:hAnsi="Georgia"/>
          <w:sz w:val="24"/>
          <w:szCs w:val="24"/>
        </w:rPr>
        <w:t xml:space="preserve">The legible layout reduces navigational uncertainty, which frees cognitive resources, which improves task performance. The person may not be aware that the layout is helping them. They just find that things “go more smoothly” in this building. Measurable in performance data (wayfinding time, error rates, task completion) but not necessarily in self-report.</w:t>
      </w:r>
    </w:p>
    <w:p>
      <w:pPr>
        <w:spacing w:after="160" w:line="276"/>
      </w:pPr>
      <w:r>
        <w:rPr>
          <w:rFonts w:ascii="Georgia" w:cs="Georgia" w:eastAsia="Georgia" w:hAnsi="Georgia"/>
          <w:b/>
          <w:bCs/>
          <w:sz w:val="24"/>
          <w:szCs w:val="24"/>
        </w:rPr>
        <w:t xml:space="preserve">Pathway 3 — Implicit physiological: </w:t>
      </w:r>
      <w:r>
        <w:rPr>
          <w:rFonts w:ascii="Georgia" w:cs="Georgia" w:eastAsia="Georgia" w:hAnsi="Georgia"/>
          <w:sz w:val="24"/>
          <w:szCs w:val="24"/>
        </w:rPr>
        <w:t xml:space="preserve">The biophilic elements and natural light modulate autonomic tone, reducing cortisol over weeks and months. The person never “notices” the biophilic design or attributes their reduced stress to it. The effect is real but invisible to self-report. Measurable only in longitudinal physiological or health-outcome data.</w:t>
      </w:r>
    </w:p>
    <w:p>
      <w:pPr>
        <w:spacing w:after="160" w:line="276"/>
      </w:pPr>
      <w:r>
        <w:rPr>
          <w:rFonts w:ascii="Georgia" w:cs="Georgia" w:eastAsia="Georgia" w:hAnsi="Georgia"/>
          <w:sz w:val="24"/>
          <w:szCs w:val="24"/>
        </w:rPr>
        <w:t xml:space="preserve">Pathways 2 and 3 are probably more consequential for real occupant outcomes than Pathway 1, but they are also much harder to study and almost entirely absent from the experimental literature. The literature is overwhelmingly about Pathway 1 because that’s what the evaluation paradigm can measure.</w:t>
      </w:r>
    </w:p>
    <w:p>
      <w:pPr>
        <w:pStyle w:val="Heading2"/>
        <w:spacing w:before="280" w:after="160"/>
      </w:pPr>
      <w:r>
        <w:rPr>
          <w:rFonts w:ascii="Georgia" w:cs="Georgia" w:eastAsia="Georgia" w:hAnsi="Georgia"/>
          <w:b/>
          <w:bCs/>
          <w:sz w:val="28"/>
          <w:szCs w:val="28"/>
        </w:rPr>
        <w:t xml:space="preserve">1.5 Examples of the Disconnect</w:t>
      </w:r>
    </w:p>
    <w:p>
      <w:pPr>
        <w:spacing w:after="160" w:line="276"/>
      </w:pPr>
      <w:r>
        <w:rPr>
          <w:rFonts w:ascii="Georgia" w:cs="Georgia" w:eastAsia="Georgia" w:hAnsi="Georgia"/>
          <w:b/>
          <w:bCs/>
          <w:sz w:val="24"/>
          <w:szCs w:val="24"/>
        </w:rPr>
        <w:t xml:space="preserve">Hospital wayfinding: </w:t>
      </w:r>
      <w:r>
        <w:rPr>
          <w:rFonts w:ascii="Georgia" w:cs="Georgia" w:eastAsia="Georgia" w:hAnsi="Georgia"/>
          <w:sz w:val="24"/>
          <w:szCs w:val="24"/>
        </w:rPr>
        <w:t xml:space="preserve">Real hospital users are anxious, often in pain, frequently first-time visitors navigating under time pressure with poor cognitive resources. They are carrying belongings, sometimes using wheelchairs or walkers. They are often accompanied by worried family members. They may have limited English or literacy. The experimental paradigm: healthy university students navigate a virtual hospital on a computer screen with no time pressure, no anxiety, no physical impairment, no social context.</w:t>
      </w:r>
    </w:p>
    <w:p>
      <w:pPr>
        <w:spacing w:after="160" w:line="276"/>
      </w:pPr>
      <w:r>
        <w:rPr>
          <w:rFonts w:ascii="Georgia" w:cs="Georgia" w:eastAsia="Georgia" w:hAnsi="Georgia"/>
          <w:b/>
          <w:bCs/>
          <w:sz w:val="24"/>
          <w:szCs w:val="24"/>
        </w:rPr>
        <w:t xml:space="preserve">Office design: </w:t>
      </w:r>
      <w:r>
        <w:rPr>
          <w:rFonts w:ascii="Georgia" w:cs="Georgia" w:eastAsia="Georgia" w:hAnsi="Georgia"/>
          <w:sz w:val="24"/>
          <w:szCs w:val="24"/>
        </w:rPr>
        <w:t xml:space="preserve">Real office workers spend 8+ hours per day in their workspace over months and years. Their experience is shaped by habit, social dynamics, task demands that vary by hour, seasonal daylight changes, personal decoration and appropriation of space, interruptions, and the accumulated microfrustrations and satisfactions of daily use. The experimental paradigm: participants visit a mock office or VR office for 15 minutes and report their impressions.</w:t>
      </w:r>
    </w:p>
    <w:p>
      <w:pPr>
        <w:spacing w:after="160" w:line="276"/>
      </w:pPr>
      <w:r>
        <w:rPr>
          <w:rFonts w:ascii="Georgia" w:cs="Georgia" w:eastAsia="Georgia" w:hAnsi="Georgia"/>
          <w:b/>
          <w:bCs/>
          <w:sz w:val="24"/>
          <w:szCs w:val="24"/>
        </w:rPr>
        <w:t xml:space="preserve">Classroom design: </w:t>
      </w:r>
      <w:r>
        <w:rPr>
          <w:rFonts w:ascii="Georgia" w:cs="Georgia" w:eastAsia="Georgia" w:hAnsi="Georgia"/>
          <w:sz w:val="24"/>
          <w:szCs w:val="24"/>
        </w:rPr>
        <w:t xml:space="preserve">Real students are in class because they must be, often tired, sometimes bored, processing social dynamics with peers and teacher, switching between attention and mind-wandering on a minute-by-minute basis. Their engagement with the physical environment is intermittent and largely unconscious — they look out the window when the lecture is dull, they notice the temperature when it’s too hot. The experimental paradigm: students rate photographs of classrooms or spend 20 minutes in a test room doing cognitive tasks.</w:t>
      </w:r>
    </w:p>
    <w:p>
      <w:pPr>
        <w:spacing w:after="160" w:line="276"/>
      </w:pPr>
      <w:r>
        <w:rPr>
          <w:rFonts w:ascii="Georgia" w:cs="Georgia" w:eastAsia="Georgia" w:hAnsi="Georgia"/>
          <w:b/>
          <w:bCs/>
          <w:sz w:val="24"/>
          <w:szCs w:val="24"/>
        </w:rPr>
        <w:t xml:space="preserve">Residential architecture: </w:t>
      </w:r>
      <w:r>
        <w:rPr>
          <w:rFonts w:ascii="Georgia" w:cs="Georgia" w:eastAsia="Georgia" w:hAnsi="Georgia"/>
          <w:sz w:val="24"/>
          <w:szCs w:val="24"/>
        </w:rPr>
        <w:t xml:space="preserve">Real homeowners live in their houses for years or decades. Their relationship with the architecture evolves through habituation, appropriation, renovation, changing family composition, and seasonal cycles. The house becomes part of their extended cognitive system (Clark &amp; Chalmers, 1998) — they know where everything is without thinking, navigate in the dark, have emotional associations with specific rooms tied to life events. The experimental paradigm: participants view interior photographs or visit show homes.</w:t>
      </w:r>
    </w:p>
    <w:p>
      <w:pPr>
        <w:pStyle w:val="Heading2"/>
        <w:spacing w:before="280" w:after="160"/>
      </w:pPr>
      <w:r>
        <w:rPr>
          <w:rFonts w:ascii="Georgia" w:cs="Georgia" w:eastAsia="Georgia" w:hAnsi="Georgia"/>
          <w:b/>
          <w:bCs/>
          <w:sz w:val="28"/>
          <w:szCs w:val="28"/>
        </w:rPr>
        <w:t xml:space="preserve">1.6 Counterarguments and Responses</w:t>
      </w:r>
    </w:p>
    <w:p>
      <w:pPr>
        <w:spacing w:after="160" w:line="276"/>
      </w:pPr>
      <w:r>
        <w:rPr>
          <w:rFonts w:ascii="Georgia" w:cs="Georgia" w:eastAsia="Georgia" w:hAnsi="Georgia"/>
          <w:b/>
          <w:bCs/>
          <w:sz w:val="24"/>
          <w:szCs w:val="24"/>
        </w:rPr>
        <w:t xml:space="preserve">Counterargument 1: “Lab studies establish mechanisms; field studies test generalizability.” </w:t>
      </w:r>
      <w:r>
        <w:rPr>
          <w:rFonts w:ascii="Georgia" w:cs="Georgia" w:eastAsia="Georgia" w:hAnsi="Georgia"/>
          <w:sz w:val="24"/>
          <w:szCs w:val="24"/>
        </w:rPr>
        <w:t xml:space="preserve">This is the standard defense. It has merit — mechanistic understanding requires controlled conditions. But the defense assumes that the mechanisms operating in the lab are the same mechanisms operating in the field, just with added noise. If the lab paradigm activates different mechanisms (explicit evaluation vs. implicit processing; Pathway 1 vs. Pathways 2–3), then the lab findings may not be about the same phenomenon.</w:t>
      </w:r>
    </w:p>
    <w:p>
      <w:pPr>
        <w:spacing w:after="160" w:line="276"/>
      </w:pPr>
      <w:r>
        <w:rPr>
          <w:rFonts w:ascii="Georgia" w:cs="Georgia" w:eastAsia="Georgia" w:hAnsi="Georgia"/>
          <w:b/>
          <w:bCs/>
          <w:sz w:val="24"/>
          <w:szCs w:val="24"/>
        </w:rPr>
        <w:t xml:space="preserve">Counterargument 2: “Effect sizes in lab studies provide an upper bound on real-world effects.” </w:t>
      </w:r>
      <w:r>
        <w:rPr>
          <w:rFonts w:ascii="Georgia" w:cs="Georgia" w:eastAsia="Georgia" w:hAnsi="Georgia"/>
          <w:sz w:val="24"/>
          <w:szCs w:val="24"/>
        </w:rPr>
        <w:t xml:space="preserve">Probably true for Pathway 1 effects (explicit evaluation is maximized when evaluation is the task). But potentially false for Pathway 2–3 effects, which might actually be larger in real-world contexts where they accumulate over time. The chronic stress reduction from working in a well-designed office for a year may produce larger health effects than any acute lab measurement can capture.</w:t>
      </w:r>
    </w:p>
    <w:p>
      <w:pPr>
        <w:spacing w:after="160" w:line="276"/>
      </w:pPr>
      <w:r>
        <w:rPr>
          <w:rFonts w:ascii="Georgia" w:cs="Georgia" w:eastAsia="Georgia" w:hAnsi="Georgia"/>
          <w:b/>
          <w:bCs/>
          <w:sz w:val="24"/>
          <w:szCs w:val="24"/>
        </w:rPr>
        <w:t xml:space="preserve">Counterargument 3: “Practical constraints make ecological experiments impossible.” </w:t>
      </w:r>
      <w:r>
        <w:rPr>
          <w:rFonts w:ascii="Georgia" w:cs="Georgia" w:eastAsia="Georgia" w:hAnsi="Georgia"/>
          <w:sz w:val="24"/>
          <w:szCs w:val="24"/>
        </w:rPr>
        <w:t xml:space="preserve">Partly true. You can’t randomly assign people to live in different houses for five years. But there is a vast space between photograph-rating studies and impossible longitudinal RCTs that the field has barely explored. Natural experiments (renovation before/after), experience sampling methods (ecological momentary assessment during real building use), wearable physiological monitoring during actual tasks, and post-occupancy evaluations with validated instruments are all feasible and dramatically more ecologically valid than the standard paradigm.</w:t>
      </w:r>
    </w:p>
    <w:p>
      <w:pPr>
        <w:spacing w:after="160" w:line="276"/>
      </w:pPr>
      <w:r>
        <w:rPr>
          <w:rFonts w:ascii="Georgia" w:cs="Georgia" w:eastAsia="Georgia" w:hAnsi="Georgia"/>
          <w:b/>
          <w:bCs/>
          <w:sz w:val="24"/>
          <w:szCs w:val="24"/>
        </w:rPr>
        <w:t xml:space="preserve">Counterargument 4: “Photograph preference correlates r = 0.86 with in-situ preference, so the paradigm is valid.” </w:t>
      </w:r>
      <w:r>
        <w:rPr>
          <w:rFonts w:ascii="Georgia" w:cs="Georgia" w:eastAsia="Georgia" w:hAnsi="Georgia"/>
          <w:sz w:val="24"/>
          <w:szCs w:val="24"/>
        </w:rPr>
        <w:t xml:space="preserve">This is the strongest counterargument and the most subtly wrong. The r = 0.86 validates photographs for measuring preference. It does not validate photographs for measuring stress recovery, cognitive performance, wayfinding behavior, social interaction, attention restoration, or any non-evaluative outcome. The generalization from “valid for preference” to “valid for everything” is a methodological non sequitur that the field has rarely questioned.</w:t>
      </w:r>
    </w:p>
    <w:p>
      <w:r>
        <w:br w:type="page"/>
      </w:r>
    </w:p>
    <w:p>
      <w:pPr>
        <w:pStyle w:val="Heading1"/>
        <w:spacing w:before="360" w:after="200"/>
      </w:pPr>
      <w:r>
        <w:rPr>
          <w:rFonts w:ascii="Georgia" w:cs="Georgia" w:eastAsia="Georgia" w:hAnsi="Georgia"/>
          <w:b/>
          <w:bCs/>
          <w:sz w:val="32"/>
          <w:szCs w:val="32"/>
        </w:rPr>
        <w:t xml:space="preserve">Part II: Expert Panel — Task-Ecological Validity in CNFA</w:t>
      </w:r>
    </w:p>
    <w:p>
      <w:pPr>
        <w:spacing w:after="160" w:line="276"/>
      </w:pPr>
      <w:r>
        <w:rPr>
          <w:rFonts w:ascii="Georgia" w:cs="Georgia" w:eastAsia="Georgia" w:hAnsi="Georgia"/>
          <w:i/>
          <w:iCs/>
          <w:sz w:val="24"/>
          <w:szCs w:val="24"/>
        </w:rPr>
        <w:t xml:space="preserve">Panel convened to discuss the challenge of ecological validity in cognitive neuroarchitecture research, with particular attention to the disconnect between experimental paradigms and real building use.</w:t>
      </w:r>
    </w:p>
    <w:p>
      <w:pPr>
        <w:pStyle w:val="Heading2"/>
        <w:spacing w:before="280" w:after="160"/>
      </w:pPr>
      <w:r>
        <w:rPr>
          <w:rFonts w:ascii="Georgia" w:cs="Georgia" w:eastAsia="Georgia" w:hAnsi="Georgia"/>
          <w:b/>
          <w:bCs/>
          <w:sz w:val="28"/>
          <w:szCs w:val="28"/>
        </w:rPr>
        <w:t xml:space="preserve">Panel Members</w:t>
      </w:r>
    </w:p>
    <w:p>
      <w:pPr>
        <w:spacing w:after="160" w:line="276"/>
      </w:pPr>
      <w:r>
        <w:rPr>
          <w:rFonts w:ascii="Georgia" w:cs="Georgia" w:eastAsia="Georgia" w:hAnsi="Georgia"/>
          <w:b/>
          <w:bCs/>
          <w:sz w:val="24"/>
          <w:szCs w:val="24"/>
        </w:rPr>
        <w:t xml:space="preserve">James J. Gibson (posthumous)</w:t>
      </w:r>
      <w:r>
        <w:rPr>
          <w:rFonts w:ascii="Georgia" w:cs="Georgia" w:eastAsia="Georgia" w:hAnsi="Georgia"/>
          <w:sz w:val="24"/>
          <w:szCs w:val="24"/>
        </w:rPr>
        <w:t xml:space="preserve"> — ecological psychology, affordances, perception-for-action</w:t>
      </w:r>
    </w:p>
    <w:p>
      <w:pPr>
        <w:spacing w:after="160" w:line="276"/>
      </w:pPr>
      <w:r>
        <w:rPr>
          <w:rFonts w:ascii="Georgia" w:cs="Georgia" w:eastAsia="Georgia" w:hAnsi="Georgia"/>
          <w:b/>
          <w:bCs/>
          <w:sz w:val="24"/>
          <w:szCs w:val="24"/>
        </w:rPr>
        <w:t xml:space="preserve">Eleanor Gibson</w:t>
      </w:r>
      <w:r>
        <w:rPr>
          <w:rFonts w:ascii="Georgia" w:cs="Georgia" w:eastAsia="Georgia" w:hAnsi="Georgia"/>
          <w:sz w:val="24"/>
          <w:szCs w:val="24"/>
        </w:rPr>
        <w:t xml:space="preserve"> — perceptual development, exploratory behavior, affordance learning</w:t>
      </w:r>
    </w:p>
    <w:p>
      <w:pPr>
        <w:spacing w:after="160" w:line="276"/>
      </w:pPr>
      <w:r>
        <w:rPr>
          <w:rFonts w:ascii="Georgia" w:cs="Georgia" w:eastAsia="Georgia" w:hAnsi="Georgia"/>
          <w:b/>
          <w:bCs/>
          <w:sz w:val="24"/>
          <w:szCs w:val="24"/>
        </w:rPr>
        <w:t xml:space="preserve">Harry Heft</w:t>
      </w:r>
      <w:r>
        <w:rPr>
          <w:rFonts w:ascii="Georgia" w:cs="Georgia" w:eastAsia="Georgia" w:hAnsi="Georgia"/>
          <w:sz w:val="24"/>
          <w:szCs w:val="24"/>
        </w:rPr>
        <w:t xml:space="preserve"> — ecological psychology applied to environmental psychology, Gibsonian approach to place</w:t>
      </w:r>
    </w:p>
    <w:p>
      <w:pPr>
        <w:spacing w:after="160" w:line="276"/>
      </w:pPr>
      <w:r>
        <w:rPr>
          <w:rFonts w:ascii="Georgia" w:cs="Georgia" w:eastAsia="Georgia" w:hAnsi="Georgia"/>
          <w:b/>
          <w:bCs/>
          <w:sz w:val="24"/>
          <w:szCs w:val="24"/>
        </w:rPr>
        <w:t xml:space="preserve">Roger Barker</w:t>
      </w:r>
      <w:r>
        <w:rPr>
          <w:rFonts w:ascii="Georgia" w:cs="Georgia" w:eastAsia="Georgia" w:hAnsi="Georgia"/>
          <w:sz w:val="24"/>
          <w:szCs w:val="24"/>
        </w:rPr>
        <w:t xml:space="preserve"> — ecological psychology, behavior settings, standing patterns of behavior</w:t>
      </w:r>
    </w:p>
    <w:p>
      <w:pPr>
        <w:spacing w:after="160" w:line="276"/>
      </w:pPr>
      <w:r>
        <w:rPr>
          <w:rFonts w:ascii="Georgia" w:cs="Georgia" w:eastAsia="Georgia" w:hAnsi="Georgia"/>
          <w:b/>
          <w:bCs/>
          <w:sz w:val="24"/>
          <w:szCs w:val="24"/>
        </w:rPr>
        <w:t xml:space="preserve">Amos Rapoport</w:t>
      </w:r>
      <w:r>
        <w:rPr>
          <w:rFonts w:ascii="Georgia" w:cs="Georgia" w:eastAsia="Georgia" w:hAnsi="Georgia"/>
          <w:sz w:val="24"/>
          <w:szCs w:val="24"/>
        </w:rPr>
        <w:t xml:space="preserve"> — environment-behavior studies, cultural aspects of built form</w:t>
      </w:r>
    </w:p>
    <w:p>
      <w:pPr>
        <w:spacing w:after="160" w:line="276"/>
      </w:pPr>
      <w:r>
        <w:rPr>
          <w:rFonts w:ascii="Georgia" w:cs="Georgia" w:eastAsia="Georgia" w:hAnsi="Georgia"/>
          <w:b/>
          <w:bCs/>
          <w:sz w:val="24"/>
          <w:szCs w:val="24"/>
        </w:rPr>
        <w:t xml:space="preserve">Lucy Suchman</w:t>
      </w:r>
      <w:r>
        <w:rPr>
          <w:rFonts w:ascii="Georgia" w:cs="Georgia" w:eastAsia="Georgia" w:hAnsi="Georgia"/>
          <w:sz w:val="24"/>
          <w:szCs w:val="24"/>
        </w:rPr>
        <w:t xml:space="preserve"> — situated action, ethnomethodology, workplace studies</w:t>
      </w:r>
    </w:p>
    <w:p>
      <w:pPr>
        <w:spacing w:after="160" w:line="276"/>
      </w:pPr>
      <w:r>
        <w:rPr>
          <w:rFonts w:ascii="Georgia" w:cs="Georgia" w:eastAsia="Georgia" w:hAnsi="Georgia"/>
          <w:b/>
          <w:bCs/>
          <w:sz w:val="24"/>
          <w:szCs w:val="24"/>
        </w:rPr>
        <w:t xml:space="preserve">Edwin Hutchins</w:t>
      </w:r>
      <w:r>
        <w:rPr>
          <w:rFonts w:ascii="Georgia" w:cs="Georgia" w:eastAsia="Georgia" w:hAnsi="Georgia"/>
          <w:sz w:val="24"/>
          <w:szCs w:val="24"/>
        </w:rPr>
        <w:t xml:space="preserve"> — distributed cognition, cognition in the wild</w:t>
      </w:r>
    </w:p>
    <w:p>
      <w:pPr>
        <w:spacing w:after="160" w:line="276"/>
      </w:pPr>
      <w:r>
        <w:rPr>
          <w:rFonts w:ascii="Georgia" w:cs="Georgia" w:eastAsia="Georgia" w:hAnsi="Georgia"/>
          <w:b/>
          <w:bCs/>
          <w:sz w:val="24"/>
          <w:szCs w:val="24"/>
        </w:rPr>
        <w:t xml:space="preserve">Karl Friston</w:t>
      </w:r>
      <w:r>
        <w:rPr>
          <w:rFonts w:ascii="Georgia" w:cs="Georgia" w:eastAsia="Georgia" w:hAnsi="Georgia"/>
          <w:sz w:val="24"/>
          <w:szCs w:val="24"/>
        </w:rPr>
        <w:t xml:space="preserve"> — active inference, free energy principle, prediction error</w:t>
      </w:r>
    </w:p>
    <w:p>
      <w:pPr>
        <w:spacing w:after="160" w:line="276"/>
      </w:pPr>
      <w:r>
        <w:rPr>
          <w:rFonts w:ascii="Georgia" w:cs="Georgia" w:eastAsia="Georgia" w:hAnsi="Georgia"/>
          <w:b/>
          <w:bCs/>
          <w:sz w:val="24"/>
          <w:szCs w:val="24"/>
        </w:rPr>
        <w:t xml:space="preserve">Alva Noë</w:t>
      </w:r>
      <w:r>
        <w:rPr>
          <w:rFonts w:ascii="Georgia" w:cs="Georgia" w:eastAsia="Georgia" w:hAnsi="Georgia"/>
          <w:sz w:val="24"/>
          <w:szCs w:val="24"/>
        </w:rPr>
        <w:t xml:space="preserve"> — enactive perception, sensorimotor contingencies</w:t>
      </w:r>
    </w:p>
    <w:p>
      <w:pPr>
        <w:pStyle w:val="Heading2"/>
        <w:spacing w:before="280" w:after="160"/>
      </w:pPr>
      <w:r>
        <w:rPr>
          <w:rFonts w:ascii="Georgia" w:cs="Georgia" w:eastAsia="Georgia" w:hAnsi="Georgia"/>
          <w:b/>
          <w:bCs/>
          <w:sz w:val="28"/>
          <w:szCs w:val="28"/>
        </w:rPr>
        <w:t xml:space="preserve">Opening: What is the core problem?</w:t>
      </w:r>
    </w:p>
    <w:p>
      <w:pPr>
        <w:spacing w:after="160" w:line="276"/>
      </w:pPr>
      <w:r>
        <w:rPr>
          <w:rFonts w:ascii="Georgia" w:cs="Georgia" w:eastAsia="Georgia" w:hAnsi="Georgia"/>
          <w:b/>
          <w:bCs/>
          <w:sz w:val="24"/>
          <w:szCs w:val="24"/>
        </w:rPr>
        <w:t xml:space="preserve">Heft: </w:t>
      </w:r>
      <w:r>
        <w:rPr>
          <w:rFonts w:ascii="Georgia" w:cs="Georgia" w:eastAsia="Georgia" w:hAnsi="Georgia"/>
          <w:sz w:val="24"/>
          <w:szCs w:val="24"/>
        </w:rPr>
        <w:t xml:space="preserve">The fundamental issue is that environmental psychology inherited its methods from experimental psychology, which inherited its methods from psychophysics. Psychophysics works because the relationship between stimulus and percept is relatively stable — a flash of light looks the same whether you’re happy or sad. But environments are not stimuli. They are settings for activity. You cannot isolate the environment from the activity it supports and expect to understand how the environment functions. This is what Barker understood sixty years ago.</w:t>
      </w:r>
    </w:p>
    <w:p>
      <w:pPr>
        <w:spacing w:after="160" w:line="276"/>
      </w:pPr>
      <w:r>
        <w:rPr>
          <w:rFonts w:ascii="Georgia" w:cs="Georgia" w:eastAsia="Georgia" w:hAnsi="Georgia"/>
          <w:b/>
          <w:bCs/>
          <w:sz w:val="24"/>
          <w:szCs w:val="24"/>
        </w:rPr>
        <w:t xml:space="preserve">Barker: </w:t>
      </w:r>
      <w:r>
        <w:rPr>
          <w:rFonts w:ascii="Georgia" w:cs="Georgia" w:eastAsia="Georgia" w:hAnsi="Georgia"/>
          <w:sz w:val="24"/>
          <w:szCs w:val="24"/>
        </w:rPr>
        <w:t xml:space="preserve">Precisely. A behavior setting is a bounded, self-organizing system that includes both the physical milieu and the standing pattern of behavior that occurs within it. A classroom is not a room with desks — it is a room-with-desks-where-teaching-and-learning-happen. The physical features and the behavior are mutually constraining. If you study the room without the behavior, you are studying half the system. You will find correlations between room features and ratings, but you will miss the essential character of the setting, which is how the features support or impede the behavior pattern.</w:t>
      </w:r>
    </w:p>
    <w:p>
      <w:pPr>
        <w:spacing w:after="160" w:line="276"/>
      </w:pPr>
      <w:r>
        <w:rPr>
          <w:rFonts w:ascii="Georgia" w:cs="Georgia" w:eastAsia="Georgia" w:hAnsi="Georgia"/>
          <w:b/>
          <w:bCs/>
          <w:sz w:val="24"/>
          <w:szCs w:val="24"/>
        </w:rPr>
        <w:t xml:space="preserve">Gibson, J.: </w:t>
      </w:r>
      <w:r>
        <w:rPr>
          <w:rFonts w:ascii="Georgia" w:cs="Georgia" w:eastAsia="Georgia" w:hAnsi="Georgia"/>
          <w:sz w:val="24"/>
          <w:szCs w:val="24"/>
        </w:rPr>
        <w:t xml:space="preserve">The error is more radical than that. The experimental paradigm assumes that perception consists of receiving information and then evaluating it. But perception is active exploration. An organism perceives by moving through the environment, sampling the ambient optic array from multiple vantage points, detecting invariants that specify affordances. A photograph eliminates exploration. VR constrains it. Even a real building visited for fifteen minutes on a researcher’s prescribed path constrains it. The information available to a person who has freely explored a building over months is categorically different from the information available to a participant in an experiment.</w:t>
      </w:r>
    </w:p>
    <w:p>
      <w:pPr>
        <w:spacing w:after="160" w:line="276"/>
      </w:pPr>
      <w:r>
        <w:rPr>
          <w:rFonts w:ascii="Georgia" w:cs="Georgia" w:eastAsia="Georgia" w:hAnsi="Georgia"/>
          <w:b/>
          <w:bCs/>
          <w:sz w:val="24"/>
          <w:szCs w:val="24"/>
        </w:rPr>
        <w:t xml:space="preserve">Suchman: </w:t>
      </w:r>
      <w:r>
        <w:rPr>
          <w:rFonts w:ascii="Georgia" w:cs="Georgia" w:eastAsia="Georgia" w:hAnsi="Georgia"/>
          <w:sz w:val="24"/>
          <w:szCs w:val="24"/>
        </w:rPr>
        <w:t xml:space="preserve">I want to emphasize a practical dimension that the laboratory paradigm systematically ignores. In my studies of actual workplace activity, the relationship between people and their physical environment is one of ongoing, moment-by-moment improvisation. People appropriate spaces, modify them, work around their limitations, develop shared practices for using them. None of this appears in a laboratory study because it requires time, social context, and real stakes. A fifteen-minute VR exposure cannot tell you anything about how people actually inhabit buildings.</w:t>
      </w:r>
    </w:p>
    <w:p>
      <w:pPr>
        <w:spacing w:after="160" w:line="276"/>
      </w:pPr>
      <w:r>
        <w:rPr>
          <w:rFonts w:ascii="Georgia" w:cs="Georgia" w:eastAsia="Georgia" w:hAnsi="Georgia"/>
          <w:b/>
          <w:bCs/>
          <w:sz w:val="24"/>
          <w:szCs w:val="24"/>
        </w:rPr>
        <w:t xml:space="preserve">Hutchins: </w:t>
      </w:r>
      <w:r>
        <w:rPr>
          <w:rFonts w:ascii="Georgia" w:cs="Georgia" w:eastAsia="Georgia" w:hAnsi="Georgia"/>
          <w:sz w:val="24"/>
          <w:szCs w:val="24"/>
        </w:rPr>
        <w:t xml:space="preserve">This connects to distributed cognition. In real buildings, cognitive processes are distributed across the person, the physical structure, and the social system. The pilot’s cockpit is not just a container for the pilot — it is a cognitive system in which information is represented in the layout of instruments, the position of controls, and the coordination of crew members. An office is the same kind of system. The arrangement of desks, screens, whiteboards, and sightlines constitutes a cognitive architecture that shapes thinking. You cannot study this by putting one person in a simulated room.</w:t>
      </w:r>
    </w:p>
    <w:p>
      <w:pPr>
        <w:spacing w:after="160" w:line="276"/>
      </w:pPr>
      <w:r>
        <w:rPr>
          <w:rFonts w:ascii="Georgia" w:cs="Georgia" w:eastAsia="Georgia" w:hAnsi="Georgia"/>
          <w:b/>
          <w:bCs/>
          <w:sz w:val="24"/>
          <w:szCs w:val="24"/>
        </w:rPr>
        <w:t xml:space="preserve">Friston: </w:t>
      </w:r>
      <w:r>
        <w:rPr>
          <w:rFonts w:ascii="Georgia" w:cs="Georgia" w:eastAsia="Georgia" w:hAnsi="Georgia"/>
          <w:sz w:val="24"/>
          <w:szCs w:val="24"/>
        </w:rPr>
        <w:t xml:space="preserve">Let me formalize what everyone is saying in terms of active inference. The free energy principle says that organisms minimize prediction error through a combination of perception (updating the model to fit the evidence) and action (changing the evidence to fit the model). In a real building encounter, the person is actively seeking information, testing predictions, modifying their trajectory through the space to resolve uncertainty. This active inference loop is constitutive of the experience. In the standard experiment, the person is passive — they receive stimuli and report. The prediction error minimization is purely perceptual, with no action component. This is a fundamentally different computational regime. The precision weighting, the temporal dynamics, the information gain — all different.</w:t>
      </w:r>
    </w:p>
    <w:p>
      <w:pPr>
        <w:spacing w:after="160" w:line="276"/>
      </w:pPr>
      <w:r>
        <w:rPr>
          <w:rFonts w:ascii="Georgia" w:cs="Georgia" w:eastAsia="Georgia" w:hAnsi="Georgia"/>
          <w:b/>
          <w:bCs/>
          <w:sz w:val="24"/>
          <w:szCs w:val="24"/>
        </w:rPr>
        <w:t xml:space="preserve">Noë: </w:t>
      </w:r>
      <w:r>
        <w:rPr>
          <w:rFonts w:ascii="Georgia" w:cs="Georgia" w:eastAsia="Georgia" w:hAnsi="Georgia"/>
          <w:sz w:val="24"/>
          <w:szCs w:val="24"/>
        </w:rPr>
        <w:t xml:space="preserve">And this is why I argue that perception is a skillful bodily activity, not the reception of information. To perceive a room is to understand — in your body — the sensorimotor contingencies it affords. How will the light change as I move? What will I see around that corner? How will my footsteps sound on that floor? These are not predictions about abstract properties; they are embodied expectations about the consequences of specific actions. You cannot have these expectations from a photograph because photographs do not afford action.</w:t>
      </w:r>
    </w:p>
    <w:p>
      <w:pPr>
        <w:spacing w:after="160" w:line="276"/>
      </w:pPr>
      <w:r>
        <w:rPr>
          <w:rFonts w:ascii="Georgia" w:cs="Georgia" w:eastAsia="Georgia" w:hAnsi="Georgia"/>
          <w:b/>
          <w:bCs/>
          <w:sz w:val="24"/>
          <w:szCs w:val="24"/>
        </w:rPr>
        <w:t xml:space="preserve">Rapoport: </w:t>
      </w:r>
      <w:r>
        <w:rPr>
          <w:rFonts w:ascii="Georgia" w:cs="Georgia" w:eastAsia="Georgia" w:hAnsi="Georgia"/>
          <w:sz w:val="24"/>
          <w:szCs w:val="24"/>
        </w:rPr>
        <w:t xml:space="preserve">I want to add the cultural dimension, which compounds the ecological validity problem. The meaning of architectural features is culturally constructed. High ceilings mean prosperity in American culture, spiritual aspiration in Gothic cathedrals, air circulation in tropical architecture. Enclosure means safety in some cultures and confinement in others. When we study ceiling height effects in American university students using photographs of generic rooms, we are studying a very thin slice of the space of possible encounters. The ecological validity problem is not just about task and state — it is about the cultural frameworks through which architecture is interpreted.</w:t>
      </w:r>
    </w:p>
    <w:p>
      <w:pPr>
        <w:spacing w:after="160" w:line="276"/>
      </w:pPr>
      <w:r>
        <w:rPr>
          <w:rFonts w:ascii="Georgia" w:cs="Georgia" w:eastAsia="Georgia" w:hAnsi="Georgia"/>
          <w:b/>
          <w:bCs/>
          <w:sz w:val="24"/>
          <w:szCs w:val="24"/>
        </w:rPr>
        <w:t xml:space="preserve">Gibson, E.: </w:t>
      </w:r>
      <w:r>
        <w:rPr>
          <w:rFonts w:ascii="Georgia" w:cs="Georgia" w:eastAsia="Georgia" w:hAnsi="Georgia"/>
          <w:sz w:val="24"/>
          <w:szCs w:val="24"/>
        </w:rPr>
        <w:t xml:space="preserve">I want to return to the developmental perspective. Perception of affordances improves through exploration. Children learn what spaces afford by actively engaging with them — crawling, climbing, running, falling. Adults have decades of this exploratory learning behind them. When they enter a new building, they bring a rich history of body-environment interactions that shapes their perception of what the space affords. The laboratory paradigm treats each encounter as if it were the first encounter with architecture ever. But no one perceives a building from zero — everyone perceives it through the lens of a lifetime of embodied architectural experience.</w:t>
      </w:r>
    </w:p>
    <w:p>
      <w:pPr>
        <w:pStyle w:val="Heading2"/>
        <w:spacing w:before="280" w:after="160"/>
      </w:pPr>
      <w:r>
        <w:rPr>
          <w:rFonts w:ascii="Georgia" w:cs="Georgia" w:eastAsia="Georgia" w:hAnsi="Georgia"/>
          <w:b/>
          <w:bCs/>
          <w:sz w:val="28"/>
          <w:szCs w:val="28"/>
        </w:rPr>
        <w:t xml:space="preserve">Discussion: What should be done?</w:t>
      </w:r>
    </w:p>
    <w:p>
      <w:pPr>
        <w:spacing w:after="160" w:line="276"/>
      </w:pPr>
      <w:r>
        <w:rPr>
          <w:rFonts w:ascii="Georgia" w:cs="Georgia" w:eastAsia="Georgia" w:hAnsi="Georgia"/>
          <w:b/>
          <w:bCs/>
          <w:sz w:val="24"/>
          <w:szCs w:val="24"/>
        </w:rPr>
        <w:t xml:space="preserve">Heft: </w:t>
      </w:r>
      <w:r>
        <w:rPr>
          <w:rFonts w:ascii="Georgia" w:cs="Georgia" w:eastAsia="Georgia" w:hAnsi="Georgia"/>
          <w:sz w:val="24"/>
          <w:szCs w:val="24"/>
        </w:rPr>
        <w:t xml:space="preserve">I think the field needs to recognize that there are at least three distinct research questions that require different methods. First: what are people’s evaluative responses to environmental features? For this, the existing paradigm is adequate. Second: what are the mechanisms by which environments affect cognitive and physiological processes? For this, you need controlled experiments but with ecological tasks — the Fich TSST study is a good model. Third: how do environments function as settings for human activity over time? For this, you need field methods — behavior mapping, experience sampling, longitudinal monitoring. The problem is not that any one method is wrong; it is that the field uses Method 1 to answer Questions 2 and 3.</w:t>
      </w:r>
    </w:p>
    <w:p>
      <w:pPr>
        <w:spacing w:after="160" w:line="276"/>
      </w:pPr>
      <w:r>
        <w:rPr>
          <w:rFonts w:ascii="Georgia" w:cs="Georgia" w:eastAsia="Georgia" w:hAnsi="Georgia"/>
          <w:b/>
          <w:bCs/>
          <w:sz w:val="24"/>
          <w:szCs w:val="24"/>
        </w:rPr>
        <w:t xml:space="preserve">Barker: </w:t>
      </w:r>
      <w:r>
        <w:rPr>
          <w:rFonts w:ascii="Georgia" w:cs="Georgia" w:eastAsia="Georgia" w:hAnsi="Georgia"/>
          <w:sz w:val="24"/>
          <w:szCs w:val="24"/>
        </w:rPr>
        <w:t xml:space="preserve">What is needed is what I called an eco-behavioral approach. You study the behavior setting as a whole. You observe what people actually do in buildings, not what they say they would do or how they feel about photographs. Modern technology makes this more feasible than in my era — wearable sensors, smartphone-based experience sampling, video analytics, occupancy data from building management systems. The data are all around us; the field simply does not collect them because it is trapped in the laboratory paradigm.</w:t>
      </w:r>
    </w:p>
    <w:p>
      <w:pPr>
        <w:spacing w:after="160" w:line="276"/>
      </w:pPr>
      <w:r>
        <w:rPr>
          <w:rFonts w:ascii="Georgia" w:cs="Georgia" w:eastAsia="Georgia" w:hAnsi="Georgia"/>
          <w:b/>
          <w:bCs/>
          <w:sz w:val="24"/>
          <w:szCs w:val="24"/>
        </w:rPr>
        <w:t xml:space="preserve">Suchman: </w:t>
      </w:r>
      <w:r>
        <w:rPr>
          <w:rFonts w:ascii="Georgia" w:cs="Georgia" w:eastAsia="Georgia" w:hAnsi="Georgia"/>
          <w:sz w:val="24"/>
          <w:szCs w:val="24"/>
        </w:rPr>
        <w:t xml:space="preserve">I would add that ethnographic methods have extraordinary power for understanding situated action in buildings. Following a nurse through a twelve-hour shift, documenting every interaction with the physical environment — the doors that stick, the corridors that are too narrow for two gurneys, the medication room where you can never find what you need — reveals the actual affordance structure of the building in a way that no laboratory study can. These are not quaint qualitative observations; they are data about the building’s performance as a cognitive and physical resource for the activities it supports.</w:t>
      </w:r>
    </w:p>
    <w:p>
      <w:pPr>
        <w:spacing w:after="160" w:line="276"/>
      </w:pPr>
      <w:r>
        <w:rPr>
          <w:rFonts w:ascii="Georgia" w:cs="Georgia" w:eastAsia="Georgia" w:hAnsi="Georgia"/>
          <w:b/>
          <w:bCs/>
          <w:sz w:val="24"/>
          <w:szCs w:val="24"/>
        </w:rPr>
        <w:t xml:space="preserve">Friston: </w:t>
      </w:r>
      <w:r>
        <w:rPr>
          <w:rFonts w:ascii="Georgia" w:cs="Georgia" w:eastAsia="Georgia" w:hAnsi="Georgia"/>
          <w:sz w:val="24"/>
          <w:szCs w:val="24"/>
        </w:rPr>
        <w:t xml:space="preserve">From a computational perspective, I would recommend a dual-model approach. Use controlled experiments to identify the computational mechanisms — what kind of prediction errors do architectural features generate, how are they precision-weighted, what are the update dynamics. But then validate those mechanisms with field data that captures the active inference loop in its natural operating conditions. You need both the mechanistic model and the ecological validation. Either alone is insufficient.</w:t>
      </w:r>
    </w:p>
    <w:p>
      <w:pPr>
        <w:spacing w:after="160" w:line="276"/>
      </w:pPr>
      <w:r>
        <w:rPr>
          <w:rFonts w:ascii="Georgia" w:cs="Georgia" w:eastAsia="Georgia" w:hAnsi="Georgia"/>
          <w:b/>
          <w:bCs/>
          <w:sz w:val="24"/>
          <w:szCs w:val="24"/>
        </w:rPr>
        <w:t xml:space="preserve">Hutchins: </w:t>
      </w:r>
      <w:r>
        <w:rPr>
          <w:rFonts w:ascii="Georgia" w:cs="Georgia" w:eastAsia="Georgia" w:hAnsi="Georgia"/>
          <w:sz w:val="24"/>
          <w:szCs w:val="24"/>
        </w:rPr>
        <w:t xml:space="preserve">I want to emphasize that the unit of analysis matters. If you study individual perception of architectural features, you get one set of findings. If you study the building-as-cognitive-system — how the physical structure supports the distributed cognitive work that happens in it — you get a different and, for design purposes, more useful set of findings. The question is not “how does this person feel about this ceiling?” but “how does this building support or impede the collective work its occupants are trying to accomplish?”</w:t>
      </w:r>
    </w:p>
    <w:p>
      <w:pPr>
        <w:spacing w:after="160" w:line="276"/>
      </w:pPr>
      <w:r>
        <w:rPr>
          <w:rFonts w:ascii="Georgia" w:cs="Georgia" w:eastAsia="Georgia" w:hAnsi="Georgia"/>
          <w:b/>
          <w:bCs/>
          <w:sz w:val="24"/>
          <w:szCs w:val="24"/>
        </w:rPr>
        <w:t xml:space="preserve">Rapoport: </w:t>
      </w:r>
      <w:r>
        <w:rPr>
          <w:rFonts w:ascii="Georgia" w:cs="Georgia" w:eastAsia="Georgia" w:hAnsi="Georgia"/>
          <w:sz w:val="24"/>
          <w:szCs w:val="24"/>
        </w:rPr>
        <w:t xml:space="preserve">And this brings in the time dimension that the experimental paradigm systematically eliminates. Buildings are experienced over lifetimes. The relationship between a person and their home unfolds over years. The relationship between a community and its mosque or temple or town square unfolds over generations. The fifteen-minute experiment captures the first fifteen minutes of what is fundamentally a longitudinal relationship.</w:t>
      </w:r>
    </w:p>
    <w:p>
      <w:pPr>
        <w:spacing w:after="160" w:line="276"/>
      </w:pPr>
      <w:r>
        <w:rPr>
          <w:rFonts w:ascii="Georgia" w:cs="Georgia" w:eastAsia="Georgia" w:hAnsi="Georgia"/>
          <w:b/>
          <w:bCs/>
          <w:sz w:val="24"/>
          <w:szCs w:val="24"/>
        </w:rPr>
        <w:t xml:space="preserve">Noë: </w:t>
      </w:r>
      <w:r>
        <w:rPr>
          <w:rFonts w:ascii="Georgia" w:cs="Georgia" w:eastAsia="Georgia" w:hAnsi="Georgia"/>
          <w:sz w:val="24"/>
          <w:szCs w:val="24"/>
        </w:rPr>
        <w:t xml:space="preserve">The practical implication for Article Eater is that the system needs to distinguish between findings about perception-of-environments and findings about habitation-of-environments. These are different phenomena with different mechanisms, different timescales, and different practical implications for design. A finding that people prefer natural materials in photographs tells designers about initial impressions. A finding that workers in natural-material offices have lower annual sick leave tells designers about chronic occupant health effects. Both are valuable but they are about different things.</w:t>
      </w:r>
    </w:p>
    <w:p>
      <w:pPr>
        <w:pStyle w:val="Heading2"/>
        <w:spacing w:before="280" w:after="160"/>
      </w:pPr>
      <w:r>
        <w:rPr>
          <w:rFonts w:ascii="Georgia" w:cs="Georgia" w:eastAsia="Georgia" w:hAnsi="Georgia"/>
          <w:b/>
          <w:bCs/>
          <w:sz w:val="28"/>
          <w:szCs w:val="28"/>
        </w:rPr>
        <w:t xml:space="preserve">Panel Consensus</w:t>
      </w:r>
    </w:p>
    <w:p>
      <w:pPr>
        <w:spacing w:after="160" w:line="276"/>
      </w:pPr>
      <w:r>
        <w:rPr>
          <w:rFonts w:ascii="Georgia" w:cs="Georgia" w:eastAsia="Georgia" w:hAnsi="Georgia"/>
          <w:b/>
          <w:bCs/>
          <w:sz w:val="24"/>
          <w:szCs w:val="24"/>
        </w:rPr>
        <w:t xml:space="preserve">1. </w:t>
      </w:r>
      <w:r>
        <w:rPr>
          <w:rFonts w:ascii="Georgia" w:cs="Georgia" w:eastAsia="Georgia" w:hAnsi="Georgia"/>
          <w:sz w:val="24"/>
          <w:szCs w:val="24"/>
        </w:rPr>
        <w:t xml:space="preserve">The standard experimental paradigm in CNFA (stimulus presentation + evaluation by passive participants) is well-validated for measuring explicit evaluative responses but has unknown and possibly poor validity for measuring the implicit cognitive and physiological effects that are most consequential for real building occupants.</w:t>
      </w:r>
    </w:p>
    <w:p>
      <w:pPr>
        <w:spacing w:after="160" w:line="276"/>
      </w:pPr>
      <w:r>
        <w:rPr>
          <w:rFonts w:ascii="Georgia" w:cs="Georgia" w:eastAsia="Georgia" w:hAnsi="Georgia"/>
          <w:b/>
          <w:bCs/>
          <w:sz w:val="24"/>
          <w:szCs w:val="24"/>
        </w:rPr>
        <w:t xml:space="preserve">2. </w:t>
      </w:r>
      <w:r>
        <w:rPr>
          <w:rFonts w:ascii="Georgia" w:cs="Georgia" w:eastAsia="Georgia" w:hAnsi="Georgia"/>
          <w:sz w:val="24"/>
          <w:szCs w:val="24"/>
        </w:rPr>
        <w:t xml:space="preserve">Task-ecological validity should be treated as a formal dimension of methodological quality, alongside presentation validity and measurement validity. Studies with ecological tasks (Fich’s TSST, real wayfinding tasks, actual work tasks) provide stronger evidence for architectural effects on real occupants than studies with evaluation-only tasks.</w:t>
      </w:r>
    </w:p>
    <w:p>
      <w:pPr>
        <w:spacing w:after="160" w:line="276"/>
      </w:pPr>
      <w:r>
        <w:rPr>
          <w:rFonts w:ascii="Georgia" w:cs="Georgia" w:eastAsia="Georgia" w:hAnsi="Georgia"/>
          <w:b/>
          <w:bCs/>
          <w:sz w:val="24"/>
          <w:szCs w:val="24"/>
        </w:rPr>
        <w:t xml:space="preserve">3. </w:t>
      </w:r>
      <w:r>
        <w:rPr>
          <w:rFonts w:ascii="Georgia" w:cs="Georgia" w:eastAsia="Georgia" w:hAnsi="Georgia"/>
          <w:sz w:val="24"/>
          <w:szCs w:val="24"/>
        </w:rPr>
        <w:t xml:space="preserve">Incoming participant state (affective, cognitive, physical, social) is not noise — it is a systematic moderator that determines the character of the architectural encounter. Studies that do not measure or control incoming state are studying an uncharacterized mixture of encounters.</w:t>
      </w:r>
    </w:p>
    <w:p>
      <w:pPr>
        <w:spacing w:after="160" w:line="276"/>
      </w:pPr>
      <w:r>
        <w:rPr>
          <w:rFonts w:ascii="Georgia" w:cs="Georgia" w:eastAsia="Georgia" w:hAnsi="Georgia"/>
          <w:b/>
          <w:bCs/>
          <w:sz w:val="24"/>
          <w:szCs w:val="24"/>
        </w:rPr>
        <w:t xml:space="preserve">4. </w:t>
      </w:r>
      <w:r>
        <w:rPr>
          <w:rFonts w:ascii="Georgia" w:cs="Georgia" w:eastAsia="Georgia" w:hAnsi="Georgia"/>
          <w:sz w:val="24"/>
          <w:szCs w:val="24"/>
        </w:rPr>
        <w:t xml:space="preserve">The distinction between first-encounter and habituated-use is categorical, not quantitative. Experimental findings from novel-exposure paradigms should not be generalized to chronic occupancy without explicit justification and additional evidence.</w:t>
      </w:r>
    </w:p>
    <w:p>
      <w:pPr>
        <w:spacing w:after="160" w:line="276"/>
      </w:pPr>
      <w:r>
        <w:rPr>
          <w:rFonts w:ascii="Georgia" w:cs="Georgia" w:eastAsia="Georgia" w:hAnsi="Georgia"/>
          <w:b/>
          <w:bCs/>
          <w:sz w:val="24"/>
          <w:szCs w:val="24"/>
        </w:rPr>
        <w:t xml:space="preserve">5. </w:t>
      </w:r>
      <w:r>
        <w:rPr>
          <w:rFonts w:ascii="Georgia" w:cs="Georgia" w:eastAsia="Georgia" w:hAnsi="Georgia"/>
          <w:sz w:val="24"/>
          <w:szCs w:val="24"/>
        </w:rPr>
        <w:t xml:space="preserve">Distributed cognition and situated action frameworks suggest that the unit of analysis should expand from individual-perceiving-environment to activity-system-in-environment, particularly for workplace, healthcare, and educational settings.</w:t>
      </w:r>
    </w:p>
    <w:p>
      <w:pPr>
        <w:spacing w:after="160" w:line="276"/>
      </w:pPr>
      <w:r>
        <w:rPr>
          <w:rFonts w:ascii="Georgia" w:cs="Georgia" w:eastAsia="Georgia" w:hAnsi="Georgia"/>
          <w:b/>
          <w:bCs/>
          <w:sz w:val="24"/>
          <w:szCs w:val="24"/>
        </w:rPr>
        <w:t xml:space="preserve">6. </w:t>
      </w:r>
      <w:r>
        <w:rPr>
          <w:rFonts w:ascii="Georgia" w:cs="Georgia" w:eastAsia="Georgia" w:hAnsi="Georgia"/>
          <w:sz w:val="24"/>
          <w:szCs w:val="24"/>
        </w:rPr>
        <w:t xml:space="preserve">Field methods (experience sampling, wearable monitoring, behavioral observation, post-occupancy evaluation) should be treated as primary evidence for architectural effects on real occupants, not as secondary validation of laboratory findings.</w:t>
      </w:r>
    </w:p>
    <w:p>
      <w:pPr>
        <w:spacing w:after="160" w:line="276"/>
      </w:pPr>
      <w:r>
        <w:rPr>
          <w:rFonts w:ascii="Georgia" w:cs="Georgia" w:eastAsia="Georgia" w:hAnsi="Georgia"/>
          <w:b/>
          <w:bCs/>
          <w:sz w:val="24"/>
          <w:szCs w:val="24"/>
        </w:rPr>
        <w:t xml:space="preserve">7. </w:t>
      </w:r>
      <w:r>
        <w:rPr>
          <w:rFonts w:ascii="Georgia" w:cs="Georgia" w:eastAsia="Georgia" w:hAnsi="Georgia"/>
          <w:sz w:val="24"/>
          <w:szCs w:val="24"/>
        </w:rPr>
        <w:t xml:space="preserve">Article Eater should represent findings from passive-evaluation paradigms and findings from ecological-task paradigms as different claim types in the web of belief, connected by generalizability warrants that carry the burden of justification.</w:t>
      </w:r>
    </w:p>
    <w:p>
      <w:r>
        <w:br w:type="page"/>
      </w:r>
    </w:p>
    <w:p>
      <w:pPr>
        <w:pStyle w:val="Heading1"/>
        <w:spacing w:before="360" w:after="200"/>
      </w:pPr>
      <w:r>
        <w:rPr>
          <w:rFonts w:ascii="Georgia" w:cs="Georgia" w:eastAsia="Georgia" w:hAnsi="Georgia"/>
          <w:b/>
          <w:bCs/>
          <w:sz w:val="32"/>
          <w:szCs w:val="32"/>
        </w:rPr>
        <w:t xml:space="preserve">Part III: Formal Tier 2b Specification — Task-Ecological Validity</w:t>
      </w:r>
    </w:p>
    <w:p>
      <w:pPr>
        <w:spacing w:after="160" w:line="276"/>
      </w:pPr>
      <w:r>
        <w:rPr>
          <w:rFonts w:ascii="Georgia" w:cs="Georgia" w:eastAsia="Georgia" w:hAnsi="Georgia"/>
          <w:i/>
          <w:iCs/>
          <w:sz w:val="24"/>
          <w:szCs w:val="24"/>
        </w:rPr>
        <w:t xml:space="preserve">This section specifies the task-ecological validity dimension for the Article Eater methodological framework (Tier 2b), to be added alongside the presentation validity and measurement validity dimensions specified in V1.0.</w:t>
      </w:r>
    </w:p>
    <w:p>
      <w:pPr>
        <w:pStyle w:val="Heading2"/>
        <w:spacing w:before="280" w:after="160"/>
      </w:pPr>
      <w:r>
        <w:rPr>
          <w:rFonts w:ascii="Georgia" w:cs="Georgia" w:eastAsia="Georgia" w:hAnsi="Georgia"/>
          <w:b/>
          <w:bCs/>
          <w:sz w:val="28"/>
          <w:szCs w:val="28"/>
        </w:rPr>
        <w:t xml:space="preserve">3.1 The Task-Ecological Validity Score</w:t>
      </w:r>
    </w:p>
    <w:p>
      <w:pPr>
        <w:spacing w:after="160" w:line="276"/>
      </w:pPr>
      <w:r>
        <w:rPr>
          <w:rFonts w:ascii="Georgia" w:cs="Georgia" w:eastAsia="Georgia" w:hAnsi="Georgia"/>
          <w:sz w:val="24"/>
          <w:szCs w:val="24"/>
        </w:rPr>
        <w:t xml:space="preserve">For every extracted claim, Article Eater computes a task_ecological_validity score in [0, 1] from five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5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task_authenticity</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 the participant’s primary task ecological (navigating, working, healing) or artificial (evaluating, rating)?</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0.30</w:t>
            </w:r>
          </w:p>
        </w:tc>
      </w:tr>
      <w:tr>
        <w:tc>
          <w:tcPr>
            <w:tcW w:type="dxa" w:w="20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state_characterization</w:t>
            </w:r>
          </w:p>
        </w:tc>
        <w:tc>
          <w:tcPr>
            <w:tcW w:type="dxa" w:w="50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Does the study measure/control incoming affective, cognitive, and physical state?</w:t>
            </w:r>
          </w:p>
        </w:tc>
        <w:tc>
          <w:tcPr>
            <w:tcW w:type="dxa" w:w="236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0.20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attentional_ecology</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 participant attention on the architectural features (demand characteristics) or naturally distributed?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0.20</w:t>
            </w:r>
          </w:p>
        </w:tc>
      </w:tr>
      <w:tr>
        <w:tc>
          <w:tcPr>
            <w:tcW w:type="dxa" w:w="20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temporal_ecology</w:t>
            </w:r>
          </w:p>
        </w:tc>
        <w:tc>
          <w:tcPr>
            <w:tcW w:type="dxa" w:w="50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Is exposure duration representative of real use? First-visit vs. habituated-use distinguished?</w:t>
            </w:r>
          </w:p>
        </w:tc>
        <w:tc>
          <w:tcPr>
            <w:tcW w:type="dxa" w:w="236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0.15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social_ecology</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 the social context representative of real building use for this building type?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0.15</w:t>
            </w:r>
          </w:p>
        </w:tc>
      </w:tr>
    </w:tbl>
    <w:p>
      <w:pPr>
        <w:spacing w:after="80"/>
      </w:pPr>
    </w:p>
    <w:p>
      <w:pPr>
        <w:pStyle w:val="Heading2"/>
        <w:spacing w:before="280" w:after="160"/>
      </w:pPr>
      <w:r>
        <w:rPr>
          <w:rFonts w:ascii="Georgia" w:cs="Georgia" w:eastAsia="Georgia" w:hAnsi="Georgia"/>
          <w:b/>
          <w:bCs/>
          <w:sz w:val="28"/>
          <w:szCs w:val="28"/>
        </w:rPr>
        <w:t xml:space="preserve">3.2 Task Authenticity Classification</w:t>
      </w:r>
    </w:p>
    <w:p>
      <w:pPr>
        <w:spacing w:after="160" w:line="276"/>
      </w:pPr>
      <w:r>
        <w:rPr>
          <w:rFonts w:ascii="Georgia" w:cs="Georgia" w:eastAsia="Georgia" w:hAnsi="Georgia"/>
          <w:sz w:val="24"/>
          <w:szCs w:val="24"/>
        </w:rPr>
        <w:t xml:space="preserve">Every extracted claim is classified by the task the participant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Task Class</w:t>
            </w:r>
          </w:p>
        </w:tc>
        <w:tc>
          <w:tcPr>
            <w:tcW w:type="dxa" w:w="4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2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Authenticity Score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EXPLICIT_EVALUATION</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Rate preference, judge beauty, rate perceived restorativeness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0.2</w:t>
            </w:r>
          </w:p>
        </w:tc>
      </w:tr>
      <w:tr>
        <w:tc>
          <w:tcPr>
            <w:tcW w:type="dxa" w:w="26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LAB_COGNITIVE_TASK</w:t>
            </w:r>
          </w:p>
        </w:tc>
        <w:tc>
          <w:tcPr>
            <w:tcW w:type="dxa" w:w="42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Stroop test, digit span, word puzzles in an experimental room</w:t>
            </w:r>
          </w:p>
        </w:tc>
        <w:tc>
          <w:tcPr>
            <w:tcW w:type="dxa" w:w="256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0.4</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SIMULATED_ECOLOGICAL</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VR wayfinding, mock job interview (TSST), simulated work task</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w:t>
            </w:r>
          </w:p>
        </w:tc>
      </w:tr>
      <w:tr>
        <w:tc>
          <w:tcPr>
            <w:tcW w:type="dxa" w:w="26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REAL_TASK_CONTROLLED</w:t>
            </w:r>
          </w:p>
        </w:tc>
        <w:tc>
          <w:tcPr>
            <w:tcW w:type="dxa" w:w="420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Actual work in a real office (controlled), actual navigation in a real hospital (observed)</w:t>
            </w:r>
          </w:p>
        </w:tc>
        <w:tc>
          <w:tcPr>
            <w:tcW w:type="dxa" w:w="2560"/>
            <w:tcBorders>
              <w:top w:val="single" w:color="999999" w:sz="1"/>
              <w:left w:val="single" w:color="999999" w:sz="1"/>
              <w:bottom w:val="single" w:color="999999" w:sz="1"/>
              <w:right w:val="single" w:color="999999" w:sz="1"/>
            </w:tcBorders>
            <w:shd w:fill="EDF2F9" w:val="clear"/>
            <w:tcMar>
              <w:top w:type="dxa" w:w="60"/>
              <w:left w:type="dxa" w:w="100"/>
              <w:bottom w:type="dxa" w:w="60"/>
              <w:right w:type="dxa" w:w="100"/>
            </w:tcMar>
          </w:tcPr>
          <w:p>
            <w:r>
              <w:rPr>
                <w:rFonts w:ascii="Arial" w:cs="Arial" w:eastAsia="Arial" w:hAnsi="Arial"/>
                <w:sz w:val="20"/>
                <w:szCs w:val="20"/>
              </w:rPr>
              <w:t xml:space="preserve">0.8</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NATURAL_BEHAVIOR</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Post-occupancy evaluation, experience sampling during real use, longitudinal health data, behavioral observation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r>
    </w:tbl>
    <w:p>
      <w:pPr>
        <w:spacing w:after="80"/>
      </w:pPr>
    </w:p>
    <w:p>
      <w:pPr>
        <w:pStyle w:val="Heading2"/>
        <w:spacing w:before="280" w:after="160"/>
      </w:pPr>
      <w:r>
        <w:rPr>
          <w:rFonts w:ascii="Georgia" w:cs="Georgia" w:eastAsia="Georgia" w:hAnsi="Georgia"/>
          <w:b/>
          <w:bCs/>
          <w:sz w:val="28"/>
          <w:szCs w:val="28"/>
        </w:rPr>
        <w:t xml:space="preserve">3.3 State Characterization Schema</w:t>
      </w:r>
    </w:p>
    <w:p>
      <w:pPr>
        <w:spacing w:after="160" w:line="276"/>
      </w:pPr>
      <w:r>
        <w:rPr>
          <w:rFonts w:ascii="Georgia" w:cs="Georgia" w:eastAsia="Georgia" w:hAnsi="Georgia"/>
          <w:sz w:val="24"/>
          <w:szCs w:val="24"/>
        </w:rPr>
        <w:t xml:space="preserve">For each study, the extraction pipeline should identify whether the following incoming state variables were measured, controlled, or ignored:</w:t>
      </w:r>
    </w:p>
    <w:p>
      <w:pPr>
        <w:spacing w:after="160" w:line="276"/>
      </w:pPr>
      <w:r>
        <w:rPr>
          <w:rFonts w:ascii="Georgia" w:cs="Georgia" w:eastAsia="Georgia" w:hAnsi="Georgia"/>
          <w:b/>
          <w:bCs/>
          <w:sz w:val="24"/>
          <w:szCs w:val="24"/>
        </w:rPr>
        <w:t xml:space="preserve">affective_state: </w:t>
      </w:r>
      <w:r>
        <w:rPr>
          <w:rFonts w:ascii="Georgia" w:cs="Georgia" w:eastAsia="Georgia" w:hAnsi="Georgia"/>
          <w:sz w:val="24"/>
          <w:szCs w:val="24"/>
        </w:rPr>
        <w:t xml:space="preserve">Was participant mood/anxiety/arousal measured before exposure? (PANAS, STAI, VAS, or similar)</w:t>
      </w:r>
    </w:p>
    <w:p>
      <w:pPr>
        <w:spacing w:after="160" w:line="276"/>
      </w:pPr>
      <w:r>
        <w:rPr>
          <w:rFonts w:ascii="Georgia" w:cs="Georgia" w:eastAsia="Georgia" w:hAnsi="Georgia"/>
          <w:b/>
          <w:bCs/>
          <w:sz w:val="24"/>
          <w:szCs w:val="24"/>
        </w:rPr>
        <w:t xml:space="preserve">cognitive_load: </w:t>
      </w:r>
      <w:r>
        <w:rPr>
          <w:rFonts w:ascii="Georgia" w:cs="Georgia" w:eastAsia="Georgia" w:hAnsi="Georgia"/>
          <w:sz w:val="24"/>
          <w:szCs w:val="24"/>
        </w:rPr>
        <w:t xml:space="preserve">Was current cognitive depletion or fatigue measured? (self-report or objective measure)</w:t>
      </w:r>
    </w:p>
    <w:p>
      <w:pPr>
        <w:spacing w:after="160" w:line="276"/>
      </w:pPr>
      <w:r>
        <w:rPr>
          <w:rFonts w:ascii="Georgia" w:cs="Georgia" w:eastAsia="Georgia" w:hAnsi="Georgia"/>
          <w:b/>
          <w:bCs/>
          <w:sz w:val="24"/>
          <w:szCs w:val="24"/>
        </w:rPr>
        <w:t xml:space="preserve">goal_urgency: </w:t>
      </w:r>
      <w:r>
        <w:rPr>
          <w:rFonts w:ascii="Georgia" w:cs="Georgia" w:eastAsia="Georgia" w:hAnsi="Georgia"/>
          <w:sz w:val="24"/>
          <w:szCs w:val="24"/>
        </w:rPr>
        <w:t xml:space="preserve">Was the participant under genuine time pressure or stakes?</w:t>
      </w:r>
    </w:p>
    <w:p>
      <w:pPr>
        <w:spacing w:after="160" w:line="276"/>
      </w:pPr>
      <w:r>
        <w:rPr>
          <w:rFonts w:ascii="Georgia" w:cs="Georgia" w:eastAsia="Georgia" w:hAnsi="Georgia"/>
          <w:b/>
          <w:bCs/>
          <w:sz w:val="24"/>
          <w:szCs w:val="24"/>
        </w:rPr>
        <w:t xml:space="preserve">familiarity: </w:t>
      </w:r>
      <w:r>
        <w:rPr>
          <w:rFonts w:ascii="Georgia" w:cs="Georgia" w:eastAsia="Georgia" w:hAnsi="Georgia"/>
          <w:sz w:val="24"/>
          <w:szCs w:val="24"/>
        </w:rPr>
        <w:t xml:space="preserve">Was the participant’s prior experience with this building type or specific building measured? (first visit vs. regular user)</w:t>
      </w:r>
    </w:p>
    <w:p>
      <w:pPr>
        <w:spacing w:after="160" w:line="276"/>
      </w:pPr>
      <w:r>
        <w:rPr>
          <w:rFonts w:ascii="Georgia" w:cs="Georgia" w:eastAsia="Georgia" w:hAnsi="Georgia"/>
          <w:b/>
          <w:bCs/>
          <w:sz w:val="24"/>
          <w:szCs w:val="24"/>
        </w:rPr>
        <w:t xml:space="preserve">physical_state: </w:t>
      </w:r>
      <w:r>
        <w:rPr>
          <w:rFonts w:ascii="Georgia" w:cs="Georgia" w:eastAsia="Georgia" w:hAnsi="Georgia"/>
          <w:sz w:val="24"/>
          <w:szCs w:val="24"/>
        </w:rPr>
        <w:t xml:space="preserve">Was physical health, pain, or fatigue assessed?</w:t>
      </w:r>
    </w:p>
    <w:p>
      <w:pPr>
        <w:spacing w:after="160" w:line="276"/>
      </w:pPr>
      <w:r>
        <w:rPr>
          <w:rFonts w:ascii="Georgia" w:cs="Georgia" w:eastAsia="Georgia" w:hAnsi="Georgia"/>
          <w:b/>
          <w:bCs/>
          <w:sz w:val="24"/>
          <w:szCs w:val="24"/>
        </w:rPr>
        <w:t xml:space="preserve">social_context: </w:t>
      </w:r>
      <w:r>
        <w:rPr>
          <w:rFonts w:ascii="Georgia" w:cs="Georgia" w:eastAsia="Georgia" w:hAnsi="Georgia"/>
          <w:sz w:val="24"/>
          <w:szCs w:val="24"/>
        </w:rPr>
        <w:t xml:space="preserve">Was the social composition of the encounter documented? (alone, with strangers, with intimates, group size)</w:t>
      </w:r>
    </w:p>
    <w:p>
      <w:pPr>
        <w:spacing w:after="160" w:line="276"/>
      </w:pPr>
      <w:r>
        <w:rPr>
          <w:rFonts w:ascii="Georgia" w:cs="Georgia" w:eastAsia="Georgia" w:hAnsi="Georgia"/>
          <w:sz w:val="24"/>
          <w:szCs w:val="24"/>
        </w:rPr>
        <w:t xml:space="preserve">Scoring: measured and controlled = 1.0; measured but not controlled = 0.7; mentioned but not measured = 0.3; not addressed = 0.0. Average across the six variables.</w:t>
      </w:r>
    </w:p>
    <w:p>
      <w:pPr>
        <w:pStyle w:val="Heading2"/>
        <w:spacing w:before="280" w:after="160"/>
      </w:pPr>
      <w:r>
        <w:rPr>
          <w:rFonts w:ascii="Georgia" w:cs="Georgia" w:eastAsia="Georgia" w:hAnsi="Georgia"/>
          <w:b/>
          <w:bCs/>
          <w:sz w:val="28"/>
          <w:szCs w:val="28"/>
        </w:rPr>
        <w:t xml:space="preserve">3.4 Claim Type Bifurcation</w:t>
      </w:r>
    </w:p>
    <w:p>
      <w:pPr>
        <w:spacing w:after="160" w:line="276"/>
      </w:pPr>
      <w:r>
        <w:rPr>
          <w:rFonts w:ascii="Georgia" w:cs="Georgia" w:eastAsia="Georgia" w:hAnsi="Georgia"/>
          <w:sz w:val="24"/>
          <w:szCs w:val="24"/>
        </w:rPr>
        <w:t xml:space="preserve">Based on the panel recommendation, Article Eater should maintain two distinct claim types:</w:t>
      </w:r>
    </w:p>
    <w:p>
      <w:pPr>
        <w:spacing w:after="160" w:line="276"/>
      </w:pPr>
      <w:r>
        <w:rPr>
          <w:rFonts w:ascii="Georgia" w:cs="Georgia" w:eastAsia="Georgia" w:hAnsi="Georgia"/>
          <w:b/>
          <w:bCs/>
          <w:sz w:val="24"/>
          <w:szCs w:val="24"/>
        </w:rPr>
        <w:t xml:space="preserve">Type A — Evaluative-response claims: </w:t>
      </w:r>
      <w:r>
        <w:rPr>
          <w:rFonts w:ascii="Georgia" w:cs="Georgia" w:eastAsia="Georgia" w:hAnsi="Georgia"/>
          <w:sz w:val="24"/>
          <w:szCs w:val="24"/>
        </w:rPr>
        <w:t xml:space="preserve">“People prefer environments with X feature.” “Environment X is rated as more restorative than Y.” These are about conscious, explicit responses to environmental features. They are well-supported by the standard paradigm.</w:t>
      </w:r>
    </w:p>
    <w:p>
      <w:pPr>
        <w:spacing w:after="160" w:line="276"/>
      </w:pPr>
      <w:r>
        <w:rPr>
          <w:rFonts w:ascii="Georgia" w:cs="Georgia" w:eastAsia="Georgia" w:hAnsi="Georgia"/>
          <w:b/>
          <w:bCs/>
          <w:sz w:val="24"/>
          <w:szCs w:val="24"/>
        </w:rPr>
        <w:t xml:space="preserve">Type B — Functional-effect claims: </w:t>
      </w:r>
      <w:r>
        <w:rPr>
          <w:rFonts w:ascii="Georgia" w:cs="Georgia" w:eastAsia="Georgia" w:hAnsi="Georgia"/>
          <w:sz w:val="24"/>
          <w:szCs w:val="24"/>
        </w:rPr>
        <w:t xml:space="preserve">“Environment X reduces occupant stress.” “Design feature Y improves wayfinding performance.” “Biophilic elements enhance cognitive function.” These are about how environments actually affect people during real use.</w:t>
      </w:r>
    </w:p>
    <w:p>
      <w:pPr>
        <w:spacing w:after="160" w:line="276"/>
      </w:pPr>
      <w:r>
        <w:rPr>
          <w:rFonts w:ascii="Georgia" w:cs="Georgia" w:eastAsia="Georgia" w:hAnsi="Georgia"/>
          <w:sz w:val="24"/>
          <w:szCs w:val="24"/>
        </w:rPr>
        <w:t xml:space="preserve">Type A and Type B claims should be connected in the web by a GENERALIZABILITY_WARRANT link. This link carries a confidence score reflecting how well Type A evidence (from passive evaluation) generalizes to Type B effects (functional outcomes during real use). The confidence depends on: (a) whether the construct is primarily explicit or implicit, (b) whether converging field evidence exists, (c) whether the mechanism plausibly operates at low attentional precision.</w:t>
      </w:r>
    </w:p>
    <w:p>
      <w:pPr>
        <w:spacing w:after="160" w:line="276"/>
      </w:pPr>
      <w:r>
        <w:rPr>
          <w:rFonts w:ascii="Georgia" w:cs="Georgia" w:eastAsia="Georgia" w:hAnsi="Georgia"/>
          <w:sz w:val="24"/>
          <w:szCs w:val="24"/>
        </w:rPr>
        <w:t xml:space="preserve">By default, Article Eater should assume that evaluative-response claims generalize to functional-effect claims with moderate but not high confidence (default GENERALIZABILITY_WARRANT weight = 0.5). This can be adjusted upward if field evidence converges with lab evidence, or downward if the effect is likely attention-dependent.</w:t>
      </w:r>
    </w:p>
    <w:p>
      <w:pPr>
        <w:pStyle w:val="Heading2"/>
        <w:spacing w:before="280" w:after="160"/>
      </w:pPr>
      <w:r>
        <w:rPr>
          <w:rFonts w:ascii="Georgia" w:cs="Georgia" w:eastAsia="Georgia" w:hAnsi="Georgia"/>
          <w:b/>
          <w:bCs/>
          <w:sz w:val="28"/>
          <w:szCs w:val="28"/>
        </w:rPr>
        <w:t xml:space="preserve">3.5 The Effect Pathway Tag</w:t>
      </w:r>
    </w:p>
    <w:p>
      <w:pPr>
        <w:spacing w:after="160" w:line="276"/>
      </w:pPr>
      <w:r>
        <w:rPr>
          <w:rFonts w:ascii="Georgia" w:cs="Georgia" w:eastAsia="Georgia" w:hAnsi="Georgia"/>
          <w:sz w:val="24"/>
          <w:szCs w:val="24"/>
        </w:rPr>
        <w:t xml:space="preserve">Every functional-effect claim should be tagged with an effect_pathway:</w:t>
      </w:r>
    </w:p>
    <w:p>
      <w:pPr>
        <w:spacing w:after="160" w:line="276"/>
      </w:pPr>
      <w:r>
        <w:rPr>
          <w:rFonts w:ascii="Georgia" w:cs="Georgia" w:eastAsia="Georgia" w:hAnsi="Georgia"/>
          <w:b/>
          <w:bCs/>
          <w:sz w:val="24"/>
          <w:szCs w:val="24"/>
        </w:rPr>
        <w:t xml:space="preserve">EXPLICIT: </w:t>
      </w:r>
      <w:r>
        <w:rPr>
          <w:rFonts w:ascii="Georgia" w:cs="Georgia" w:eastAsia="Georgia" w:hAnsi="Georgia"/>
          <w:sz w:val="24"/>
          <w:szCs w:val="24"/>
        </w:rPr>
        <w:t xml:space="preserve">The effect requires conscious awareness of the architectural feature. Person notices the nice view and feels better.</w:t>
      </w:r>
    </w:p>
    <w:p>
      <w:pPr>
        <w:spacing w:after="160" w:line="276"/>
      </w:pPr>
      <w:r>
        <w:rPr>
          <w:rFonts w:ascii="Georgia" w:cs="Georgia" w:eastAsia="Georgia" w:hAnsi="Georgia"/>
          <w:b/>
          <w:bCs/>
          <w:sz w:val="24"/>
          <w:szCs w:val="24"/>
        </w:rPr>
        <w:t xml:space="preserve">IMPLICIT_COGNITIVE: </w:t>
      </w:r>
      <w:r>
        <w:rPr>
          <w:rFonts w:ascii="Georgia" w:cs="Georgia" w:eastAsia="Georgia" w:hAnsi="Georgia"/>
          <w:sz w:val="24"/>
          <w:szCs w:val="24"/>
        </w:rPr>
        <w:t xml:space="preserve">The effect operates through cognitive processes below awareness threshold. Legible layout frees cognitive resources without the person noticing.</w:t>
      </w:r>
    </w:p>
    <w:p>
      <w:pPr>
        <w:spacing w:after="160" w:line="276"/>
      </w:pPr>
      <w:r>
        <w:rPr>
          <w:rFonts w:ascii="Georgia" w:cs="Georgia" w:eastAsia="Georgia" w:hAnsi="Georgia"/>
          <w:b/>
          <w:bCs/>
          <w:sz w:val="24"/>
          <w:szCs w:val="24"/>
        </w:rPr>
        <w:t xml:space="preserve">IMPLICIT_PHYSIOLOGICAL: </w:t>
      </w:r>
      <w:r>
        <w:rPr>
          <w:rFonts w:ascii="Georgia" w:cs="Georgia" w:eastAsia="Georgia" w:hAnsi="Georgia"/>
          <w:sz w:val="24"/>
          <w:szCs w:val="24"/>
        </w:rPr>
        <w:t xml:space="preserve">The effect operates through physiological pathways. Natural light regulates circadian rhythm regardless of attention.</w:t>
      </w:r>
    </w:p>
    <w:p>
      <w:pPr>
        <w:spacing w:after="160" w:line="276"/>
      </w:pPr>
      <w:r>
        <w:rPr>
          <w:rFonts w:ascii="Georgia" w:cs="Georgia" w:eastAsia="Georgia" w:hAnsi="Georgia"/>
          <w:b/>
          <w:bCs/>
          <w:sz w:val="24"/>
          <w:szCs w:val="24"/>
        </w:rPr>
        <w:t xml:space="preserve">MIXED: </w:t>
      </w:r>
      <w:r>
        <w:rPr>
          <w:rFonts w:ascii="Georgia" w:cs="Georgia" w:eastAsia="Georgia" w:hAnsi="Georgia"/>
          <w:sz w:val="24"/>
          <w:szCs w:val="24"/>
        </w:rPr>
        <w:t xml:space="preserve">Both explicit and implicit pathways plausibly active.</w:t>
      </w:r>
    </w:p>
    <w:p>
      <w:pPr>
        <w:spacing w:after="160" w:line="276"/>
      </w:pPr>
      <w:r>
        <w:rPr>
          <w:rFonts w:ascii="Georgia" w:cs="Georgia" w:eastAsia="Georgia" w:hAnsi="Georgia"/>
          <w:sz w:val="24"/>
          <w:szCs w:val="24"/>
        </w:rPr>
        <w:t xml:space="preserve">IMPLICIT pathway claims require higher task_ecological_validity to be credible, because the paradigm needed to measure them must not convert them to explicit by drawing attention to the feature.</w:t>
      </w:r>
    </w:p>
    <w:p>
      <w:r>
        <w:br w:type="page"/>
      </w:r>
    </w:p>
    <w:p>
      <w:pPr>
        <w:pStyle w:val="Heading1"/>
        <w:spacing w:before="360" w:after="200"/>
      </w:pPr>
      <w:r>
        <w:rPr>
          <w:rFonts w:ascii="Georgia" w:cs="Georgia" w:eastAsia="Georgia" w:hAnsi="Georgia"/>
          <w:b/>
          <w:bCs/>
          <w:sz w:val="32"/>
          <w:szCs w:val="32"/>
        </w:rPr>
        <w:t xml:space="preserve">Part IV: Method Registry Schema</w:t>
      </w:r>
    </w:p>
    <w:p>
      <w:pPr>
        <w:spacing w:after="160" w:line="276"/>
      </w:pPr>
      <w:r>
        <w:rPr>
          <w:rFonts w:ascii="Georgia" w:cs="Georgia" w:eastAsia="Georgia" w:hAnsi="Georgia"/>
          <w:sz w:val="24"/>
          <w:szCs w:val="24"/>
        </w:rPr>
        <w:t xml:space="preserve">The method registry is a queryable data structure within the web that profiles every measurement instrument and presentation modality encountered in the literature. It grows as new papers are processed.</w:t>
      </w:r>
    </w:p>
    <w:p>
      <w:pPr>
        <w:pStyle w:val="Heading2"/>
        <w:spacing w:before="280" w:after="160"/>
      </w:pPr>
      <w:r>
        <w:rPr>
          <w:rFonts w:ascii="Georgia" w:cs="Georgia" w:eastAsia="Georgia" w:hAnsi="Georgia"/>
          <w:b/>
          <w:bCs/>
          <w:sz w:val="28"/>
          <w:szCs w:val="28"/>
        </w:rPr>
        <w:t xml:space="preserve">4.1 Instrument Entry Schema</w:t>
      </w:r>
    </w:p>
    <w:p>
      <w:pPr>
        <w:spacing w:after="160" w:line="276"/>
      </w:pPr>
      <w:r>
        <w:rPr>
          <w:rFonts w:ascii="Georgia" w:cs="Georgia" w:eastAsia="Georgia" w:hAnsi="Georgia"/>
          <w:b/>
          <w:bCs/>
          <w:sz w:val="24"/>
          <w:szCs w:val="24"/>
        </w:rPr>
        <w:t xml:space="preserve">method_id: </w:t>
      </w:r>
      <w:r>
        <w:rPr>
          <w:rFonts w:ascii="Georgia" w:cs="Georgia" w:eastAsia="Georgia" w:hAnsi="Georgia"/>
          <w:sz w:val="24"/>
          <w:szCs w:val="24"/>
        </w:rPr>
        <w:t xml:space="preserve">string — unique identifier (e.g., “salivary_cortisol”, “eeg_alpha_power”, “vr_hmd_room_scale”)</w:t>
      </w:r>
    </w:p>
    <w:p>
      <w:pPr>
        <w:spacing w:after="160" w:line="276"/>
      </w:pPr>
      <w:r>
        <w:rPr>
          <w:rFonts w:ascii="Georgia" w:cs="Georgia" w:eastAsia="Georgia" w:hAnsi="Georgia"/>
          <w:b/>
          <w:bCs/>
          <w:sz w:val="24"/>
          <w:szCs w:val="24"/>
        </w:rPr>
        <w:t xml:space="preserve">method_type: </w:t>
      </w:r>
      <w:r>
        <w:rPr>
          <w:rFonts w:ascii="Georgia" w:cs="Georgia" w:eastAsia="Georgia" w:hAnsi="Georgia"/>
          <w:sz w:val="24"/>
          <w:szCs w:val="24"/>
        </w:rPr>
        <w:t xml:space="preserve">enum — PHYSIOLOGICAL_BIOMARKER | NEURAL_IMAGING | BEHAVIORAL_MEASURE | SELF_REPORT | PRESENTATION_MODALITY | EXPERIMENTAL_DESIGN</w:t>
      </w:r>
    </w:p>
    <w:p>
      <w:pPr>
        <w:spacing w:after="160" w:line="276"/>
      </w:pPr>
      <w:r>
        <w:rPr>
          <w:rFonts w:ascii="Georgia" w:cs="Georgia" w:eastAsia="Georgia" w:hAnsi="Georgia"/>
          <w:b/>
          <w:bCs/>
          <w:sz w:val="24"/>
          <w:szCs w:val="24"/>
        </w:rPr>
        <w:t xml:space="preserve">construct_measured: </w:t>
      </w:r>
      <w:r>
        <w:rPr>
          <w:rFonts w:ascii="Georgia" w:cs="Georgia" w:eastAsia="Georgia" w:hAnsi="Georgia"/>
          <w:sz w:val="24"/>
          <w:szCs w:val="24"/>
        </w:rPr>
        <w:t xml:space="preserve">string — what the instrument actually measures (e.g., “HPA axis stress response”, not “stress”)</w:t>
      </w:r>
    </w:p>
    <w:p>
      <w:pPr>
        <w:spacing w:after="160" w:line="276"/>
      </w:pPr>
      <w:r>
        <w:rPr>
          <w:rFonts w:ascii="Georgia" w:cs="Georgia" w:eastAsia="Georgia" w:hAnsi="Georgia"/>
          <w:b/>
          <w:bCs/>
          <w:sz w:val="24"/>
          <w:szCs w:val="24"/>
        </w:rPr>
        <w:t xml:space="preserve">temporal_onset: </w:t>
      </w:r>
      <w:r>
        <w:rPr>
          <w:rFonts w:ascii="Georgia" w:cs="Georgia" w:eastAsia="Georgia" w:hAnsi="Georgia"/>
          <w:sz w:val="24"/>
          <w:szCs w:val="24"/>
        </w:rPr>
        <w:t xml:space="preserve">string — latency from event to measurement onset (e.g., “15–20 min” for cortisol)</w:t>
      </w:r>
    </w:p>
    <w:p>
      <w:pPr>
        <w:spacing w:after="160" w:line="276"/>
      </w:pPr>
      <w:r>
        <w:rPr>
          <w:rFonts w:ascii="Georgia" w:cs="Georgia" w:eastAsia="Georgia" w:hAnsi="Georgia"/>
          <w:b/>
          <w:bCs/>
          <w:sz w:val="24"/>
          <w:szCs w:val="24"/>
        </w:rPr>
        <w:t xml:space="preserve">temporal_peak: </w:t>
      </w:r>
      <w:r>
        <w:rPr>
          <w:rFonts w:ascii="Georgia" w:cs="Georgia" w:eastAsia="Georgia" w:hAnsi="Georgia"/>
          <w:sz w:val="24"/>
          <w:szCs w:val="24"/>
        </w:rPr>
        <w:t xml:space="preserve">string — time to peak response</w:t>
      </w:r>
    </w:p>
    <w:p>
      <w:pPr>
        <w:spacing w:after="160" w:line="276"/>
      </w:pPr>
      <w:r>
        <w:rPr>
          <w:rFonts w:ascii="Georgia" w:cs="Georgia" w:eastAsia="Georgia" w:hAnsi="Georgia"/>
          <w:b/>
          <w:bCs/>
          <w:sz w:val="24"/>
          <w:szCs w:val="24"/>
        </w:rPr>
        <w:t xml:space="preserve">temporal_recovery: </w:t>
      </w:r>
      <w:r>
        <w:rPr>
          <w:rFonts w:ascii="Georgia" w:cs="Georgia" w:eastAsia="Georgia" w:hAnsi="Georgia"/>
          <w:sz w:val="24"/>
          <w:szCs w:val="24"/>
        </w:rPr>
        <w:t xml:space="preserve">string — time to return to baseline</w:t>
      </w:r>
    </w:p>
    <w:p>
      <w:pPr>
        <w:spacing w:after="160" w:line="276"/>
      </w:pPr>
      <w:r>
        <w:rPr>
          <w:rFonts w:ascii="Georgia" w:cs="Georgia" w:eastAsia="Georgia" w:hAnsi="Georgia"/>
          <w:b/>
          <w:bCs/>
          <w:sz w:val="24"/>
          <w:szCs w:val="24"/>
        </w:rPr>
        <w:t xml:space="preserve">minimum_sampling_window: </w:t>
      </w:r>
      <w:r>
        <w:rPr>
          <w:rFonts w:ascii="Georgia" w:cs="Georgia" w:eastAsia="Georgia" w:hAnsi="Georgia"/>
          <w:sz w:val="24"/>
          <w:szCs w:val="24"/>
        </w:rPr>
        <w:t xml:space="preserve">string — minimum valid measurement duration</w:t>
      </w:r>
    </w:p>
    <w:p>
      <w:pPr>
        <w:spacing w:after="160" w:line="276"/>
      </w:pPr>
      <w:r>
        <w:rPr>
          <w:rFonts w:ascii="Georgia" w:cs="Georgia" w:eastAsia="Georgia" w:hAnsi="Georgia"/>
          <w:b/>
          <w:bCs/>
          <w:sz w:val="24"/>
          <w:szCs w:val="24"/>
        </w:rPr>
        <w:t xml:space="preserve">spatial_resolution: </w:t>
      </w:r>
      <w:r>
        <w:rPr>
          <w:rFonts w:ascii="Georgia" w:cs="Georgia" w:eastAsia="Georgia" w:hAnsi="Georgia"/>
          <w:sz w:val="24"/>
          <w:szCs w:val="24"/>
        </w:rPr>
        <w:t xml:space="preserve">string | null — for neural measures (e.g., “1–3 mm” for fMRI, “centimeters” for EEG)</w:t>
      </w:r>
    </w:p>
    <w:p>
      <w:pPr>
        <w:spacing w:after="160" w:line="276"/>
      </w:pPr>
      <w:r>
        <w:rPr>
          <w:rFonts w:ascii="Georgia" w:cs="Georgia" w:eastAsia="Georgia" w:hAnsi="Georgia"/>
          <w:b/>
          <w:bCs/>
          <w:sz w:val="24"/>
          <w:szCs w:val="24"/>
        </w:rPr>
        <w:t xml:space="preserve">confounds: </w:t>
      </w:r>
      <w:r>
        <w:rPr>
          <w:rFonts w:ascii="Georgia" w:cs="Georgia" w:eastAsia="Georgia" w:hAnsi="Georgia"/>
          <w:sz w:val="24"/>
          <w:szCs w:val="24"/>
        </w:rPr>
        <w:t xml:space="preserve">string[] — known confounding factors</w:t>
      </w:r>
    </w:p>
    <w:p>
      <w:pPr>
        <w:spacing w:after="160" w:line="276"/>
      </w:pPr>
      <w:r>
        <w:rPr>
          <w:rFonts w:ascii="Georgia" w:cs="Georgia" w:eastAsia="Georgia" w:hAnsi="Georgia"/>
          <w:b/>
          <w:bCs/>
          <w:sz w:val="24"/>
          <w:szCs w:val="24"/>
        </w:rPr>
        <w:t xml:space="preserve">vr_specific_confounds: </w:t>
      </w:r>
      <w:r>
        <w:rPr>
          <w:rFonts w:ascii="Georgia" w:cs="Georgia" w:eastAsia="Georgia" w:hAnsi="Georgia"/>
          <w:sz w:val="24"/>
          <w:szCs w:val="24"/>
        </w:rPr>
        <w:t xml:space="preserve">string[] — VR-specific validity threats</w:t>
      </w:r>
    </w:p>
    <w:p>
      <w:pPr>
        <w:spacing w:after="160" w:line="276"/>
      </w:pPr>
      <w:r>
        <w:rPr>
          <w:rFonts w:ascii="Georgia" w:cs="Georgia" w:eastAsia="Georgia" w:hAnsi="Georgia"/>
          <w:b/>
          <w:bCs/>
          <w:sz w:val="24"/>
          <w:szCs w:val="24"/>
        </w:rPr>
        <w:t xml:space="preserve">valence_sensitivity: </w:t>
      </w:r>
      <w:r>
        <w:rPr>
          <w:rFonts w:ascii="Georgia" w:cs="Georgia" w:eastAsia="Georgia" w:hAnsi="Georgia"/>
          <w:sz w:val="24"/>
          <w:szCs w:val="24"/>
        </w:rPr>
        <w:t xml:space="preserve">boolean — can it distinguish positive from negative affect?</w:t>
      </w:r>
    </w:p>
    <w:p>
      <w:pPr>
        <w:spacing w:after="160" w:line="276"/>
      </w:pPr>
      <w:r>
        <w:rPr>
          <w:rFonts w:ascii="Georgia" w:cs="Georgia" w:eastAsia="Georgia" w:hAnsi="Georgia"/>
          <w:b/>
          <w:bCs/>
          <w:sz w:val="24"/>
          <w:szCs w:val="24"/>
        </w:rPr>
        <w:t xml:space="preserve">movement_compatible: </w:t>
      </w:r>
      <w:r>
        <w:rPr>
          <w:rFonts w:ascii="Georgia" w:cs="Georgia" w:eastAsia="Georgia" w:hAnsi="Georgia"/>
          <w:sz w:val="24"/>
          <w:szCs w:val="24"/>
        </w:rPr>
        <w:t xml:space="preserve">enum — YES | CONFOUNDED | NO</w:t>
      </w:r>
    </w:p>
    <w:p>
      <w:pPr>
        <w:spacing w:after="160" w:line="276"/>
      </w:pPr>
      <w:r>
        <w:rPr>
          <w:rFonts w:ascii="Georgia" w:cs="Georgia" w:eastAsia="Georgia" w:hAnsi="Georgia"/>
          <w:b/>
          <w:bCs/>
          <w:sz w:val="24"/>
          <w:szCs w:val="24"/>
        </w:rPr>
        <w:t xml:space="preserve">construct_validity_map: </w:t>
      </w:r>
      <w:r>
        <w:rPr>
          <w:rFonts w:ascii="Georgia" w:cs="Georgia" w:eastAsia="Georgia" w:hAnsi="Georgia"/>
          <w:sz w:val="24"/>
          <w:szCs w:val="24"/>
        </w:rPr>
        <w:t xml:space="preserve">dict — {construct_name: validity_score [0,1]} for each construct this method is used to measure</w:t>
      </w:r>
    </w:p>
    <w:p>
      <w:pPr>
        <w:spacing w:after="160" w:line="276"/>
      </w:pPr>
      <w:r>
        <w:rPr>
          <w:rFonts w:ascii="Georgia" w:cs="Georgia" w:eastAsia="Georgia" w:hAnsi="Georgia"/>
          <w:b/>
          <w:bCs/>
          <w:sz w:val="24"/>
          <w:szCs w:val="24"/>
        </w:rPr>
        <w:t xml:space="preserve">hardware_variants: </w:t>
      </w:r>
      <w:r>
        <w:rPr>
          <w:rFonts w:ascii="Georgia" w:cs="Georgia" w:eastAsia="Georgia" w:hAnsi="Georgia"/>
          <w:sz w:val="24"/>
          <w:szCs w:val="24"/>
        </w:rPr>
        <w:t xml:space="preserve">list — [{variant_id, name, validity_modifier, notes}] for technology versions</w:t>
      </w:r>
    </w:p>
    <w:p>
      <w:pPr>
        <w:spacing w:after="160" w:line="276"/>
      </w:pPr>
      <w:r>
        <w:rPr>
          <w:rFonts w:ascii="Georgia" w:cs="Georgia" w:eastAsia="Georgia" w:hAnsi="Georgia"/>
          <w:b/>
          <w:bCs/>
          <w:sz w:val="24"/>
          <w:szCs w:val="24"/>
        </w:rPr>
        <w:t xml:space="preserve">first_encountered: </w:t>
      </w:r>
      <w:r>
        <w:rPr>
          <w:rFonts w:ascii="Georgia" w:cs="Georgia" w:eastAsia="Georgia" w:hAnsi="Georgia"/>
          <w:sz w:val="24"/>
          <w:szCs w:val="24"/>
        </w:rPr>
        <w:t xml:space="preserve">string — paper ID where this method was first seen</w:t>
      </w:r>
    </w:p>
    <w:p>
      <w:pPr>
        <w:spacing w:after="160" w:line="276"/>
      </w:pPr>
      <w:r>
        <w:rPr>
          <w:rFonts w:ascii="Georgia" w:cs="Georgia" w:eastAsia="Georgia" w:hAnsi="Georgia"/>
          <w:b/>
          <w:bCs/>
          <w:sz w:val="24"/>
          <w:szCs w:val="24"/>
        </w:rPr>
        <w:t xml:space="preserve">profile_status: </w:t>
      </w:r>
      <w:r>
        <w:rPr>
          <w:rFonts w:ascii="Georgia" w:cs="Georgia" w:eastAsia="Georgia" w:hAnsi="Georgia"/>
          <w:sz w:val="24"/>
          <w:szCs w:val="24"/>
        </w:rPr>
        <w:t xml:space="preserve">enum — WELL_CHARACTERIZED | PARTIALLY_CHARACTERIZED | UNCHARACTERIZED</w:t>
      </w:r>
    </w:p>
    <w:p>
      <w:pPr>
        <w:spacing w:after="160" w:line="276"/>
      </w:pPr>
      <w:r>
        <w:rPr>
          <w:rFonts w:ascii="Georgia" w:cs="Georgia" w:eastAsia="Georgia" w:hAnsi="Georgia"/>
          <w:b/>
          <w:bCs/>
          <w:sz w:val="24"/>
          <w:szCs w:val="24"/>
        </w:rPr>
        <w:t xml:space="preserve">evidence_count: </w:t>
      </w:r>
      <w:r>
        <w:rPr>
          <w:rFonts w:ascii="Georgia" w:cs="Georgia" w:eastAsia="Georgia" w:hAnsi="Georgia"/>
          <w:sz w:val="24"/>
          <w:szCs w:val="24"/>
        </w:rPr>
        <w:t xml:space="preserve">int — number of papers using this method that have been processed</w:t>
      </w:r>
    </w:p>
    <w:p>
      <w:pPr>
        <w:spacing w:after="160" w:line="276"/>
      </w:pPr>
      <w:r>
        <w:rPr>
          <w:rFonts w:ascii="Georgia" w:cs="Georgia" w:eastAsia="Georgia" w:hAnsi="Georgia"/>
          <w:b/>
          <w:bCs/>
          <w:sz w:val="24"/>
          <w:szCs w:val="24"/>
        </w:rPr>
        <w:t xml:space="preserve">last_updated: </w:t>
      </w:r>
      <w:r>
        <w:rPr>
          <w:rFonts w:ascii="Georgia" w:cs="Georgia" w:eastAsia="Georgia" w:hAnsi="Georgia"/>
          <w:sz w:val="24"/>
          <w:szCs w:val="24"/>
        </w:rPr>
        <w:t xml:space="preserve">date</w:t>
      </w:r>
    </w:p>
    <w:p>
      <w:pPr>
        <w:pStyle w:val="Heading2"/>
        <w:spacing w:before="280" w:after="160"/>
      </w:pPr>
      <w:r>
        <w:rPr>
          <w:rFonts w:ascii="Georgia" w:cs="Georgia" w:eastAsia="Georgia" w:hAnsi="Georgia"/>
          <w:b/>
          <w:bCs/>
          <w:sz w:val="28"/>
          <w:szCs w:val="28"/>
        </w:rPr>
        <w:t xml:space="preserve">4.2 Presentation Modality Entry Schema</w:t>
      </w:r>
    </w:p>
    <w:p>
      <w:pPr>
        <w:spacing w:after="160" w:line="276"/>
      </w:pPr>
      <w:r>
        <w:rPr>
          <w:rFonts w:ascii="Georgia" w:cs="Georgia" w:eastAsia="Georgia" w:hAnsi="Georgia"/>
          <w:sz w:val="24"/>
          <w:szCs w:val="24"/>
        </w:rPr>
        <w:t xml:space="preserve">For stimulus presentation methods, the registry additionally stores:</w:t>
      </w:r>
    </w:p>
    <w:p>
      <w:pPr>
        <w:spacing w:after="160" w:line="276"/>
      </w:pPr>
      <w:r>
        <w:rPr>
          <w:rFonts w:ascii="Georgia" w:cs="Georgia" w:eastAsia="Georgia" w:hAnsi="Georgia"/>
          <w:b/>
          <w:bCs/>
          <w:sz w:val="24"/>
          <w:szCs w:val="24"/>
        </w:rPr>
        <w:t xml:space="preserve">immersion_level: </w:t>
      </w:r>
      <w:r>
        <w:rPr>
          <w:rFonts w:ascii="Georgia" w:cs="Georgia" w:eastAsia="Georgia" w:hAnsi="Georgia"/>
          <w:sz w:val="24"/>
          <w:szCs w:val="24"/>
        </w:rPr>
        <w:t xml:space="preserve">int [1–7] from the hierarchy</w:t>
      </w:r>
    </w:p>
    <w:p>
      <w:pPr>
        <w:spacing w:after="160" w:line="276"/>
      </w:pPr>
      <w:r>
        <w:rPr>
          <w:rFonts w:ascii="Georgia" w:cs="Georgia" w:eastAsia="Georgia" w:hAnsi="Georgia"/>
          <w:b/>
          <w:bCs/>
          <w:sz w:val="24"/>
          <w:szCs w:val="24"/>
        </w:rPr>
        <w:t xml:space="preserve">channels_preserved: </w:t>
      </w:r>
      <w:r>
        <w:rPr>
          <w:rFonts w:ascii="Georgia" w:cs="Georgia" w:eastAsia="Georgia" w:hAnsi="Georgia"/>
          <w:sz w:val="24"/>
          <w:szCs w:val="24"/>
        </w:rPr>
        <w:t xml:space="preserve">string[] — sensory/motor channels available</w:t>
      </w:r>
    </w:p>
    <w:p>
      <w:pPr>
        <w:spacing w:after="160" w:line="276"/>
      </w:pPr>
      <w:r>
        <w:rPr>
          <w:rFonts w:ascii="Georgia" w:cs="Georgia" w:eastAsia="Georgia" w:hAnsi="Georgia"/>
          <w:b/>
          <w:bCs/>
          <w:sz w:val="24"/>
          <w:szCs w:val="24"/>
        </w:rPr>
        <w:t xml:space="preserve">channels_lost: </w:t>
      </w:r>
      <w:r>
        <w:rPr>
          <w:rFonts w:ascii="Georgia" w:cs="Georgia" w:eastAsia="Georgia" w:hAnsi="Georgia"/>
          <w:sz w:val="24"/>
          <w:szCs w:val="24"/>
        </w:rPr>
        <w:t xml:space="preserve">string[] — channels stripped by this modality</w:t>
      </w:r>
    </w:p>
    <w:p>
      <w:pPr>
        <w:spacing w:after="160" w:line="276"/>
      </w:pPr>
      <w:r>
        <w:rPr>
          <w:rFonts w:ascii="Georgia" w:cs="Georgia" w:eastAsia="Georgia" w:hAnsi="Georgia"/>
          <w:b/>
          <w:bCs/>
          <w:sz w:val="24"/>
          <w:szCs w:val="24"/>
        </w:rPr>
        <w:t xml:space="preserve">construct_validity_by_presentation: </w:t>
      </w:r>
      <w:r>
        <w:rPr>
          <w:rFonts w:ascii="Georgia" w:cs="Georgia" w:eastAsia="Georgia" w:hAnsi="Georgia"/>
          <w:sz w:val="24"/>
          <w:szCs w:val="24"/>
        </w:rPr>
        <w:t xml:space="preserve">dict — {construct: validity_score} (from the construct-specific penalty matrix)</w:t>
      </w:r>
    </w:p>
    <w:p>
      <w:pPr>
        <w:spacing w:after="160" w:line="276"/>
      </w:pPr>
      <w:r>
        <w:rPr>
          <w:rFonts w:ascii="Georgia" w:cs="Georgia" w:eastAsia="Georgia" w:hAnsi="Georgia"/>
          <w:b/>
          <w:bCs/>
          <w:sz w:val="24"/>
          <w:szCs w:val="24"/>
        </w:rPr>
        <w:t xml:space="preserve">hardware_generation: </w:t>
      </w:r>
      <w:r>
        <w:rPr>
          <w:rFonts w:ascii="Georgia" w:cs="Georgia" w:eastAsia="Georgia" w:hAnsi="Georgia"/>
          <w:sz w:val="24"/>
          <w:szCs w:val="24"/>
        </w:rPr>
        <w:t xml:space="preserve">list — [{year_range, FOV, resolution_ppd, locomotion_type, haptics}]</w:t>
      </w:r>
    </w:p>
    <w:p>
      <w:pPr>
        <w:pStyle w:val="Heading2"/>
        <w:spacing w:before="280" w:after="160"/>
      </w:pPr>
      <w:r>
        <w:rPr>
          <w:rFonts w:ascii="Georgia" w:cs="Georgia" w:eastAsia="Georgia" w:hAnsi="Georgia"/>
          <w:b/>
          <w:bCs/>
          <w:sz w:val="28"/>
          <w:szCs w:val="28"/>
        </w:rPr>
        <w:t xml:space="preserve">4.3 Task Classification Entry Schema</w:t>
      </w:r>
    </w:p>
    <w:p>
      <w:pPr>
        <w:spacing w:after="160" w:line="276"/>
      </w:pPr>
      <w:r>
        <w:rPr>
          <w:rFonts w:ascii="Georgia" w:cs="Georgia" w:eastAsia="Georgia" w:hAnsi="Georgia"/>
          <w:sz w:val="24"/>
          <w:szCs w:val="24"/>
        </w:rPr>
        <w:t xml:space="preserve">For experimental tasks, the registry additionally stores:</w:t>
      </w:r>
    </w:p>
    <w:p>
      <w:pPr>
        <w:spacing w:after="160" w:line="276"/>
      </w:pPr>
      <w:r>
        <w:rPr>
          <w:rFonts w:ascii="Georgia" w:cs="Georgia" w:eastAsia="Georgia" w:hAnsi="Georgia"/>
          <w:b/>
          <w:bCs/>
          <w:sz w:val="24"/>
          <w:szCs w:val="24"/>
        </w:rPr>
        <w:t xml:space="preserve">task_class: </w:t>
      </w:r>
      <w:r>
        <w:rPr>
          <w:rFonts w:ascii="Georgia" w:cs="Georgia" w:eastAsia="Georgia" w:hAnsi="Georgia"/>
          <w:sz w:val="24"/>
          <w:szCs w:val="24"/>
        </w:rPr>
        <w:t xml:space="preserve">enum from Section 3.2</w:t>
      </w:r>
    </w:p>
    <w:p>
      <w:pPr>
        <w:spacing w:after="160" w:line="276"/>
      </w:pPr>
      <w:r>
        <w:rPr>
          <w:rFonts w:ascii="Georgia" w:cs="Georgia" w:eastAsia="Georgia" w:hAnsi="Georgia"/>
          <w:b/>
          <w:bCs/>
          <w:sz w:val="24"/>
          <w:szCs w:val="24"/>
        </w:rPr>
        <w:t xml:space="preserve">ecological_analog: </w:t>
      </w:r>
      <w:r>
        <w:rPr>
          <w:rFonts w:ascii="Georgia" w:cs="Georgia" w:eastAsia="Georgia" w:hAnsi="Georgia"/>
          <w:sz w:val="24"/>
          <w:szCs w:val="24"/>
        </w:rPr>
        <w:t xml:space="preserve">string — what real-world activity this task simulates (if any)</w:t>
      </w:r>
    </w:p>
    <w:p>
      <w:pPr>
        <w:spacing w:after="160" w:line="276"/>
      </w:pPr>
      <w:r>
        <w:rPr>
          <w:rFonts w:ascii="Georgia" w:cs="Georgia" w:eastAsia="Georgia" w:hAnsi="Georgia"/>
          <w:b/>
          <w:bCs/>
          <w:sz w:val="24"/>
          <w:szCs w:val="24"/>
        </w:rPr>
        <w:t xml:space="preserve">demand_characteristics_risk: </w:t>
      </w:r>
      <w:r>
        <w:rPr>
          <w:rFonts w:ascii="Georgia" w:cs="Georgia" w:eastAsia="Georgia" w:hAnsi="Georgia"/>
          <w:sz w:val="24"/>
          <w:szCs w:val="24"/>
        </w:rPr>
        <w:t xml:space="preserve">float [0,1] — how likely is it that the task draws attention to the architectural features being studied?</w:t>
      </w:r>
    </w:p>
    <w:p>
      <w:pPr>
        <w:spacing w:after="160" w:line="276"/>
      </w:pPr>
      <w:r>
        <w:rPr>
          <w:rFonts w:ascii="Georgia" w:cs="Georgia" w:eastAsia="Georgia" w:hAnsi="Georgia"/>
          <w:b/>
          <w:bCs/>
          <w:sz w:val="24"/>
          <w:szCs w:val="24"/>
        </w:rPr>
        <w:t xml:space="preserve">duration_range: </w:t>
      </w:r>
      <w:r>
        <w:rPr>
          <w:rFonts w:ascii="Georgia" w:cs="Georgia" w:eastAsia="Georgia" w:hAnsi="Georgia"/>
          <w:sz w:val="24"/>
          <w:szCs w:val="24"/>
        </w:rPr>
        <w:t xml:space="preserve">string — typical exposure duration for this task type</w:t>
      </w:r>
    </w:p>
    <w:p>
      <w:pPr>
        <w:pStyle w:val="Heading2"/>
        <w:spacing w:before="280" w:after="160"/>
      </w:pPr>
      <w:r>
        <w:rPr>
          <w:rFonts w:ascii="Georgia" w:cs="Georgia" w:eastAsia="Georgia" w:hAnsi="Georgia"/>
          <w:b/>
          <w:bCs/>
          <w:sz w:val="28"/>
          <w:szCs w:val="28"/>
        </w:rPr>
        <w:t xml:space="preserve">4.4 Initial Seed Entries</w:t>
      </w:r>
    </w:p>
    <w:p>
      <w:pPr>
        <w:spacing w:after="160" w:line="276"/>
      </w:pPr>
      <w:r>
        <w:rPr>
          <w:rFonts w:ascii="Georgia" w:cs="Georgia" w:eastAsia="Georgia" w:hAnsi="Georgia"/>
          <w:sz w:val="24"/>
          <w:szCs w:val="24"/>
        </w:rPr>
        <w:t xml:space="preserve">The method registry should be seeded with entries for approximately 20 methods drawn from the Tier 2b V1.0 document and the current document:</w:t>
      </w:r>
    </w:p>
    <w:p>
      <w:pPr>
        <w:spacing w:after="160" w:line="276"/>
      </w:pPr>
      <w:r>
        <w:rPr>
          <w:rFonts w:ascii="Georgia" w:cs="Georgia" w:eastAsia="Georgia" w:hAnsi="Georgia"/>
          <w:sz w:val="24"/>
          <w:szCs w:val="24"/>
        </w:rPr>
        <w:t xml:space="preserve">Measurement instruments: salivary_cortisol, hrv_frequency_domain, hrv_time_domain, eda_tonic_scl, eda_phasic_scr, eeg_frequency_bands, eeg_erp, eeg_frontal_asymmetry, fmri_bold, fnirs, eye_tracking_fixation, eye_tracking_pupil, self_report_panas, self_report_stai, self_report_prs, blood_pressure, respiratory_rate</w:t>
      </w:r>
    </w:p>
    <w:p>
      <w:pPr>
        <w:spacing w:after="160" w:line="276"/>
      </w:pPr>
      <w:r>
        <w:rPr>
          <w:rFonts w:ascii="Georgia" w:cs="Georgia" w:eastAsia="Georgia" w:hAnsi="Georgia"/>
          <w:sz w:val="24"/>
          <w:szCs w:val="24"/>
        </w:rPr>
        <w:t xml:space="preserve">Presentation modalities: photographs_2d, renderings_2d, panoramic_360, vr_desktop, vr_hmd_stationary, vr_hmd_room_scale, vr_cave, real_building_controlled, real_building_natural</w:t>
      </w:r>
    </w:p>
    <w:p>
      <w:pPr>
        <w:spacing w:after="160" w:line="276"/>
      </w:pPr>
      <w:r>
        <w:rPr>
          <w:rFonts w:ascii="Georgia" w:cs="Georgia" w:eastAsia="Georgia" w:hAnsi="Georgia"/>
          <w:sz w:val="24"/>
          <w:szCs w:val="24"/>
        </w:rPr>
        <w:t xml:space="preserve">Task types: explicit_preference_rating, cognitive_test_battery, trier_social_stress_test, simulated_wayfinding, real_wayfinding, simulated_work_task, real_work_observation, post_occupancy_evaluation, experience_sampling_method</w:t>
      </w:r>
    </w:p>
    <w:p>
      <w:r>
        <w:br w:type="page"/>
      </w:r>
    </w:p>
    <w:p>
      <w:pPr>
        <w:pStyle w:val="Heading1"/>
        <w:spacing w:before="360" w:after="200"/>
      </w:pPr>
      <w:r>
        <w:rPr>
          <w:rFonts w:ascii="Georgia" w:cs="Georgia" w:eastAsia="Georgia" w:hAnsi="Georgia"/>
          <w:b/>
          <w:bCs/>
          <w:sz w:val="32"/>
          <w:szCs w:val="32"/>
        </w:rPr>
        <w:t xml:space="preserve">Part V: Additional Notes for the Essay</w:t>
      </w:r>
    </w:p>
    <w:p>
      <w:pPr>
        <w:pStyle w:val="Heading2"/>
        <w:spacing w:before="280" w:after="160"/>
      </w:pPr>
      <w:r>
        <w:rPr>
          <w:rFonts w:ascii="Georgia" w:cs="Georgia" w:eastAsia="Georgia" w:hAnsi="Georgia"/>
          <w:b/>
          <w:bCs/>
          <w:sz w:val="28"/>
          <w:szCs w:val="28"/>
        </w:rPr>
        <w:t xml:space="preserve">5.1 Possible Essay Structure</w:t>
      </w:r>
    </w:p>
    <w:p>
      <w:pPr>
        <w:spacing w:after="160" w:line="276"/>
      </w:pPr>
      <w:r>
        <w:rPr>
          <w:rFonts w:ascii="Georgia" w:cs="Georgia" w:eastAsia="Georgia" w:hAnsi="Georgia"/>
          <w:sz w:val="24"/>
          <w:szCs w:val="24"/>
        </w:rPr>
        <w:t xml:space="preserve">1. Introduction: The paradox — CNFA has accumulated thousands of findings about how architecture affects people, yet most findings are about how people rate images of architecture.</w:t>
      </w:r>
    </w:p>
    <w:p>
      <w:pPr>
        <w:spacing w:after="160" w:line="276"/>
      </w:pPr>
      <w:r>
        <w:rPr>
          <w:rFonts w:ascii="Georgia" w:cs="Georgia" w:eastAsia="Georgia" w:hAnsi="Georgia"/>
          <w:sz w:val="24"/>
          <w:szCs w:val="24"/>
        </w:rPr>
        <w:t xml:space="preserve">2. Historical roots: How the preference paradigm (Kaplans, Berlyne) became the default method for studying experience, performance, and health.</w:t>
      </w:r>
    </w:p>
    <w:p>
      <w:pPr>
        <w:spacing w:after="160" w:line="276"/>
      </w:pPr>
      <w:r>
        <w:rPr>
          <w:rFonts w:ascii="Georgia" w:cs="Georgia" w:eastAsia="Georgia" w:hAnsi="Georgia"/>
          <w:sz w:val="24"/>
          <w:szCs w:val="24"/>
        </w:rPr>
        <w:t xml:space="preserve">3. The three validity dimensions: presentation, measurement, task-ecology. How each strips away different aspects of real architectural experience.</w:t>
      </w:r>
    </w:p>
    <w:p>
      <w:pPr>
        <w:spacing w:after="160" w:line="276"/>
      </w:pPr>
      <w:r>
        <w:rPr>
          <w:rFonts w:ascii="Georgia" w:cs="Georgia" w:eastAsia="Georgia" w:hAnsi="Georgia"/>
          <w:sz w:val="24"/>
          <w:szCs w:val="24"/>
        </w:rPr>
        <w:t xml:space="preserve">4. The passive observer fallacy: Gibson, affordances, perception-for-action, the constitutive role of task context.</w:t>
      </w:r>
    </w:p>
    <w:p>
      <w:pPr>
        <w:spacing w:after="160" w:line="276"/>
      </w:pPr>
      <w:r>
        <w:rPr>
          <w:rFonts w:ascii="Georgia" w:cs="Georgia" w:eastAsia="Georgia" w:hAnsi="Georgia"/>
          <w:sz w:val="24"/>
          <w:szCs w:val="24"/>
        </w:rPr>
        <w:t xml:space="preserve">5. Incoming state and state momentum: How the person’s current goals, affects, and history determine the character of the architectural encounter.</w:t>
      </w:r>
    </w:p>
    <w:p>
      <w:pPr>
        <w:spacing w:after="160" w:line="276"/>
      </w:pPr>
      <w:r>
        <w:rPr>
          <w:rFonts w:ascii="Georgia" w:cs="Georgia" w:eastAsia="Georgia" w:hAnsi="Georgia"/>
          <w:sz w:val="24"/>
          <w:szCs w:val="24"/>
        </w:rPr>
        <w:t xml:space="preserve">6. Implicit vs. explicit pathways: The effects that matter most are probably the hardest to study.</w:t>
      </w:r>
    </w:p>
    <w:p>
      <w:pPr>
        <w:spacing w:after="160" w:line="276"/>
      </w:pPr>
      <w:r>
        <w:rPr>
          <w:rFonts w:ascii="Georgia" w:cs="Georgia" w:eastAsia="Georgia" w:hAnsi="Georgia"/>
          <w:sz w:val="24"/>
          <w:szCs w:val="24"/>
        </w:rPr>
        <w:t xml:space="preserve">7. What would ecologically valid CNFA look like? Field methods, experience sampling, wearable monitoring, natural experiments, distributed cognition approaches.</w:t>
      </w:r>
    </w:p>
    <w:p>
      <w:pPr>
        <w:spacing w:after="160" w:line="276"/>
      </w:pPr>
      <w:r>
        <w:rPr>
          <w:rFonts w:ascii="Georgia" w:cs="Georgia" w:eastAsia="Georgia" w:hAnsi="Georgia"/>
          <w:sz w:val="24"/>
          <w:szCs w:val="24"/>
        </w:rPr>
        <w:t xml:space="preserve">8. Implications for evidence synthesis (Article Eater): Why the methodological framework must distinguish claim types and apply construct-specific validity weights.</w:t>
      </w:r>
    </w:p>
    <w:p>
      <w:pPr>
        <w:pStyle w:val="Heading2"/>
        <w:spacing w:before="280" w:after="160"/>
      </w:pPr>
      <w:r>
        <w:rPr>
          <w:rFonts w:ascii="Georgia" w:cs="Georgia" w:eastAsia="Georgia" w:hAnsi="Georgia"/>
          <w:b/>
          <w:bCs/>
          <w:sz w:val="28"/>
          <w:szCs w:val="28"/>
        </w:rPr>
        <w:t xml:space="preserve">5.2 Key Figures to Cite</w:t>
      </w:r>
    </w:p>
    <w:p>
      <w:pPr>
        <w:spacing w:after="160" w:line="276"/>
      </w:pPr>
      <w:r>
        <w:rPr>
          <w:rFonts w:ascii="Georgia" w:cs="Georgia" w:eastAsia="Georgia" w:hAnsi="Georgia"/>
          <w:sz w:val="24"/>
          <w:szCs w:val="24"/>
        </w:rPr>
        <w:t xml:space="preserve">Kaplan &amp; Kaplan (1989), Gibson (1979), Barker (1968), Rapoport (1977, 1990), Suchman (1987), Hutchins (1995), Clark &amp; Chalmers (1998), Heft (2001, 2012), Noë (2004), Friston (2010), Brunswick (1956), Bronfenbrenner (1979), Stamps (1990, 2004, 2010), Fich et al. (2014), Vartanian et al. (2015), Meyers-Levy &amp; Zhu (2007), Dickerson &amp; Kemeny (2004), Albayrak-Kutlay et al. (2025).</w:t>
      </w:r>
    </w:p>
    <w:p>
      <w:pPr>
        <w:pStyle w:val="Heading2"/>
        <w:spacing w:before="280" w:after="160"/>
      </w:pPr>
      <w:r>
        <w:rPr>
          <w:rFonts w:ascii="Georgia" w:cs="Georgia" w:eastAsia="Georgia" w:hAnsi="Georgia"/>
          <w:b/>
          <w:bCs/>
          <w:sz w:val="28"/>
          <w:szCs w:val="28"/>
        </w:rPr>
        <w:t xml:space="preserve">5.3 Empirical Gaps to Highlight</w:t>
      </w:r>
    </w:p>
    <w:p>
      <w:pPr>
        <w:spacing w:after="160" w:line="276"/>
      </w:pPr>
      <w:r>
        <w:rPr>
          <w:rFonts w:ascii="Georgia" w:cs="Georgia" w:eastAsia="Georgia" w:hAnsi="Georgia"/>
          <w:sz w:val="24"/>
          <w:szCs w:val="24"/>
        </w:rPr>
        <w:t xml:space="preserve">(a) No study has compared architectural effects on the same dependent variable measured during passive evaluation vs. during an ecological task in the same building. This is the most direct test of the passive observer fallacy.</w:t>
      </w:r>
    </w:p>
    <w:p>
      <w:pPr>
        <w:spacing w:after="160" w:line="276"/>
      </w:pPr>
      <w:r>
        <w:rPr>
          <w:rFonts w:ascii="Georgia" w:cs="Georgia" w:eastAsia="Georgia" w:hAnsi="Georgia"/>
          <w:sz w:val="24"/>
          <w:szCs w:val="24"/>
        </w:rPr>
        <w:t xml:space="preserve">(b) No study has systematically measured incoming state and tested it as a moderator of architectural effects. The interaction between person-state and building-features is the central prediction of the predictive processing framework but has never been directly tested in CNFA.</w:t>
      </w:r>
    </w:p>
    <w:p>
      <w:pPr>
        <w:spacing w:after="160" w:line="276"/>
      </w:pPr>
      <w:r>
        <w:rPr>
          <w:rFonts w:ascii="Georgia" w:cs="Georgia" w:eastAsia="Georgia" w:hAnsi="Georgia"/>
          <w:sz w:val="24"/>
          <w:szCs w:val="24"/>
        </w:rPr>
        <w:t xml:space="preserve">(c) Longitudinal studies of architectural effects during real occupancy are almost nonexistent. The few that exist (post-occupancy evaluations) typically use crude single-time-point self-report rather than repeated physiological or performance measurement.</w:t>
      </w:r>
    </w:p>
    <w:p>
      <w:pPr>
        <w:spacing w:after="160" w:line="276"/>
      </w:pPr>
      <w:r>
        <w:rPr>
          <w:rFonts w:ascii="Georgia" w:cs="Georgia" w:eastAsia="Georgia" w:hAnsi="Georgia"/>
          <w:sz w:val="24"/>
          <w:szCs w:val="24"/>
        </w:rPr>
        <w:t xml:space="preserve">(d) No study has examined the transition from novel-exposure to habituated-use and tracked how architectural effects evolve across this transition. The predictive processing framework makes specific predictions: effects should be largest at first encounter (maximum prediction error), decline with habituation, and stabilize at a chronic level that depends on the building’s ongoing support for prediction error resolution.</w:t>
      </w:r>
    </w:p>
    <w:p>
      <w:pPr>
        <w:pStyle w:val="Heading2"/>
        <w:spacing w:before="280" w:after="160"/>
      </w:pPr>
      <w:r>
        <w:rPr>
          <w:rFonts w:ascii="Georgia" w:cs="Georgia" w:eastAsia="Georgia" w:hAnsi="Georgia"/>
          <w:b/>
          <w:bCs/>
          <w:sz w:val="28"/>
          <w:szCs w:val="28"/>
        </w:rPr>
        <w:t xml:space="preserve">5.4 Potential Provocative Framings</w:t>
      </w:r>
    </w:p>
    <w:p>
      <w:pPr>
        <w:spacing w:after="160" w:line="276"/>
      </w:pPr>
      <w:r>
        <w:rPr>
          <w:rFonts w:ascii="Georgia" w:cs="Georgia" w:eastAsia="Georgia" w:hAnsi="Georgia"/>
          <w:i/>
          <w:iCs/>
          <w:sz w:val="24"/>
          <w:szCs w:val="24"/>
        </w:rPr>
        <w:t xml:space="preserve">“Most of what we know about how buildings affect people is actually about how images of buildings affect raters.”</w:t>
      </w:r>
    </w:p>
    <w:p>
      <w:pPr>
        <w:spacing w:after="160" w:line="276"/>
      </w:pPr>
      <w:r>
        <w:rPr>
          <w:rFonts w:ascii="Georgia" w:cs="Georgia" w:eastAsia="Georgia" w:hAnsi="Georgia"/>
          <w:i/>
          <w:iCs/>
          <w:sz w:val="24"/>
          <w:szCs w:val="24"/>
        </w:rPr>
        <w:t xml:space="preserve">“CNFA has a stimulus problem: it has confused studying the picture with studying the territory.”</w:t>
      </w:r>
    </w:p>
    <w:p>
      <w:pPr>
        <w:spacing w:after="160" w:line="276"/>
      </w:pPr>
      <w:r>
        <w:rPr>
          <w:rFonts w:ascii="Georgia" w:cs="Georgia" w:eastAsia="Georgia" w:hAnsi="Georgia"/>
          <w:i/>
          <w:iCs/>
          <w:sz w:val="24"/>
          <w:szCs w:val="24"/>
        </w:rPr>
        <w:t xml:space="preserve">“The effects that would most justify the expense of good architecture — reduced healthcare costs, improved educational outcomes, enhanced workplace productivity — are precisely the effects that the standard experimental paradigm cannot measure.”</w:t>
      </w:r>
    </w:p>
    <w:p>
      <w:pPr>
        <w:spacing w:after="160" w:line="276"/>
      </w:pPr>
      <w:r>
        <w:rPr>
          <w:rFonts w:ascii="Georgia" w:cs="Georgia" w:eastAsia="Georgia" w:hAnsi="Georgia"/>
          <w:i/>
          <w:iCs/>
          <w:sz w:val="24"/>
          <w:szCs w:val="24"/>
        </w:rPr>
        <w:t xml:space="preserve">“We have optimized our research methods for answering the least important question (which environments do people prefer?) while neglecting the most important one (which environments help people function?).”</w:t>
      </w:r>
    </w:p>
    <w:p>
      <w:r>
        <w:br w:type="page"/>
      </w:r>
    </w:p>
    <w:p>
      <w:pPr>
        <w:pStyle w:val="Heading1"/>
        <w:spacing w:before="360" w:after="200"/>
      </w:pPr>
      <w:r>
        <w:rPr>
          <w:rFonts w:ascii="Georgia" w:cs="Georgia" w:eastAsia="Georgia" w:hAnsi="Georgia"/>
          <w:b/>
          <w:bCs/>
          <w:sz w:val="32"/>
          <w:szCs w:val="32"/>
        </w:rPr>
        <w:t xml:space="preserve">References</w:t>
      </w:r>
    </w:p>
    <w:p>
      <w:pPr>
        <w:spacing w:after="100"/>
      </w:pPr>
      <w:r>
        <w:rPr>
          <w:rFonts w:ascii="Georgia" w:cs="Georgia" w:eastAsia="Georgia" w:hAnsi="Georgia"/>
          <w:sz w:val="24"/>
          <w:szCs w:val="24"/>
        </w:rPr>
        <w:t xml:space="preserve">Appleton, J. (1975). The experience of landscape. Wiley. (Cited by ~2,500)</w:t>
      </w:r>
    </w:p>
    <w:p>
      <w:pPr>
        <w:spacing w:after="100"/>
      </w:pPr>
      <w:r>
        <w:rPr>
          <w:rFonts w:ascii="Georgia" w:cs="Georgia" w:eastAsia="Georgia" w:hAnsi="Georgia"/>
          <w:sz w:val="24"/>
          <w:szCs w:val="24"/>
        </w:rPr>
        <w:t xml:space="preserve">Barker, R. G. (1968). Ecological psychology: Concepts and methods for studying the environment of human behavior. Stanford University Press. (Cited by ~3,500)</w:t>
      </w:r>
    </w:p>
    <w:p>
      <w:pPr>
        <w:spacing w:after="100"/>
      </w:pPr>
      <w:r>
        <w:rPr>
          <w:rFonts w:ascii="Georgia" w:cs="Georgia" w:eastAsia="Georgia" w:hAnsi="Georgia"/>
          <w:sz w:val="24"/>
          <w:szCs w:val="24"/>
        </w:rPr>
        <w:t xml:space="preserve">Berlyne, D. E. (1971). Aesthetics and psychobiology. Appleton-Century-Crofts. (Cited by ~3,000)</w:t>
      </w:r>
    </w:p>
    <w:p>
      <w:pPr>
        <w:spacing w:after="100"/>
      </w:pPr>
      <w:r>
        <w:rPr>
          <w:rFonts w:ascii="Georgia" w:cs="Georgia" w:eastAsia="Georgia" w:hAnsi="Georgia"/>
          <w:sz w:val="24"/>
          <w:szCs w:val="24"/>
        </w:rPr>
        <w:t xml:space="preserve">Bronfenbrenner, U. (1979). The ecology of human development. Harvard University Press. (Cited by ~50,000)</w:t>
      </w:r>
    </w:p>
    <w:p>
      <w:pPr>
        <w:spacing w:after="100"/>
      </w:pPr>
      <w:r>
        <w:rPr>
          <w:rFonts w:ascii="Georgia" w:cs="Georgia" w:eastAsia="Georgia" w:hAnsi="Georgia"/>
          <w:sz w:val="24"/>
          <w:szCs w:val="24"/>
        </w:rPr>
        <w:t xml:space="preserve">Brunswick, E. (1956). Perception and the representative design of psychological experiments. University of California Press. (Cited by ~2,000)</w:t>
      </w:r>
    </w:p>
    <w:p>
      <w:pPr>
        <w:spacing w:after="100"/>
      </w:pPr>
      <w:r>
        <w:rPr>
          <w:rFonts w:ascii="Georgia" w:cs="Georgia" w:eastAsia="Georgia" w:hAnsi="Georgia"/>
          <w:sz w:val="24"/>
          <w:szCs w:val="24"/>
        </w:rPr>
        <w:t xml:space="preserve">Clark, A., &amp; Chalmers, D. (1998). The extended mind. Analysis, 58(1), 7–19. https://doi.org/10.1093/analys/58.1.7 (Cited by ~8,000)</w:t>
      </w:r>
    </w:p>
    <w:p>
      <w:pPr>
        <w:spacing w:after="100"/>
      </w:pPr>
      <w:r>
        <w:rPr>
          <w:rFonts w:ascii="Georgia" w:cs="Georgia" w:eastAsia="Georgia" w:hAnsi="Georgia"/>
          <w:sz w:val="24"/>
          <w:szCs w:val="24"/>
        </w:rPr>
        <w:t xml:space="preserve">Dickerson, S. S., &amp; Kemeny, M. E. (2004). Acute stressors and cortisol responses. Psychological Bulletin, 130(3), 355–391. (Cited by ~5,000)</w:t>
      </w:r>
    </w:p>
    <w:p>
      <w:pPr>
        <w:spacing w:after="100"/>
      </w:pPr>
      <w:r>
        <w:rPr>
          <w:rFonts w:ascii="Georgia" w:cs="Georgia" w:eastAsia="Georgia" w:hAnsi="Georgia"/>
          <w:sz w:val="24"/>
          <w:szCs w:val="24"/>
        </w:rPr>
        <w:t xml:space="preserve">Fich, L. B., et al. (2014). Can architectural design alter the physiological reaction to psychosocial stress? Physiology &amp; Behavior, 135, 91–97. https://doi.org/10.1016/j.physbeh.2014.05.034 (Cited by ~200)</w:t>
      </w:r>
    </w:p>
    <w:p>
      <w:pPr>
        <w:spacing w:after="100"/>
      </w:pPr>
      <w:r>
        <w:rPr>
          <w:rFonts w:ascii="Georgia" w:cs="Georgia" w:eastAsia="Georgia" w:hAnsi="Georgia"/>
          <w:sz w:val="24"/>
          <w:szCs w:val="24"/>
        </w:rPr>
        <w:t xml:space="preserve">Friston, K. (2010). The free-energy principle: A unified brain theory? Nature Reviews Neuroscience, 11(2), 127–138. (Cited by ~8,000)</w:t>
      </w:r>
    </w:p>
    <w:p>
      <w:pPr>
        <w:spacing w:after="100"/>
      </w:pPr>
      <w:r>
        <w:rPr>
          <w:rFonts w:ascii="Georgia" w:cs="Georgia" w:eastAsia="Georgia" w:hAnsi="Georgia"/>
          <w:sz w:val="24"/>
          <w:szCs w:val="24"/>
        </w:rPr>
        <w:t xml:space="preserve">Gibson, J. J. (1979). The ecological approach to visual perception. Houghton Mifflin. (Cited by ~25,000)</w:t>
      </w:r>
    </w:p>
    <w:p>
      <w:pPr>
        <w:spacing w:after="100"/>
      </w:pPr>
      <w:r>
        <w:rPr>
          <w:rFonts w:ascii="Georgia" w:cs="Georgia" w:eastAsia="Georgia" w:hAnsi="Georgia"/>
          <w:sz w:val="24"/>
          <w:szCs w:val="24"/>
        </w:rPr>
        <w:t xml:space="preserve">Heft, H. (2001). Ecological psychology in context: James Gibson, Roger Barker, and the legacy of William James’s radical empiricism. Erlbaum. (Cited by ~500)</w:t>
      </w:r>
    </w:p>
    <w:p>
      <w:pPr>
        <w:spacing w:after="100"/>
      </w:pPr>
      <w:r>
        <w:rPr>
          <w:rFonts w:ascii="Georgia" w:cs="Georgia" w:eastAsia="Georgia" w:hAnsi="Georgia"/>
          <w:sz w:val="24"/>
          <w:szCs w:val="24"/>
        </w:rPr>
        <w:t xml:space="preserve">Hutchins, E. (1995). Cognition in the wild. MIT Press. (Cited by ~10,000)</w:t>
      </w:r>
    </w:p>
    <w:p>
      <w:pPr>
        <w:spacing w:after="100"/>
      </w:pPr>
      <w:r>
        <w:rPr>
          <w:rFonts w:ascii="Georgia" w:cs="Georgia" w:eastAsia="Georgia" w:hAnsi="Georgia"/>
          <w:sz w:val="24"/>
          <w:szCs w:val="24"/>
        </w:rPr>
        <w:t xml:space="preserve">Kahneman, D. (1973). Attention and effort. Prentice-Hall. (Cited by ~10,000)</w:t>
      </w:r>
    </w:p>
    <w:p>
      <w:pPr>
        <w:spacing w:after="100"/>
      </w:pPr>
      <w:r>
        <w:rPr>
          <w:rFonts w:ascii="Georgia" w:cs="Georgia" w:eastAsia="Georgia" w:hAnsi="Georgia"/>
          <w:sz w:val="24"/>
          <w:szCs w:val="24"/>
        </w:rPr>
        <w:t xml:space="preserve">Kaplan, S. (1995). The restorative benefits of nature. Journal of Environmental Psychology, 15(3), 169–182. (Cited by ~7,000)</w:t>
      </w:r>
    </w:p>
    <w:p>
      <w:pPr>
        <w:spacing w:after="100"/>
      </w:pPr>
      <w:r>
        <w:rPr>
          <w:rFonts w:ascii="Georgia" w:cs="Georgia" w:eastAsia="Georgia" w:hAnsi="Georgia"/>
          <w:sz w:val="24"/>
          <w:szCs w:val="24"/>
        </w:rPr>
        <w:t xml:space="preserve">Kaplan, S., &amp; Kaplan, R. (1989). The experience of nature: A psychological perspective. Cambridge University Press. (Cited by ~5,000)</w:t>
      </w:r>
    </w:p>
    <w:p>
      <w:pPr>
        <w:spacing w:after="100"/>
      </w:pPr>
      <w:r>
        <w:rPr>
          <w:rFonts w:ascii="Georgia" w:cs="Georgia" w:eastAsia="Georgia" w:hAnsi="Georgia"/>
          <w:sz w:val="24"/>
          <w:szCs w:val="24"/>
        </w:rPr>
        <w:t xml:space="preserve">Meyers-Levy, J., &amp; Zhu, R. (2007). The influence of ceiling height: The effect of priming on the type of processing that people use. Journal of Consumer Research, 34(2), 174–186. (Cited by ~1,000)</w:t>
      </w:r>
    </w:p>
    <w:p>
      <w:pPr>
        <w:spacing w:after="100"/>
      </w:pPr>
      <w:r>
        <w:rPr>
          <w:rFonts w:ascii="Georgia" w:cs="Georgia" w:eastAsia="Georgia" w:hAnsi="Georgia"/>
          <w:sz w:val="24"/>
          <w:szCs w:val="24"/>
        </w:rPr>
        <w:t xml:space="preserve">Noë, A. (2004). Action in perception. MIT Press. (Cited by ~4,000)</w:t>
      </w:r>
    </w:p>
    <w:p>
      <w:pPr>
        <w:spacing w:after="100"/>
      </w:pPr>
      <w:r>
        <w:rPr>
          <w:rFonts w:ascii="Georgia" w:cs="Georgia" w:eastAsia="Georgia" w:hAnsi="Georgia"/>
          <w:sz w:val="24"/>
          <w:szCs w:val="24"/>
        </w:rPr>
        <w:t xml:space="preserve">Rapoport, A. (1977). Human aspects of urban form. Pergamon. (Cited by ~2,000)</w:t>
      </w:r>
    </w:p>
    <w:p>
      <w:pPr>
        <w:spacing w:after="100"/>
      </w:pPr>
      <w:r>
        <w:rPr>
          <w:rFonts w:ascii="Georgia" w:cs="Georgia" w:eastAsia="Georgia" w:hAnsi="Georgia"/>
          <w:sz w:val="24"/>
          <w:szCs w:val="24"/>
        </w:rPr>
        <w:t xml:space="preserve">Rapoport, A. (1990). The meaning of the built environment. University of Arizona Press. (Cited by ~3,500)</w:t>
      </w:r>
    </w:p>
    <w:p>
      <w:pPr>
        <w:spacing w:after="100"/>
      </w:pPr>
      <w:r>
        <w:rPr>
          <w:rFonts w:ascii="Georgia" w:cs="Georgia" w:eastAsia="Georgia" w:hAnsi="Georgia"/>
          <w:sz w:val="24"/>
          <w:szCs w:val="24"/>
        </w:rPr>
        <w:t xml:space="preserve">Stamps, A. E. (1990). Use of photographs to simulate environments: A meta-analysis. Perceptual and Motor Skills, 71(3), 907–913. (Cited by ~500)</w:t>
      </w:r>
    </w:p>
    <w:p>
      <w:pPr>
        <w:spacing w:after="100"/>
      </w:pPr>
      <w:r>
        <w:rPr>
          <w:rFonts w:ascii="Georgia" w:cs="Georgia" w:eastAsia="Georgia" w:hAnsi="Georgia"/>
          <w:sz w:val="24"/>
          <w:szCs w:val="24"/>
        </w:rPr>
        <w:t xml:space="preserve">Stokols, D. (1972). On the distinction between density and crowding. Psychological Review, 79(3), 275–277. (Cited by ~1,500)</w:t>
      </w:r>
    </w:p>
    <w:p>
      <w:pPr>
        <w:spacing w:after="100"/>
      </w:pPr>
      <w:r>
        <w:rPr>
          <w:rFonts w:ascii="Georgia" w:cs="Georgia" w:eastAsia="Georgia" w:hAnsi="Georgia"/>
          <w:sz w:val="24"/>
          <w:szCs w:val="24"/>
        </w:rPr>
        <w:t xml:space="preserve">Suchman, L. A. (1987). Plans and situated actions: The problem of human-machine communication. Cambridge University Press. (Cited by ~10,000)</w:t>
      </w:r>
    </w:p>
    <w:p>
      <w:pPr>
        <w:spacing w:after="100"/>
      </w:pPr>
      <w:r>
        <w:rPr>
          <w:rFonts w:ascii="Georgia" w:cs="Georgia" w:eastAsia="Georgia" w:hAnsi="Georgia"/>
          <w:sz w:val="24"/>
          <w:szCs w:val="24"/>
        </w:rPr>
        <w:t xml:space="preserve">Sweller, J. (1988). Cognitive load during problem solving: Effects on learning. Cognitive Science, 12(2), 257–285. (Cited by ~10,000)</w:t>
      </w:r>
    </w:p>
    <w:p>
      <w:pPr>
        <w:spacing w:after="100"/>
      </w:pPr>
      <w:r>
        <w:rPr>
          <w:rFonts w:ascii="Georgia" w:cs="Georgia" w:eastAsia="Georgia" w:hAnsi="Georgia"/>
          <w:sz w:val="24"/>
          <w:szCs w:val="24"/>
        </w:rPr>
        <w:t xml:space="preserve">Vartanian, O., et al. (2015). Architectural design and the brain: Effects of ceiling height and perceived enclosure. Journal of Environmental Psychology, 41, 10–18. https://doi.org/10.1016/j.jenvp.2014.11.006 (Cited by ~350)</w:t>
      </w:r>
    </w:p>
    <w:p>
      <w:pPr>
        <w:spacing w:after="100"/>
      </w:pPr>
      <w:r>
        <w:rPr>
          <w:rFonts w:ascii="Georgia" w:cs="Georgia" w:eastAsia="Georgia" w:hAnsi="Georgia"/>
          <w:sz w:val="24"/>
          <w:szCs w:val="24"/>
        </w:rPr>
        <w:t xml:space="preserve">Zube, E. H., Sell, J. L., &amp; Taylor, J. G. (1982). Landscape perception: Research, application and theory. Landscape Planning, 9(1), 1–33. (Cited by ~1,500)</w:t>
      </w:r>
    </w:p>
    <w:p>
      <w:pPr>
        <w:spacing w:after="80"/>
      </w:pPr>
    </w:p>
    <w:p>
      <w:pPr>
        <w:spacing w:after="160" w:line="276"/>
      </w:pPr>
      <w:r>
        <w:rPr>
          <w:rFonts w:ascii="Georgia" w:cs="Georgia" w:eastAsia="Georgia" w:hAnsi="Georgia"/>
          <w:i/>
          <w:iCs/>
          <w:sz w:val="24"/>
          <w:szCs w:val="24"/>
        </w:rPr>
        <w:t xml:space="preserve">Google Scholar citation counts approximate as of early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Ecological Validity in CNFA — Background Notes + Panel + Tier 2b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2026-02-14T07:32:54.409Z</dcterms:created>
  <dcterms:modified xsi:type="dcterms:W3CDTF">2026-02-14T07:32:54.410Z</dcterms:modified>
</cp:coreProperties>
</file>

<file path=docProps/custom.xml><?xml version="1.0" encoding="utf-8"?>
<Properties xmlns="http://schemas.openxmlformats.org/officeDocument/2006/custom-properties" xmlns:vt="http://schemas.openxmlformats.org/officeDocument/2006/docPropsVTypes"/>
</file>