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3D65" w14:textId="459F5B4B" w:rsidR="00F670AD" w:rsidRDefault="00F670AD" w:rsidP="00F670AD">
      <w:pPr>
        <w:pStyle w:val="NormalWeb"/>
      </w:pPr>
      <w:r>
        <w:t>Making Basic research Relevant</w:t>
      </w:r>
    </w:p>
    <w:p w14:paraId="690E5D08" w14:textId="76914551" w:rsidR="00F670AD" w:rsidRDefault="00F670AD" w:rsidP="00F670AD">
      <w:pPr>
        <w:pStyle w:val="NormalWeb"/>
      </w:pPr>
      <w:r>
        <w:t xml:space="preserve">Prompt: </w:t>
      </w:r>
    </w:p>
    <w:p w14:paraId="4DAD5A9F" w14:textId="77777777" w:rsidR="00F670AD" w:rsidRDefault="00F670AD" w:rsidP="00F670AD">
      <w:pPr>
        <w:pStyle w:val="whitespace-pre-wrap"/>
        <w:pBdr>
          <w:top w:val="single" w:sz="2" w:space="0" w:color="DEDCD1"/>
          <w:left w:val="single" w:sz="2" w:space="0" w:color="DEDCD1"/>
          <w:bottom w:val="single" w:sz="2" w:space="0" w:color="DEDCD1"/>
          <w:right w:val="single" w:sz="2" w:space="0" w:color="DEDCD1"/>
        </w:pBdr>
        <w:shd w:val="clear" w:color="auto" w:fill="141413"/>
        <w:spacing w:before="0" w:beforeAutospacing="0" w:after="0" w:afterAutospacing="0"/>
        <w:rPr>
          <w:rFonts w:ascii="Segoe UI" w:hAnsi="Segoe UI" w:cs="Segoe UI"/>
          <w:color w:val="FAF9F5"/>
          <w:sz w:val="27"/>
          <w:szCs w:val="27"/>
        </w:rPr>
      </w:pPr>
      <w:r>
        <w:rPr>
          <w:rFonts w:ascii="Segoe UI" w:hAnsi="Segoe UI" w:cs="Segoe UI"/>
          <w:color w:val="FAF9F5"/>
          <w:sz w:val="27"/>
          <w:szCs w:val="27"/>
        </w:rPr>
        <w:t xml:space="preserve">If you look at the mechs and the docs that are being domain specific (and in the project library of uploads and artifacts would you say that they are tuned to be easily applicable to the attributes of architecture - </w:t>
      </w:r>
      <w:proofErr w:type="spellStart"/>
      <w:r>
        <w:rPr>
          <w:rFonts w:ascii="Segoe UI" w:hAnsi="Segoe UI" w:cs="Segoe UI"/>
          <w:color w:val="FAF9F5"/>
          <w:sz w:val="27"/>
          <w:szCs w:val="27"/>
        </w:rPr>
        <w:t>ie</w:t>
      </w:r>
      <w:proofErr w:type="spellEnd"/>
      <w:r>
        <w:rPr>
          <w:rFonts w:ascii="Segoe UI" w:hAnsi="Segoe UI" w:cs="Segoe UI"/>
          <w:color w:val="FAF9F5"/>
          <w:sz w:val="27"/>
          <w:szCs w:val="27"/>
        </w:rPr>
        <w:t xml:space="preserve"> materials, spatial shape and dimension, visual appearance, task effectiveness - </w:t>
      </w:r>
      <w:proofErr w:type="spellStart"/>
      <w:r>
        <w:rPr>
          <w:rFonts w:ascii="Segoe UI" w:hAnsi="Segoe UI" w:cs="Segoe UI"/>
          <w:color w:val="FAF9F5"/>
          <w:sz w:val="27"/>
          <w:szCs w:val="27"/>
        </w:rPr>
        <w:t>ie</w:t>
      </w:r>
      <w:proofErr w:type="spellEnd"/>
      <w:r>
        <w:rPr>
          <w:rFonts w:ascii="Segoe UI" w:hAnsi="Segoe UI" w:cs="Segoe UI"/>
          <w:color w:val="FAF9F5"/>
          <w:sz w:val="27"/>
          <w:szCs w:val="27"/>
        </w:rPr>
        <w:t xml:space="preserve"> </w:t>
      </w:r>
      <w:proofErr w:type="spellStart"/>
      <w:r>
        <w:rPr>
          <w:rFonts w:ascii="Segoe UI" w:hAnsi="Segoe UI" w:cs="Segoe UI"/>
          <w:color w:val="FAF9F5"/>
          <w:sz w:val="27"/>
          <w:szCs w:val="27"/>
        </w:rPr>
        <w:t>functinoal</w:t>
      </w:r>
      <w:proofErr w:type="spellEnd"/>
      <w:r>
        <w:rPr>
          <w:rFonts w:ascii="Segoe UI" w:hAnsi="Segoe UI" w:cs="Segoe UI"/>
          <w:color w:val="FAF9F5"/>
          <w:sz w:val="27"/>
          <w:szCs w:val="27"/>
        </w:rPr>
        <w:t xml:space="preserve"> for the jobs people do in there, acoustic properties, haptic, multimodal, light, and so on. Our ultimate goal is to create tiers of higher level beliefs driven by theory, mechanism and other scientific ideas such that they would be relevant to an expert who looks at articles and thinks "hmm this seems plausible because it fits in with this idea, </w:t>
      </w:r>
      <w:proofErr w:type="spellStart"/>
      <w:r>
        <w:rPr>
          <w:rFonts w:ascii="Segoe UI" w:hAnsi="Segoe UI" w:cs="Segoe UI"/>
          <w:color w:val="FAF9F5"/>
          <w:sz w:val="27"/>
          <w:szCs w:val="27"/>
        </w:rPr>
        <w:t>i</w:t>
      </w:r>
      <w:proofErr w:type="spellEnd"/>
      <w:r>
        <w:rPr>
          <w:rFonts w:ascii="Segoe UI" w:hAnsi="Segoe UI" w:cs="Segoe UI"/>
          <w:color w:val="FAF9F5"/>
          <w:sz w:val="27"/>
          <w:szCs w:val="27"/>
        </w:rPr>
        <w:t xml:space="preserve"> can see explaining this like this", or 'given my priors about theories and mechs </w:t>
      </w:r>
      <w:proofErr w:type="spellStart"/>
      <w:r>
        <w:rPr>
          <w:rFonts w:ascii="Segoe UI" w:hAnsi="Segoe UI" w:cs="Segoe UI"/>
          <w:color w:val="FAF9F5"/>
          <w:sz w:val="27"/>
          <w:szCs w:val="27"/>
        </w:rPr>
        <w:t>i</w:t>
      </w:r>
      <w:proofErr w:type="spellEnd"/>
      <w:r>
        <w:rPr>
          <w:rFonts w:ascii="Segoe UI" w:hAnsi="Segoe UI" w:cs="Segoe UI"/>
          <w:color w:val="FAF9F5"/>
          <w:sz w:val="27"/>
          <w:szCs w:val="27"/>
        </w:rPr>
        <w:t xml:space="preserve"> can see new predictions, ways of elaborating or extending this finding, ways of critiquing it using argumentation moves, and so forth. In the end that is the point of the </w:t>
      </w:r>
      <w:proofErr w:type="spellStart"/>
      <w:r>
        <w:rPr>
          <w:rFonts w:ascii="Segoe UI" w:hAnsi="Segoe UI" w:cs="Segoe UI"/>
          <w:color w:val="FAF9F5"/>
          <w:sz w:val="27"/>
          <w:szCs w:val="27"/>
        </w:rPr>
        <w:t>knowl</w:t>
      </w:r>
      <w:proofErr w:type="spellEnd"/>
      <w:r>
        <w:rPr>
          <w:rFonts w:ascii="Segoe UI" w:hAnsi="Segoe UI" w:cs="Segoe UI"/>
          <w:color w:val="FAF9F5"/>
          <w:sz w:val="27"/>
          <w:szCs w:val="27"/>
        </w:rPr>
        <w:t>\edge built into the tiers. They deeply inform the shape, weight and structure of our web of belief.</w:t>
      </w:r>
    </w:p>
    <w:p w14:paraId="0EA697F2" w14:textId="0E7A75DC" w:rsidR="00F670AD" w:rsidRDefault="00F670AD" w:rsidP="00F670AD">
      <w:pPr>
        <w:pStyle w:val="NormalWeb"/>
      </w:pPr>
      <w:r>
        <w:br/>
        <w:t>This is the right question at the right moment, and the honest answer is: not yet, and the gap is structural, not just a matter of missing content.</w:t>
      </w:r>
    </w:p>
    <w:p w14:paraId="281FE6EC" w14:textId="77777777" w:rsidR="00F670AD" w:rsidRDefault="00F670AD" w:rsidP="00F670AD">
      <w:pPr>
        <w:pStyle w:val="NormalWeb"/>
      </w:pPr>
      <w:r>
        <w:t>Let me explain what I mean.</w:t>
      </w:r>
    </w:p>
    <w:p w14:paraId="6AEAB490" w14:textId="77777777" w:rsidR="00F670AD" w:rsidRDefault="00F670AD" w:rsidP="00F670AD">
      <w:pPr>
        <w:pStyle w:val="NormalWeb"/>
      </w:pPr>
      <w:r>
        <w:rPr>
          <w:rStyle w:val="Strong"/>
          <w:rFonts w:eastAsiaTheme="majorEastAsia"/>
        </w:rPr>
        <w:t>What the project has built well.</w:t>
      </w:r>
      <w:r>
        <w:t xml:space="preserve"> The mechanism-level work is genuinely strong in certain domains. Auditory-temporal prediction is now deeply specified — from the computational level (</w:t>
      </w:r>
      <w:proofErr w:type="spellStart"/>
      <w:r>
        <w:t>IDyOM</w:t>
      </w:r>
      <w:proofErr w:type="spellEnd"/>
      <w:r>
        <w:t xml:space="preserve">, oscillatory entrainment) through the neural implementation (the auditory cortical hierarchy, the auditory-striatal reward pathway) to the emotional output (BRECVEMA, ITPRA, the dopaminergic two-phase model). The bridging panel just extended this to architectural acoustics with reasonable specificity. Visual-spatial prediction has a solid foundation from the architecture panels — fractal dimension, spatial complexity, the Goldilocks zone for visual complexity — though it is less mechanistically detailed than the auditory work. And the </w:t>
      </w:r>
      <w:proofErr w:type="spellStart"/>
      <w:r>
        <w:t>vmPFC</w:t>
      </w:r>
      <w:proofErr w:type="spellEnd"/>
      <w:r>
        <w:t xml:space="preserve"> convergence as a domain-general value computation node is the project's single most robust finding, confirmed now across five or six domains.</w:t>
      </w:r>
    </w:p>
    <w:p w14:paraId="491DE76E" w14:textId="77777777" w:rsidR="00F670AD" w:rsidRDefault="00F670AD" w:rsidP="00F670AD">
      <w:pPr>
        <w:pStyle w:val="NormalWeb"/>
      </w:pPr>
      <w:r>
        <w:rPr>
          <w:rStyle w:val="Strong"/>
          <w:rFonts w:eastAsiaTheme="majorEastAsia"/>
        </w:rPr>
        <w:t>Where the gap is.</w:t>
      </w:r>
      <w:r>
        <w:t xml:space="preserve"> The problem is that these mechanisms are organized by </w:t>
      </w:r>
      <w:r>
        <w:rPr>
          <w:rStyle w:val="Emphasis"/>
          <w:rFonts w:eastAsiaTheme="majorEastAsia"/>
        </w:rPr>
        <w:t>scientific domain of origin</w:t>
      </w:r>
      <w:r>
        <w:t xml:space="preserve"> — predictive processing from computational neuroscience, BRECVEMA from music psychology, fractal dimension from environmental psychology, awe from affective science. They are NOT organized by </w:t>
      </w:r>
      <w:r>
        <w:rPr>
          <w:rStyle w:val="Emphasis"/>
          <w:rFonts w:eastAsiaTheme="majorEastAsia"/>
        </w:rPr>
        <w:t>architectural attribute</w:t>
      </w:r>
      <w:r>
        <w:t xml:space="preserve">. And this matters enormously for the use case you describe — the expert who encounters a finding and needs to rapidly locate it within a web of </w:t>
      </w:r>
      <w:r>
        <w:lastRenderedPageBreak/>
        <w:t xml:space="preserve">belief that is structured around the things architects </w:t>
      </w:r>
      <w:proofErr w:type="gramStart"/>
      <w:r>
        <w:t>actually think</w:t>
      </w:r>
      <w:proofErr w:type="gramEnd"/>
      <w:r>
        <w:t xml:space="preserve"> about, design with, and evaluate.</w:t>
      </w:r>
    </w:p>
    <w:p w14:paraId="1B444F30" w14:textId="77777777" w:rsidR="00F670AD" w:rsidRDefault="00F670AD" w:rsidP="00F670AD">
      <w:pPr>
        <w:pStyle w:val="NormalWeb"/>
      </w:pPr>
      <w:r>
        <w:t xml:space="preserve">An architect or an architectural researcher thinks in terms of: What is this space made of? What does it look like? How big is it? What is the light like? What do people do in it? How does it sound? How does it feel to move through it? Who is in it with me? These are the natural joints of architectural cognition. The project's current knowledge base does not map cleanly onto these joints. If an expert reads a paper about how wood surfaces reduce stress relative to concrete surfaces, they need to reach for a mechanistic account that connects </w:t>
      </w:r>
      <w:r>
        <w:rPr>
          <w:rStyle w:val="Emphasis"/>
          <w:rFonts w:eastAsiaTheme="majorEastAsia"/>
        </w:rPr>
        <w:t>material properties</w:t>
      </w:r>
      <w:r>
        <w:t xml:space="preserve"> to </w:t>
      </w:r>
      <w:r>
        <w:rPr>
          <w:rStyle w:val="Emphasis"/>
          <w:rFonts w:eastAsiaTheme="majorEastAsia"/>
        </w:rPr>
        <w:t>emotional and cognitive outcomes</w:t>
      </w:r>
      <w:r>
        <w:t xml:space="preserve"> through identified pathways. Right now, they would have to assemble that account piecemeal from the acoustic properties of materials (AX-I), the visual complexity of grain patterns (fractal dimension from the architecture panels), the thermal conductivity and haptic qualities (barely touched anywhere), the culturally conditioned associations (evaluative conditioning from BRECVEMA), and the olfactory properties (not addressed at all). The mechanisms exist in the project, scattered across panels, but they are not organized in a way that makes them readily deployable for reasoning about a specific architectural attribute.</w:t>
      </w:r>
    </w:p>
    <w:p w14:paraId="269EB151" w14:textId="77777777" w:rsidR="00F670AD" w:rsidRDefault="00F670AD" w:rsidP="00F670AD">
      <w:pPr>
        <w:pStyle w:val="NormalWeb"/>
      </w:pPr>
      <w:r>
        <w:t>Let me be more concrete about what is underdeveloped or missing, organized by the architectural attributes you listed:</w:t>
      </w:r>
    </w:p>
    <w:p w14:paraId="310531D7" w14:textId="77777777" w:rsidR="00F670AD" w:rsidRDefault="00F670AD" w:rsidP="00F670AD">
      <w:pPr>
        <w:pStyle w:val="NormalWeb"/>
      </w:pPr>
      <w:r>
        <w:rPr>
          <w:rStyle w:val="Strong"/>
          <w:rFonts w:eastAsiaTheme="majorEastAsia"/>
        </w:rPr>
        <w:t>Materials.</w:t>
      </w:r>
      <w:r>
        <w:t xml:space="preserve"> This is a significant gap. Materials are the substrate of almost everything in architecture — they determine visual appearance, acoustic signature, thermal behavior, haptic quality, smell, aging and patina, structural possibility, and cultural association. The project has touched materials through acoustics (stone vs. wood absorption profiles in AX-I) and implicitly through visual complexity (natural materials tend to have fractal grain patterns near the D ≈ 1.3 optimum). But there is no systematic account of how material properties engage the prediction and emotion mechanisms across modalities. The literature exists: Nyrud and </w:t>
      </w:r>
      <w:proofErr w:type="spellStart"/>
      <w:r>
        <w:t>Bringslimark</w:t>
      </w:r>
      <w:proofErr w:type="spellEnd"/>
      <w:r>
        <w:t xml:space="preserve"> (2010) on psychophysiological responses to wood; </w:t>
      </w:r>
      <w:proofErr w:type="spellStart"/>
      <w:r>
        <w:t>Sakuragawa</w:t>
      </w:r>
      <w:proofErr w:type="spellEnd"/>
      <w:r>
        <w:t xml:space="preserve">, Miyazaki, Kaneko, and Makita (2005) on physiological effects of touching wood; the broader biophilic design literature (Kellert, Heerwagen, &amp; Mador, 2008) on natural materials and wellbeing. What is missing is the mechanistic integration — WHY does wood reduce stress? Is it the visual fractal grain (moderate visual PE)? The warm haptic sensation (thermal prediction confirmed — skin expects warmth from organic material, gets it)? The acoustic signature (absorptive, warm spectral profile → positive evaluative conditioning)? The olfactory properties (volatile organic compounds from wood → positive conditioned associations with natural environments)? Almost certainly </w:t>
      </w:r>
      <w:proofErr w:type="gramStart"/>
      <w:r>
        <w:t>all of</w:t>
      </w:r>
      <w:proofErr w:type="gramEnd"/>
      <w:r>
        <w:t xml:space="preserve"> these simultaneously, which is exactly the multi-modal convergence principle from AX-I. But the project has not built this out.</w:t>
      </w:r>
    </w:p>
    <w:p w14:paraId="2F55CE89" w14:textId="77777777" w:rsidR="00F670AD" w:rsidRDefault="00F670AD" w:rsidP="00F670AD">
      <w:pPr>
        <w:pStyle w:val="NormalWeb"/>
      </w:pPr>
      <w:r>
        <w:rPr>
          <w:rStyle w:val="Strong"/>
          <w:rFonts w:eastAsiaTheme="majorEastAsia"/>
        </w:rPr>
        <w:t>Spatial shape and dimension.</w:t>
      </w:r>
      <w:r>
        <w:t xml:space="preserve"> This is better covered — the Goldilocks zone for spatial complexity, the fractal dimension work, and now the awe framework for extreme scale. But there are gaps. Ceiling height effects (Meyers-Levy &amp; Zhu, 2007) have been mentioned but not mechanistically integrated. The relationship between room proportions and aesthetic preference (the long tradition from Fechner through </w:t>
      </w:r>
      <w:proofErr w:type="spellStart"/>
      <w:r>
        <w:t>Berlyne</w:t>
      </w:r>
      <w:proofErr w:type="spellEnd"/>
      <w:r>
        <w:t xml:space="preserve"> to contemporary empirical aesthetics) has not been formalized. Spatial configuration — how the arrangement of rooms, corridors, and openings affects wayfinding, social encounter, and cognitive mapping — is essentially absent. </w:t>
      </w:r>
      <w:r>
        <w:lastRenderedPageBreak/>
        <w:t>Bill Hillier's Space Syntax framework, which formalizes how spatial configuration affects pedestrian movement and social co-presence, is a major body of work (Hillier &amp; Hanson, 1984, approximately 5,000 citations) that has no representation in the project despite being directly relevant to spatial prediction. When you move through a building, your cognitive map generates predictions about what lies around the next corner, and Space Syntax provides the formal tools for quantifying those spatial predictions and their violations.</w:t>
      </w:r>
    </w:p>
    <w:p w14:paraId="09E137E9" w14:textId="77777777" w:rsidR="00F670AD" w:rsidRDefault="00F670AD" w:rsidP="00F670AD">
      <w:pPr>
        <w:pStyle w:val="NormalWeb"/>
      </w:pPr>
      <w:r>
        <w:rPr>
          <w:rStyle w:val="Strong"/>
          <w:rFonts w:eastAsiaTheme="majorEastAsia"/>
        </w:rPr>
        <w:t>Visual appearance.</w:t>
      </w:r>
      <w:r>
        <w:t xml:space="preserve"> Covered for complexity and fractal dimension but thin on color, contrast, visual rhythm (the repetition of architectural elements like columns, windows, arches), and the specific question of how the brain processes </w:t>
      </w:r>
      <w:r>
        <w:rPr>
          <w:rStyle w:val="Emphasis"/>
          <w:rFonts w:eastAsiaTheme="majorEastAsia"/>
        </w:rPr>
        <w:t>architectural form</w:t>
      </w:r>
      <w:r>
        <w:t xml:space="preserve"> as opposed to natural or abstract visual patterns. There is a nascent literature on </w:t>
      </w:r>
      <w:proofErr w:type="spellStart"/>
      <w:r>
        <w:t>neuroaesthetics</w:t>
      </w:r>
      <w:proofErr w:type="spellEnd"/>
      <w:r>
        <w:t xml:space="preserve"> of architecture specifically — Vartanian et al. (2013, approximately 500 citations) showed that curvilinear architectural spaces activate the anterior cingulate cortex (approach motivation) more than rectilinear spaces, and that the amygdala responds differentially to enclosed vs. open architectural spaces. This is precisely the kind of finding that an expert would want to evaluate against a mechanistic web of belief, but the current project does not provide the right hooks for it.</w:t>
      </w:r>
    </w:p>
    <w:p w14:paraId="202AACD4" w14:textId="77777777" w:rsidR="00F670AD" w:rsidRDefault="00F670AD" w:rsidP="00F670AD">
      <w:pPr>
        <w:pStyle w:val="NormalWeb"/>
      </w:pPr>
      <w:r>
        <w:rPr>
          <w:rStyle w:val="Strong"/>
          <w:rFonts w:eastAsiaTheme="majorEastAsia"/>
        </w:rPr>
        <w:t>Task effectiveness.</w:t>
      </w:r>
      <w:r>
        <w:t xml:space="preserve"> This is the functional dimension — does the space support the cognitive and behavioral demands of the activities it houses? The education panels presumably address this for learning environments, but the general framework for how architectural properties affect cognitive performance (attention, working memory, creativity, collaboration) is not well represented. The two most important theoretical frameworks here are Kaplan's Attention Restoration Theory (Kaplan, 1995, approximately 4,000 citations — natural environments restore directed attention because they engage involuntary attention through "soft fascination," which is essentially low-PE stimulation that allows the directed attention system to recover) and Ulrich's Stress Recovery Theory (Ulrich, 1983, approximately 6,000 citations — natural scenes promote faster recovery from stress through parasympathetic activation). Both are prediction-error-adjacent: ART is about the PE demands of the environment (low-PE natural scenes vs. high-PE urban scenes), and SRT is about the autonomic consequences of environmental PE (threatening PE → sympathetic activation; safe, moderate PE → parasympathetic recovery). But neither has been formally connected to the predictive processing framework in the project.</w:t>
      </w:r>
    </w:p>
    <w:p w14:paraId="203509EC" w14:textId="77777777" w:rsidR="00F670AD" w:rsidRDefault="00F670AD" w:rsidP="00F670AD">
      <w:pPr>
        <w:pStyle w:val="NormalWeb"/>
      </w:pPr>
      <w:r>
        <w:rPr>
          <w:rStyle w:val="Strong"/>
          <w:rFonts w:eastAsiaTheme="majorEastAsia"/>
        </w:rPr>
        <w:t>Light.</w:t>
      </w:r>
      <w:r>
        <w:t xml:space="preserve"> This is a major omission. Light is arguably the single most important variable in architectural emotional experience after spatial scale. The project has not addressed it at all in mechanistic terms. The relevant literature spans circadian neuroscience (light affects circadian rhythms through melanopsin-containing retinal ganglion cells → SCN → melatonin/cortisol regulation — Berson, Dunn, &amp; Takao, 2002), the psychology of daylight (daylight access is one of the strongest predictors of occupant satisfaction in buildings — </w:t>
      </w:r>
      <w:proofErr w:type="spellStart"/>
      <w:r>
        <w:t>Heschong</w:t>
      </w:r>
      <w:proofErr w:type="spellEnd"/>
      <w:r>
        <w:t xml:space="preserve">, 1979; Edwards &amp; </w:t>
      </w:r>
      <w:proofErr w:type="spellStart"/>
      <w:r>
        <w:t>Torcellini</w:t>
      </w:r>
      <w:proofErr w:type="spellEnd"/>
      <w:r>
        <w:t xml:space="preserve">, 2002), the phenomenology of light in sacred architecture (the entire Gothic architectural program is organized around light as theological metaphor AND perceptual experience — Abbot </w:t>
      </w:r>
      <w:proofErr w:type="spellStart"/>
      <w:r>
        <w:t>Suger's</w:t>
      </w:r>
      <w:proofErr w:type="spellEnd"/>
      <w:r>
        <w:t xml:space="preserve"> writings on light as divine illumination are simultaneously theological and phenomenological), and the neuroscience of luminance contrast (the visual system's sensitivity to contrast is a prediction-error mechanism — the retina computes luminance differences, not absolute luminance, which is literally spatial prediction error at the earliest visual processing stage). A </w:t>
      </w:r>
      <w:proofErr w:type="gramStart"/>
      <w:r>
        <w:t>stained glass</w:t>
      </w:r>
      <w:proofErr w:type="gramEnd"/>
      <w:r>
        <w:t xml:space="preserve"> window in a dark cathedral is a luminance prediction </w:t>
      </w:r>
      <w:r>
        <w:lastRenderedPageBreak/>
        <w:t xml:space="preserve">error of enormous magnitude, processed through the same retinal → visual cortex → </w:t>
      </w:r>
      <w:proofErr w:type="spellStart"/>
      <w:r>
        <w:t>vmPFC</w:t>
      </w:r>
      <w:proofErr w:type="spellEnd"/>
      <w:r>
        <w:t xml:space="preserve"> pathway as spatial complexity, but this has not been formalized.</w:t>
      </w:r>
    </w:p>
    <w:p w14:paraId="2DCA7276" w14:textId="77777777" w:rsidR="00F670AD" w:rsidRDefault="00F670AD" w:rsidP="00F670AD">
      <w:pPr>
        <w:pStyle w:val="NormalWeb"/>
      </w:pPr>
      <w:r>
        <w:rPr>
          <w:rStyle w:val="Strong"/>
          <w:rFonts w:eastAsiaTheme="majorEastAsia"/>
        </w:rPr>
        <w:t>Haptic and thermal.</w:t>
      </w:r>
      <w:r>
        <w:t xml:space="preserve"> Barely touched, despite </w:t>
      </w:r>
      <w:proofErr w:type="spellStart"/>
      <w:r>
        <w:t>Pallasmaa's</w:t>
      </w:r>
      <w:proofErr w:type="spellEnd"/>
      <w:r>
        <w:t xml:space="preserve"> and Robinson's arguments for their importance. The somatosensory system generates predictions about material properties (temperature, texture, compliance) from visual cues, and violations of those predictions produce surprise and emotional response. A material that looks cold but feels warm (wood that looks like stone), or that looks smooth but feels rough, produces haptic prediction error. The thermal environment of a building — radiant heat from a fireplace, cool air in a stone passage, the warmth of sunlight through a window — is processed through thermoreceptors that feed into the insula (interoception) and the emotional processing hierarchy. None of this is in the project.</w:t>
      </w:r>
    </w:p>
    <w:p w14:paraId="4A95D688" w14:textId="77777777" w:rsidR="00F670AD" w:rsidRDefault="00F670AD" w:rsidP="00F670AD">
      <w:pPr>
        <w:pStyle w:val="NormalWeb"/>
      </w:pPr>
      <w:r>
        <w:rPr>
          <w:rStyle w:val="Strong"/>
          <w:rFonts w:eastAsiaTheme="majorEastAsia"/>
        </w:rPr>
        <w:t>Multimodal integration.</w:t>
      </w:r>
      <w:r>
        <w:t xml:space="preserve"> Template AX6 (from the bridging panel) proposes the multi-modal PE model but at a very high level of abstraction. What is needed is a more granular account of how specific combinations of modalities interact. The literature on multisensory integration (Stein &amp; Meredith, 1993; Calvert, Spence, &amp; Stein, 2004) provides the neural basis: the superior colliculus and posterior parietal cortex integrate signals across modalities, and the integration follows specific rules (temporal coincidence → binding; spatial coincidence → binding; inverse effectiveness — weak unimodal signals produce stronger multisensory enhancement than strong unimodal signals). These rules have direct architectural implications: the emotional impact of a space is greatest when multiple modalities deliver </w:t>
      </w:r>
      <w:r>
        <w:rPr>
          <w:rStyle w:val="Emphasis"/>
          <w:rFonts w:eastAsiaTheme="majorEastAsia"/>
        </w:rPr>
        <w:t>temporally coincident, spatially congruent, individually moderate</w:t>
      </w:r>
      <w:r>
        <w:t xml:space="preserve"> signals — which is precisely the convergence principle from the musical chills analysis, applied cross-modally.</w:t>
      </w:r>
    </w:p>
    <w:p w14:paraId="71540C0D" w14:textId="77777777" w:rsidR="00F670AD" w:rsidRDefault="00F670AD" w:rsidP="00F670AD">
      <w:pPr>
        <w:pStyle w:val="NormalWeb"/>
      </w:pPr>
      <w:r>
        <w:rPr>
          <w:rStyle w:val="Strong"/>
          <w:rFonts w:eastAsiaTheme="majorEastAsia"/>
        </w:rPr>
        <w:t>Now, to your deeper point about the epistemological structure.</w:t>
      </w:r>
      <w:r>
        <w:t xml:space="preserve"> You are describing something quite specific: a knowledge architecture in which the tiers of belief are organized so that an expert can perform characteristic epistemic operations — evaluating plausibility, generating predictions, extending findings, critiquing arguments — by drawing on mechanistic knowledge that is </w:t>
      </w:r>
      <w:r>
        <w:rPr>
          <w:rStyle w:val="Emphasis"/>
          <w:rFonts w:eastAsiaTheme="majorEastAsia"/>
        </w:rPr>
        <w:t>readily indexed to the features of the domain</w:t>
      </w:r>
      <w:r>
        <w:t>. This is not just a matter of having the right knowledge; it is a matter of having it organized in the right way.</w:t>
      </w:r>
    </w:p>
    <w:p w14:paraId="405F3719" w14:textId="77777777" w:rsidR="00F670AD" w:rsidRDefault="00F670AD" w:rsidP="00F670AD">
      <w:pPr>
        <w:pStyle w:val="NormalWeb"/>
      </w:pPr>
      <w:r>
        <w:t xml:space="preserve">The current project organizes knowledge by </w:t>
      </w:r>
      <w:r>
        <w:rPr>
          <w:rStyle w:val="Emphasis"/>
          <w:rFonts w:eastAsiaTheme="majorEastAsia"/>
        </w:rPr>
        <w:t>source discipline and panel topic</w:t>
      </w:r>
      <w:r>
        <w:t xml:space="preserve">. The templates are labeled M1-M17, AX1-AX6, and so forth. An expert wanting to reason about a finding on material effects would need to know that the relevant mechanisms are scattered across acoustic properties (AX1, AX4), visual complexity (architecture panel templates), evaluative conditioning (M12), and haptic prediction (not yet formalized). This organizational structure reflects how the knowledge was </w:t>
      </w:r>
      <w:r>
        <w:rPr>
          <w:rStyle w:val="Emphasis"/>
          <w:rFonts w:eastAsiaTheme="majorEastAsia"/>
        </w:rPr>
        <w:t>generated</w:t>
      </w:r>
      <w:r>
        <w:t xml:space="preserve"> (panel by panel, following disciplinary boundaries) but not how it needs to be </w:t>
      </w:r>
      <w:r>
        <w:rPr>
          <w:rStyle w:val="Emphasis"/>
          <w:rFonts w:eastAsiaTheme="majorEastAsia"/>
        </w:rPr>
        <w:t>used</w:t>
      </w:r>
      <w:r>
        <w:t xml:space="preserve"> (attribute by attribute, following the natural joints of architectural reasoning).</w:t>
      </w:r>
    </w:p>
    <w:p w14:paraId="1FD194F9" w14:textId="77777777" w:rsidR="00F670AD" w:rsidRDefault="00F670AD" w:rsidP="00F670AD">
      <w:pPr>
        <w:pStyle w:val="NormalWeb"/>
      </w:pPr>
      <w:r>
        <w:t xml:space="preserve">What I think the project needs — and this may be the right moment to build it — is a </w:t>
      </w:r>
      <w:r>
        <w:rPr>
          <w:rStyle w:val="Strong"/>
          <w:rFonts w:eastAsiaTheme="majorEastAsia"/>
        </w:rPr>
        <w:t>cross-referencing layer</w:t>
      </w:r>
      <w:r>
        <w:t xml:space="preserve"> that maps between two organizational schemes:</w:t>
      </w:r>
    </w:p>
    <w:p w14:paraId="464CD498" w14:textId="77777777" w:rsidR="00F670AD" w:rsidRDefault="00F670AD" w:rsidP="00F670AD">
      <w:pPr>
        <w:pStyle w:val="NormalWeb"/>
      </w:pPr>
      <w:r>
        <w:rPr>
          <w:rStyle w:val="Strong"/>
          <w:rFonts w:eastAsiaTheme="majorEastAsia"/>
        </w:rPr>
        <w:t>Scheme 1 (current): Mechanism-first.</w:t>
      </w:r>
      <w:r>
        <w:t xml:space="preserve"> Templates organized by the scientific mechanism they </w:t>
      </w:r>
      <w:proofErr w:type="gramStart"/>
      <w:r>
        <w:t>formalize:</w:t>
      </w:r>
      <w:proofErr w:type="gramEnd"/>
      <w:r>
        <w:t xml:space="preserve"> predictive processing, BRECVEMA, Goldilocks zones, neural pathways. This is the deep explanatory structure — the "why does this work" knowledge.</w:t>
      </w:r>
    </w:p>
    <w:p w14:paraId="0C84B7A5" w14:textId="77777777" w:rsidR="00F670AD" w:rsidRDefault="00F670AD" w:rsidP="00F670AD">
      <w:pPr>
        <w:pStyle w:val="NormalWeb"/>
      </w:pPr>
      <w:r>
        <w:rPr>
          <w:rStyle w:val="Strong"/>
          <w:rFonts w:eastAsiaTheme="majorEastAsia"/>
        </w:rPr>
        <w:lastRenderedPageBreak/>
        <w:t>Scheme 2 (needed): Attribute-first.</w:t>
      </w:r>
      <w:r>
        <w:t xml:space="preserve"> Templates organized by the architectural attribute they are relevant </w:t>
      </w:r>
      <w:proofErr w:type="gramStart"/>
      <w:r>
        <w:t>to:</w:t>
      </w:r>
      <w:proofErr w:type="gramEnd"/>
      <w:r>
        <w:t xml:space="preserve"> materials, light, spatial scale, acoustic properties, thermal environment, social configuration, task demands. This is the applied reasoning structure — the "what should I think about when I encounter a finding about X" knowledge.</w:t>
      </w:r>
    </w:p>
    <w:p w14:paraId="5A85E20C" w14:textId="77777777" w:rsidR="00F670AD" w:rsidRDefault="00F670AD" w:rsidP="00F670AD">
      <w:pPr>
        <w:pStyle w:val="NormalWeb"/>
      </w:pPr>
      <w:r>
        <w:t>The two schemes would be cross-linked: each attribute-first entry would reference the relevant mechanism-first templates, and each mechanism-first template would list the architectural attributes it applies to. An expert encountering a paper on ceiling height and creativity would enter through the attribute index (spatial dimension → ceiling height), find the relevant mechanisms (visual-spatial PE from the architecture panels, awe/accommodation from AX3, Meyers-Levy's processing-style effect), and use those mechanisms to evaluate the paper's claims, generate alternative explanations, and identify testable extensions.</w:t>
      </w:r>
    </w:p>
    <w:p w14:paraId="5D3DCD89" w14:textId="77777777" w:rsidR="00F670AD" w:rsidRDefault="00F670AD" w:rsidP="00F670AD">
      <w:pPr>
        <w:pStyle w:val="NormalWeb"/>
      </w:pPr>
      <w:r>
        <w:t>This cross-referencing layer is what would make the knowledge base genuinely useful for the expert epistemic operations you describe: evaluating plausibility (does this finding activate a known mechanism in a way that makes mechanistic sense?), generating predictions (given this mechanism, what ELSE should we expect to find that hasn't been tested?), extending findings (can this mechanism account for effects in adjacent domains?), and critiquing arguments (is the proposed mechanism the right one, or is there a better-specified alternative in the template library?).</w:t>
      </w:r>
    </w:p>
    <w:p w14:paraId="2702DF2E" w14:textId="77777777" w:rsidR="00F670AD" w:rsidRDefault="00F670AD" w:rsidP="00F670AD">
      <w:pPr>
        <w:pStyle w:val="NormalWeb"/>
      </w:pPr>
      <w:r>
        <w:t>The honest assessment is that the project is about 60% of the way to this goal. The mechanism-level work is strong in auditory prediction, moderate in visual-spatial prediction, and thin in haptic, thermal, olfactory, luminance, and social-configurational prediction. The attribute-level indexing does not yet exist. And several major bodies of relevant architectural science — Space Syntax, Attention Restoration Theory, Stress Recovery Theory, biophilic design, circadian lighting, thermal comfort — have not been formally integrated into the predictive processing framework, even though the integration is in most cases straightforward.</w:t>
      </w:r>
    </w:p>
    <w:p w14:paraId="3438BC75" w14:textId="77777777" w:rsidR="00F670AD" w:rsidRDefault="00F670AD" w:rsidP="00F670AD">
      <w:pPr>
        <w:pStyle w:val="NormalWeb"/>
      </w:pPr>
      <w:r>
        <w:t>My recommendation would be to build the attribute-indexed cross-referencing layer as a dedicated document — essentially a lookup table that maps every major architectural attribute to its relevant mechanisms, neural pathways, key empirical findings, and open questions. This would serve as the expert's entry point into the knowledge base: encounter a finding, identify the attribute, look up the mechanisms, reason from there. It would also reveal, starkly, where the gaps are — which architectural attributes lack mechanistic coverage and therefore need dedicated panels.</w:t>
      </w:r>
    </w:p>
    <w:p w14:paraId="7FA298AF" w14:textId="77777777" w:rsidR="00F670AD" w:rsidRDefault="00F670AD" w:rsidP="00F670AD">
      <w:pPr>
        <w:pStyle w:val="NormalWeb"/>
      </w:pPr>
      <w:r>
        <w:t>Shall I build that cross-referencing document? Or would you prefer to continue with M-IV and build the index later, once the full music panel series is complete?</w:t>
      </w:r>
    </w:p>
    <w:p w14:paraId="149C30E1" w14:textId="77777777" w:rsidR="002B26E5" w:rsidRDefault="002B26E5"/>
    <w:sectPr w:rsidR="002B2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0AD"/>
    <w:rsid w:val="002B26E5"/>
    <w:rsid w:val="00447BDF"/>
    <w:rsid w:val="00947EBA"/>
    <w:rsid w:val="009A5B89"/>
    <w:rsid w:val="00C61EC1"/>
    <w:rsid w:val="00D523F6"/>
    <w:rsid w:val="00E03E9D"/>
    <w:rsid w:val="00F670AD"/>
    <w:rsid w:val="00FE3E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04DF60D"/>
  <w15:chartTrackingRefBased/>
  <w15:docId w15:val="{722B2255-DB45-2C47-9F90-856C115B1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semiHidden/>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F67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0A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67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0AD"/>
    <w:rPr>
      <w:rFonts w:eastAsiaTheme="majorEastAsia" w:cstheme="majorBidi"/>
      <w:color w:val="272727" w:themeColor="text1" w:themeTint="D8"/>
    </w:rPr>
  </w:style>
  <w:style w:type="paragraph" w:styleId="Title">
    <w:name w:val="Title"/>
    <w:basedOn w:val="Normal"/>
    <w:next w:val="Normal"/>
    <w:link w:val="TitleChar"/>
    <w:uiPriority w:val="10"/>
    <w:qFormat/>
    <w:rsid w:val="00F67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0AD"/>
    <w:pPr>
      <w:spacing w:before="160"/>
      <w:jc w:val="center"/>
    </w:pPr>
    <w:rPr>
      <w:i/>
      <w:iCs/>
      <w:color w:val="404040" w:themeColor="text1" w:themeTint="BF"/>
    </w:rPr>
  </w:style>
  <w:style w:type="character" w:customStyle="1" w:styleId="QuoteChar">
    <w:name w:val="Quote Char"/>
    <w:basedOn w:val="DefaultParagraphFont"/>
    <w:link w:val="Quote"/>
    <w:uiPriority w:val="29"/>
    <w:rsid w:val="00F670AD"/>
    <w:rPr>
      <w:i/>
      <w:iCs/>
      <w:color w:val="404040" w:themeColor="text1" w:themeTint="BF"/>
    </w:rPr>
  </w:style>
  <w:style w:type="paragraph" w:styleId="ListParagraph">
    <w:name w:val="List Paragraph"/>
    <w:basedOn w:val="Normal"/>
    <w:uiPriority w:val="34"/>
    <w:qFormat/>
    <w:rsid w:val="00F670AD"/>
    <w:pPr>
      <w:ind w:left="720"/>
      <w:contextualSpacing/>
    </w:pPr>
  </w:style>
  <w:style w:type="character" w:styleId="IntenseEmphasis">
    <w:name w:val="Intense Emphasis"/>
    <w:basedOn w:val="DefaultParagraphFont"/>
    <w:uiPriority w:val="21"/>
    <w:qFormat/>
    <w:rsid w:val="00F670AD"/>
    <w:rPr>
      <w:i/>
      <w:iCs/>
      <w:color w:val="0F4761" w:themeColor="accent1" w:themeShade="BF"/>
    </w:rPr>
  </w:style>
  <w:style w:type="paragraph" w:styleId="IntenseQuote">
    <w:name w:val="Intense Quote"/>
    <w:basedOn w:val="Normal"/>
    <w:next w:val="Normal"/>
    <w:link w:val="IntenseQuoteChar"/>
    <w:uiPriority w:val="30"/>
    <w:qFormat/>
    <w:rsid w:val="00F67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0AD"/>
    <w:rPr>
      <w:i/>
      <w:iCs/>
      <w:color w:val="0F4761" w:themeColor="accent1" w:themeShade="BF"/>
    </w:rPr>
  </w:style>
  <w:style w:type="character" w:styleId="IntenseReference">
    <w:name w:val="Intense Reference"/>
    <w:basedOn w:val="DefaultParagraphFont"/>
    <w:uiPriority w:val="32"/>
    <w:qFormat/>
    <w:rsid w:val="00F670AD"/>
    <w:rPr>
      <w:b/>
      <w:bCs/>
      <w:smallCaps/>
      <w:color w:val="0F4761" w:themeColor="accent1" w:themeShade="BF"/>
      <w:spacing w:val="5"/>
    </w:rPr>
  </w:style>
  <w:style w:type="paragraph" w:styleId="NormalWeb">
    <w:name w:val="Normal (Web)"/>
    <w:basedOn w:val="Normal"/>
    <w:uiPriority w:val="99"/>
    <w:semiHidden/>
    <w:unhideWhenUsed/>
    <w:rsid w:val="00F670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70AD"/>
    <w:rPr>
      <w:b/>
      <w:bCs/>
    </w:rPr>
  </w:style>
  <w:style w:type="character" w:styleId="Emphasis">
    <w:name w:val="Emphasis"/>
    <w:basedOn w:val="DefaultParagraphFont"/>
    <w:uiPriority w:val="20"/>
    <w:qFormat/>
    <w:rsid w:val="00F670AD"/>
    <w:rPr>
      <w:i/>
      <w:iCs/>
    </w:rPr>
  </w:style>
  <w:style w:type="paragraph" w:customStyle="1" w:styleId="whitespace-pre-wrap">
    <w:name w:val="whitespace-pre-wrap"/>
    <w:basedOn w:val="Normal"/>
    <w:rsid w:val="00F670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2314</Words>
  <Characters>14144</Characters>
  <Application>Microsoft Office Word</Application>
  <DocSecurity>0</DocSecurity>
  <Lines>188</Lines>
  <Paragraphs>28</Paragraphs>
  <ScaleCrop>false</ScaleCrop>
  <Company/>
  <LinksUpToDate>false</LinksUpToDate>
  <CharactersWithSpaces>16430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1</cp:revision>
  <dcterms:created xsi:type="dcterms:W3CDTF">2026-02-16T00:15:00Z</dcterms:created>
  <dcterms:modified xsi:type="dcterms:W3CDTF">2026-02-16T00:16:00Z</dcterms:modified>
</cp:coreProperties>
</file>