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Georgia" w:cs="Georgia" w:eastAsia="Georgia" w:hAnsi="Georgia"/>
          <w:b/>
          <w:bCs/>
          <w:sz w:val="40"/>
          <w:szCs w:val="40"/>
        </w:rPr>
        <w:t xml:space="preserve">The Epistemic Warrant Graph:</w:t>
      </w:r>
    </w:p>
    <w:p>
      <w:pPr>
        <w:spacing w:after="200"/>
        <w:jc w:val="center"/>
      </w:pPr>
      <w:r>
        <w:rPr>
          <w:rFonts w:ascii="Georgia" w:cs="Georgia" w:eastAsia="Georgia" w:hAnsi="Georgia"/>
          <w:b/>
          <w:bCs/>
          <w:sz w:val="36"/>
          <w:szCs w:val="36"/>
        </w:rPr>
        <w:t xml:space="preserve">A Formal Analysis of Warrant Types,</w:t>
      </w:r>
    </w:p>
    <w:p>
      <w:pPr>
        <w:spacing w:after="400"/>
        <w:jc w:val="center"/>
      </w:pPr>
      <w:r>
        <w:rPr>
          <w:rFonts w:ascii="Georgia" w:cs="Georgia" w:eastAsia="Georgia" w:hAnsi="Georgia"/>
          <w:b/>
          <w:bCs/>
          <w:sz w:val="36"/>
          <w:szCs w:val="36"/>
        </w:rPr>
        <w:t xml:space="preserve">Completeness, Consistency, and Graph-Theoretic Properties</w:t>
      </w:r>
    </w:p>
    <w:p>
      <w:pPr>
        <w:spacing w:after="120"/>
        <w:jc w:val="center"/>
      </w:pPr>
      <w:r>
        <w:rPr>
          <w:rFonts w:ascii="Georgia" w:cs="Georgia" w:eastAsia="Georgia" w:hAnsi="Georgia"/>
          <w:i/>
          <w:iCs/>
          <w:sz w:val="24"/>
          <w:szCs w:val="24"/>
        </w:rPr>
        <w:t xml:space="preserve">A Companion Technical Analysis for the ATLAS System Paper</w:t>
      </w:r>
    </w:p>
    <w:p>
      <w:pPr>
        <w:spacing w:before="600"/>
      </w:pPr>
    </w:p>
    <w:p>
      <w:pPr>
        <w:spacing w:after="80"/>
        <w:jc w:val="center"/>
      </w:pPr>
      <w:r>
        <w:rPr>
          <w:rFonts w:ascii="Georgia" w:cs="Georgia" w:eastAsia="Georgia" w:hAnsi="Georgia"/>
          <w:sz w:val="24"/>
          <w:szCs w:val="24"/>
        </w:rPr>
        <w:t xml:space="preserve">David Kirsh</w:t>
      </w:r>
    </w:p>
    <w:p>
      <w:pPr>
        <w:spacing w:after="80"/>
        <w:jc w:val="center"/>
      </w:pPr>
      <w:r>
        <w:rPr>
          <w:rFonts w:ascii="Georgia" w:cs="Georgia" w:eastAsia="Georgia" w:hAnsi="Georgia"/>
          <w:sz w:val="24"/>
          <w:szCs w:val="24"/>
        </w:rPr>
        <w:t xml:space="preserve">Department of Cognitive Science</w:t>
      </w:r>
    </w:p>
    <w:p>
      <w:pPr>
        <w:spacing w:after="80"/>
        <w:jc w:val="center"/>
      </w:pPr>
      <w:r>
        <w:rPr>
          <w:rFonts w:ascii="Georgia" w:cs="Georgia" w:eastAsia="Georgia" w:hAnsi="Georgia"/>
          <w:sz w:val="24"/>
          <w:szCs w:val="24"/>
        </w:rPr>
        <w:t xml:space="preserve">University of California, San Diego</w:t>
      </w:r>
    </w:p>
    <w:p>
      <w:pPr>
        <w:spacing w:before="200" w:after="80"/>
        <w:jc w:val="center"/>
      </w:pPr>
      <w:r>
        <w:rPr>
          <w:rFonts w:ascii="Georgia" w:cs="Georgia" w:eastAsia="Georgia" w:hAnsi="Georgia"/>
          <w:sz w:val="24"/>
          <w:szCs w:val="24"/>
        </w:rPr>
        <w:t xml:space="preserve">February 2026</w:t>
      </w:r>
    </w:p>
    <w:p>
      <w:r>
        <w:br w:type="page"/>
      </w:r>
    </w:p>
    <w:p>
      <w:pPr>
        <w:pStyle w:val="Heading1"/>
        <w:spacing w:before="360" w:after="200"/>
      </w:pPr>
      <w:r>
        <w:rPr>
          <w:rFonts w:ascii="Georgia" w:cs="Georgia" w:eastAsia="Georgia" w:hAnsi="Georgia"/>
          <w:b/>
          <w:bCs/>
          <w:sz w:val="32"/>
          <w:szCs w:val="32"/>
        </w:rPr>
        <w:t xml:space="preserve">1. Introduction: What This Document Does</w:t>
      </w:r>
    </w:p>
    <w:p>
      <w:pPr>
        <w:spacing w:before="120" w:after="120" w:line="276"/>
        <w:ind w:firstLine="360"/>
      </w:pPr>
      <w:r>
        <w:rPr>
          <w:rFonts w:ascii="Georgia" w:cs="Georgia" w:eastAsia="Georgia" w:hAnsi="Georgia"/>
          <w:b w:val="false"/>
          <w:bCs w:val="false"/>
          <w:i w:val="false"/>
          <w:iCs w:val="false"/>
          <w:sz w:val="24"/>
          <w:szCs w:val="24"/>
        </w:rPr>
        <w:t xml:space="preserve">This document develops, in substantial detail, the formal analysis of warrant types in the Epistemic Warrant Graph (EWG) component of the ATLAS dual architecture. The EWG is a labeled directed hypergraph whose typed, weighted edges represent Toulminian warrants—inferential bridges connecting empirical data to architectural claims. The central question this document addresses is deceptively simple: are the seven canonical warrant types (CONSTITUTIVE, MECHANISM, EMPIRICAL_COVARIANCE, FUNCTIONAL, CAPACITY, ANALOGICAL, and THEORETICAL_DEFAULT) the right types? And can we prove, or at least rigorously argue, that they are complete, consistent, and sound as a system?</w:t>
      </w:r>
    </w:p>
    <w:p>
      <w:pPr>
        <w:spacing w:before="120" w:after="120" w:line="276"/>
        <w:ind w:firstLine="360"/>
      </w:pPr>
      <w:r>
        <w:rPr>
          <w:rFonts w:ascii="Georgia" w:cs="Georgia" w:eastAsia="Georgia" w:hAnsi="Georgia"/>
          <w:b w:val="false"/>
          <w:bCs w:val="false"/>
          <w:i w:val="false"/>
          <w:iCs w:val="false"/>
          <w:sz w:val="24"/>
          <w:szCs w:val="24"/>
        </w:rPr>
        <w:t xml:space="preserve">The question matters because the entire ATLAS architecture depends on the warrant type system. The discount factors that govern the projection function π from the EWG to the Bayesian Network are keyed to warrant types. If the types are incomplete—if there exists a kind of evidential bridge that the seven types cannot express—then the system has a blind spot. If the types are inconsistent—if two types can generate contradictory implications for the same edge—then the system can produce incoherent probability assignments. If the types are redundant—if one type is merely a special case of another—then the system carries unnecessary complexity that obscures rather than clarifies.</w:t>
      </w:r>
    </w:p>
    <w:p>
      <w:pPr>
        <w:spacing w:before="120" w:after="120" w:line="276"/>
        <w:ind w:firstLine="360"/>
      </w:pPr>
      <w:r>
        <w:rPr>
          <w:rFonts w:ascii="Georgia" w:cs="Georgia" w:eastAsia="Georgia" w:hAnsi="Georgia"/>
          <w:b w:val="false"/>
          <w:bCs w:val="false"/>
          <w:i w:val="false"/>
          <w:iCs w:val="false"/>
          <w:sz w:val="24"/>
          <w:szCs w:val="24"/>
        </w:rPr>
        <w:t xml:space="preserve">We proceed in seven sections. Section 2 provides the justification for each warrant type, grounding each in its philosophical and empirical tradition. Section 3 develops the completeness argument. Section 4 defines consistency for a typed warrant system and provides both positive arguments for consistency and a constructive counterexample showing what inconsistency would look like. Section 5 examines the graph-theoretic properties of the EWG, including cycle formation, edge interaction, and typed-path composition. Section 6 surveys analogous formal systems—other graph structures with multiple edge types—and identifies analytical techniques from graph theory, model theory, and category theory that bear on the problem. Section 7 synthesizes the analysis and states the principal results.</w:t>
      </w:r>
    </w:p>
    <w:p>
      <w:r>
        <w:br w:type="page"/>
      </w:r>
    </w:p>
    <w:p>
      <w:pPr>
        <w:pStyle w:val="Heading1"/>
        <w:spacing w:before="360" w:after="200"/>
      </w:pPr>
      <w:r>
        <w:rPr>
          <w:rFonts w:ascii="Georgia" w:cs="Georgia" w:eastAsia="Georgia" w:hAnsi="Georgia"/>
          <w:b/>
          <w:bCs/>
          <w:sz w:val="32"/>
          <w:szCs w:val="32"/>
        </w:rPr>
        <w:t xml:space="preserve">2. Justification of Each Warrant Type</w:t>
      </w:r>
    </w:p>
    <w:p>
      <w:pPr>
        <w:spacing w:before="120" w:after="120" w:line="276"/>
        <w:ind w:firstLine="360"/>
      </w:pPr>
      <w:r>
        <w:rPr>
          <w:rFonts w:ascii="Georgia" w:cs="Georgia" w:eastAsia="Georgia" w:hAnsi="Georgia"/>
          <w:b w:val="false"/>
          <w:bCs w:val="false"/>
          <w:i w:val="false"/>
          <w:iCs w:val="false"/>
          <w:sz w:val="24"/>
          <w:szCs w:val="24"/>
        </w:rPr>
        <w:t xml:space="preserve">The seven warrant types in the ATLAS system are not arbitrary labels. Each represents a distinct epistemic relationship between laboratory evidence and real-world architectural application, grounded in a specific philosophical tradition and validated by a characteristic pattern of scientific reasoning. In what follows, we justify each type by identifying (a) its philosophical source, (b) its distinctive inferential structure, (c) the kind of evidence it licenses, and (d) why it cannot be reduced to any other type.</w:t>
      </w:r>
    </w:p>
    <w:p>
      <w:pPr>
        <w:pStyle w:val="Heading2"/>
        <w:spacing w:before="300" w:after="160"/>
      </w:pPr>
      <w:r>
        <w:rPr>
          <w:rFonts w:ascii="Georgia" w:cs="Georgia" w:eastAsia="Georgia" w:hAnsi="Georgia"/>
          <w:b/>
          <w:bCs/>
          <w:sz w:val="28"/>
          <w:szCs w:val="28"/>
        </w:rPr>
        <w:t xml:space="preserve">2.1 CONSTITUTIVE Warrants</w:t>
      </w:r>
    </w:p>
    <w:p>
      <w:pPr>
        <w:spacing w:before="120" w:after="120" w:line="276"/>
        <w:ind w:firstLine="360"/>
      </w:pPr>
      <w:r>
        <w:rPr>
          <w:rFonts w:ascii="Georgia" w:cs="Georgia" w:eastAsia="Georgia" w:hAnsi="Georgia"/>
          <w:b w:val="false"/>
          <w:bCs w:val="false"/>
          <w:i w:val="false"/>
          <w:iCs w:val="false"/>
          <w:sz w:val="24"/>
          <w:szCs w:val="24"/>
        </w:rPr>
        <w:t xml:space="preserve">A CONSTITUTIVE warrant asserts an identity or criterial relation between the laboratory variable and the architectural variable. The connection is not causal but definitional: the lab variable and the architectural variable are literally the same thing, or the former is a constitutive criterion for the latter. When we say that “daylight at the retina IS retinal illumination,” we are making a constitutive claim: there is nothing to the architectural variable (retinal illumination in a building) beyond what is measured in the laboratory (photon flux at the retinal surface). The philosophical ancestry of this warrant type runs through the analytic/synthetic distinction in epistemology (Quine, 1951), through Wittgenstein’s concept of criterial relations (Wittgenstein, 1953, §580), and through the part-whole relations of mereology (Simons, 1987). In environmental psychology, constitutive warrants arise when the measured laboratory stimulus (e.g., illuminance in lux) is physically identical to the stimulus as encountered in a building. There is no “transfer gap” because there is nothing to transfer—the measurement and the phenomenon are one and the same.</w:t>
      </w:r>
    </w:p>
    <w:p>
      <w:pPr>
        <w:spacing w:before="120" w:after="120" w:line="276"/>
        <w:ind w:firstLine="360"/>
      </w:pPr>
      <w:r>
        <w:rPr>
          <w:rFonts w:ascii="Georgia" w:cs="Georgia" w:eastAsia="Georgia" w:hAnsi="Georgia"/>
          <w:b w:val="false"/>
          <w:bCs w:val="false"/>
          <w:i w:val="false"/>
          <w:iCs w:val="false"/>
          <w:sz w:val="24"/>
          <w:szCs w:val="24"/>
        </w:rPr>
        <w:t xml:space="preserve">The discount factor for CONSTITUTIVE warrants is accordingly the highest in the system (d = 0.95). The residual 0.05 accounts for measurement error and edge cases where the identity might break down (e.g., spectral composition differences between laboratory light sources and natural daylight). The inferential structure is essentially deductive: if X is constitutive of Y, then knowing X gives you Y with near certainty. This is why CONSTITUTIVE warrants are invulnerable to confounding—no third variable can make a definitional relationship spurious.</w:t>
      </w:r>
    </w:p>
    <w:p>
      <w:pPr>
        <w:spacing w:before="120" w:after="120" w:line="276"/>
      </w:pPr>
      <w:r>
        <w:rPr>
          <w:rFonts w:ascii="Georgia" w:cs="Georgia" w:eastAsia="Georgia" w:hAnsi="Georgia"/>
          <w:b/>
          <w:bCs/>
          <w:sz w:val="24"/>
          <w:szCs w:val="24"/>
        </w:rPr>
        <w:t xml:space="preserve">Irreducibility: </w:t>
      </w:r>
      <w:r>
        <w:rPr>
          <w:rFonts w:ascii="Georgia" w:cs="Georgia" w:eastAsia="Georgia" w:hAnsi="Georgia"/>
          <w:sz w:val="24"/>
          <w:szCs w:val="24"/>
        </w:rPr>
        <w:t xml:space="preserve">CONSTITUTIVE warrants cannot be reduced to MECHANISM warrants because they assert identity rather than causation. Mechanism implies a temporal process (A causes B through an intervening chain); constitution implies simultaneity and logical necessity (A just IS B, or A is a criterion for B). Confusing the two leads to the philosophical error that Jaegwon Kim (1998) called the “causal exclusion problem”—treating constitutive relations as if they were causal produces double-counting of evidence.</w:t>
      </w:r>
    </w:p>
    <w:p>
      <w:pPr>
        <w:pStyle w:val="Heading2"/>
        <w:spacing w:before="300" w:after="160"/>
      </w:pPr>
      <w:r>
        <w:rPr>
          <w:rFonts w:ascii="Georgia" w:cs="Georgia" w:eastAsia="Georgia" w:hAnsi="Georgia"/>
          <w:b/>
          <w:bCs/>
          <w:sz w:val="28"/>
          <w:szCs w:val="28"/>
        </w:rPr>
        <w:t xml:space="preserve">2.2 MECHANISM Warrants</w:t>
      </w:r>
    </w:p>
    <w:p>
      <w:pPr>
        <w:spacing w:before="120" w:after="120" w:line="276"/>
        <w:ind w:firstLine="360"/>
      </w:pPr>
      <w:r>
        <w:rPr>
          <w:rFonts w:ascii="Georgia" w:cs="Georgia" w:eastAsia="Georgia" w:hAnsi="Georgia"/>
          <w:b w:val="false"/>
          <w:bCs w:val="false"/>
          <w:i w:val="false"/>
          <w:iCs w:val="false"/>
          <w:sz w:val="24"/>
          <w:szCs w:val="24"/>
        </w:rPr>
        <w:t xml:space="preserve">A MECHANISM warrant asserts that a known causal pathway connects the laboratory finding to the architectural application. This is not merely a correlation; it is an account of how the effect is produced—what Machamer, Darden, and Craver (2000) call “entities and activities organized such that they are productive of regular changes from start or set-up to finish or termination conditions.” When we say that “retinal ganglion cell activation triggers the raphe nuclei, which triggers tryptophan hydroxylase, which elevates serotonin,” we are stating a mechanism: a specific chain of entities (cells, nuclei, enzymes) performing specific activities (activation, triggering, synthesis) in a specific temporal order.</w:t>
      </w:r>
    </w:p>
    <w:p>
      <w:pPr>
        <w:spacing w:before="120" w:after="120" w:line="276"/>
        <w:ind w:firstLine="360"/>
      </w:pPr>
      <w:r>
        <w:rPr>
          <w:rFonts w:ascii="Georgia" w:cs="Georgia" w:eastAsia="Georgia" w:hAnsi="Georgia"/>
          <w:b w:val="false"/>
          <w:bCs w:val="false"/>
          <w:i w:val="false"/>
          <w:iCs w:val="false"/>
          <w:sz w:val="24"/>
          <w:szCs w:val="24"/>
        </w:rPr>
        <w:t xml:space="preserve">The philosophical ancestry here is the “new mechanistic philosophy” of Machamer et al. (2000) and Craver (2007), supplemented by Woodward’s (2003) interventionist account of causation. A mechanism warrant licenses the inference that intervening on the input will produce the output through the specified pathway. The discount factor (d = 0.80) reflects the fact that mechanisms established in laboratory conditions may not operate identically in real buildings—the pathway exists but its magnitude, kinetics, or modulating conditions may differ.</w:t>
      </w:r>
    </w:p>
    <w:p>
      <w:pPr>
        <w:spacing w:before="120" w:after="120" w:line="276"/>
      </w:pPr>
      <w:r>
        <w:rPr>
          <w:rFonts w:ascii="Georgia" w:cs="Georgia" w:eastAsia="Georgia" w:hAnsi="Georgia"/>
          <w:b/>
          <w:bCs/>
          <w:sz w:val="24"/>
          <w:szCs w:val="24"/>
        </w:rPr>
        <w:t xml:space="preserve">Irreducibility: </w:t>
      </w:r>
      <w:r>
        <w:rPr>
          <w:rFonts w:ascii="Georgia" w:cs="Georgia" w:eastAsia="Georgia" w:hAnsi="Georgia"/>
          <w:sz w:val="24"/>
          <w:szCs w:val="24"/>
        </w:rPr>
        <w:t xml:space="preserve">MECHANISM warrants cannot be reduced to EMPIRICAL_COVARIANCE because they explain why the covariance exists, not merely that it does. Two variables can covary without any mechanism connecting them (spurious correlation through confounding). Conversely, a mechanism can exist that fails to produce observable covariance (because of cancellation, threshold effects, or contextual inhibition). The mechanism warrant adds explanatory depth that mere covariance cannot provide, and this depth matters for cross-context transfer—if you know why something works, you can predict when it will fail.</w:t>
      </w:r>
    </w:p>
    <w:p>
      <w:pPr>
        <w:pStyle w:val="Heading2"/>
        <w:spacing w:before="300" w:after="160"/>
      </w:pPr>
      <w:r>
        <w:rPr>
          <w:rFonts w:ascii="Georgia" w:cs="Georgia" w:eastAsia="Georgia" w:hAnsi="Georgia"/>
          <w:b/>
          <w:bCs/>
          <w:sz w:val="28"/>
          <w:szCs w:val="28"/>
        </w:rPr>
        <w:t xml:space="preserve">2.3 EMPIRICAL_COVARIANCE Warrants</w:t>
      </w:r>
    </w:p>
    <w:p>
      <w:pPr>
        <w:spacing w:before="120" w:after="120" w:line="276"/>
        <w:ind w:firstLine="360"/>
      </w:pPr>
      <w:r>
        <w:rPr>
          <w:rFonts w:ascii="Georgia" w:cs="Georgia" w:eastAsia="Georgia" w:hAnsi="Georgia"/>
          <w:b w:val="false"/>
          <w:bCs w:val="false"/>
          <w:i w:val="false"/>
          <w:iCs w:val="false"/>
          <w:sz w:val="24"/>
          <w:szCs w:val="24"/>
        </w:rPr>
        <w:t xml:space="preserve">An EMPIRICAL_COVARIANCE warrant asserts that a reliable statistical association has been observed between the laboratory variable and the architectural outcome. This is the bread and butter of correlational research: people in well-lit buildings report better mood (Boubekri et al., 2014); patients with nature views recover faster (Ulrich, 1984); noise above 65 dB impairs reading comprehension. The association is replicated, statistically significant, and of known effect size—but the causal mechanism may be unknown, partially known, or disputed.</w:t>
      </w:r>
    </w:p>
    <w:p>
      <w:pPr>
        <w:spacing w:before="120" w:after="120" w:line="276"/>
        <w:ind w:firstLine="360"/>
      </w:pPr>
      <w:r>
        <w:rPr>
          <w:rFonts w:ascii="Georgia" w:cs="Georgia" w:eastAsia="Georgia" w:hAnsi="Georgia"/>
          <w:b w:val="false"/>
          <w:bCs w:val="false"/>
          <w:i w:val="false"/>
          <w:iCs w:val="false"/>
          <w:sz w:val="24"/>
          <w:szCs w:val="24"/>
        </w:rPr>
        <w:t xml:space="preserve">The philosophical ancestry runs through the empiricist tradition from Hume (1748) through Mill’s methods to modern statistical inference. The key epistemological feature is that covariance is evidence for causation but does not establish it—the ancient dictum that correlation does not imply causation. The discount factor (d = 0.80) is set equal to MECHANISM warrants not because the two are equally trustworthy in all circumstances, but because strong replicated covariance data can be as informative as a partial mechanism. The critical difference is in vulnerability to confounding: EMPIRICAL_COVARIANCE warrants are inherently vulnerable, whereas MECHANISM warrants are substantially less so.</w:t>
      </w:r>
    </w:p>
    <w:p>
      <w:pPr>
        <w:spacing w:before="120" w:after="120" w:line="276"/>
      </w:pPr>
      <w:r>
        <w:rPr>
          <w:rFonts w:ascii="Georgia" w:cs="Georgia" w:eastAsia="Georgia" w:hAnsi="Georgia"/>
          <w:b/>
          <w:bCs/>
          <w:sz w:val="24"/>
          <w:szCs w:val="24"/>
        </w:rPr>
        <w:t xml:space="preserve">Irreducibility: </w:t>
      </w:r>
      <w:r>
        <w:rPr>
          <w:rFonts w:ascii="Georgia" w:cs="Georgia" w:eastAsia="Georgia" w:hAnsi="Georgia"/>
          <w:sz w:val="24"/>
          <w:szCs w:val="24"/>
        </w:rPr>
        <w:t xml:space="preserve">EMPIRICAL_COVARIANCE cannot be reduced to MECHANISM because the covariance may exist without any known mechanism (a “black box” association). It cannot be reduced to CONSTITUTIVE because the associated variables are genuinely distinct (mood is not illumination). And it provides evidence that no other warrant type provides—the brute fact of replicated statistical association under specified conditions.</w:t>
      </w:r>
    </w:p>
    <w:p>
      <w:pPr>
        <w:pStyle w:val="Heading2"/>
        <w:spacing w:before="300" w:after="160"/>
      </w:pPr>
      <w:r>
        <w:rPr>
          <w:rFonts w:ascii="Georgia" w:cs="Georgia" w:eastAsia="Georgia" w:hAnsi="Georgia"/>
          <w:b/>
          <w:bCs/>
          <w:sz w:val="28"/>
          <w:szCs w:val="28"/>
        </w:rPr>
        <w:t xml:space="preserve">2.4 FUNCTIONAL Warrants</w:t>
      </w:r>
    </w:p>
    <w:p>
      <w:pPr>
        <w:spacing w:before="120" w:after="120" w:line="276"/>
        <w:ind w:firstLine="360"/>
      </w:pPr>
      <w:r>
        <w:rPr>
          <w:rFonts w:ascii="Georgia" w:cs="Georgia" w:eastAsia="Georgia" w:hAnsi="Georgia"/>
          <w:b w:val="false"/>
          <w:bCs w:val="false"/>
          <w:i w:val="false"/>
          <w:iCs w:val="false"/>
          <w:sz w:val="24"/>
          <w:szCs w:val="24"/>
        </w:rPr>
        <w:t xml:space="preserve">A FUNCTIONAL warrant asserts that an architectural feature serves the same functional role as a laboratory stimulus, but without specifying the mediating mechanism. Plants in offices reduce stress—multiple studies confirm this—but whether the pathway involves visual complexity reduction, air quality improvement, biophilic signaling, attentional restoration, or some combination thereof is unknown. The functional warrant says: the architectural element does the same job as the laboratory stimulus, even though we do not know how.</w:t>
      </w:r>
    </w:p>
    <w:p>
      <w:pPr>
        <w:spacing w:before="120" w:after="120" w:line="276"/>
        <w:ind w:firstLine="360"/>
      </w:pPr>
      <w:r>
        <w:rPr>
          <w:rFonts w:ascii="Georgia" w:cs="Georgia" w:eastAsia="Georgia" w:hAnsi="Georgia"/>
          <w:b w:val="false"/>
          <w:bCs w:val="false"/>
          <w:i w:val="false"/>
          <w:iCs w:val="false"/>
          <w:sz w:val="24"/>
          <w:szCs w:val="24"/>
        </w:rPr>
        <w:t xml:space="preserve">The philosophical ancestry is in functionalism as developed in philosophy of mind (Putnam, 1975; Block, 1980) and extended to philosophy of science by Cummins (1975). A functional role is defined by its input-output profile, not by its internal mechanism. This is a coherent and useful epistemic category, but it carries a significant transfer risk: if you do not know how something works, you cannot predict when it will stop working. The discount factor (d = 0.65) reflects this: substantial attenuation because the absence of mechanistic understanding introduces uncertainty about boundary conditions.</w:t>
      </w:r>
    </w:p>
    <w:p>
      <w:pPr>
        <w:spacing w:before="120" w:after="120" w:line="276"/>
      </w:pPr>
      <w:r>
        <w:rPr>
          <w:rFonts w:ascii="Georgia" w:cs="Georgia" w:eastAsia="Georgia" w:hAnsi="Georgia"/>
          <w:b/>
          <w:bCs/>
          <w:sz w:val="24"/>
          <w:szCs w:val="24"/>
        </w:rPr>
        <w:t xml:space="preserve">Irreducibility: </w:t>
      </w:r>
      <w:r>
        <w:rPr>
          <w:rFonts w:ascii="Georgia" w:cs="Georgia" w:eastAsia="Georgia" w:hAnsi="Georgia"/>
          <w:sz w:val="24"/>
          <w:szCs w:val="24"/>
        </w:rPr>
        <w:t xml:space="preserve">This is where Cartwright’s (1989) objection bites hardest. She argued that functional descriptions without mechanism are epistemically thin—they tell you </w:t>
      </w:r>
      <w:r>
        <w:rPr>
          <w:rFonts w:ascii="Georgia" w:cs="Georgia" w:eastAsia="Georgia" w:hAnsi="Georgia"/>
          <w:i/>
          <w:iCs/>
          <w:sz w:val="24"/>
          <w:szCs w:val="24"/>
        </w:rPr>
        <w:t xml:space="preserve">that</w:t>
      </w:r>
      <w:r>
        <w:rPr>
          <w:rFonts w:ascii="Georgia" w:cs="Georgia" w:eastAsia="Georgia" w:hAnsi="Georgia"/>
          <w:sz w:val="24"/>
          <w:szCs w:val="24"/>
        </w:rPr>
        <w:t xml:space="preserve"> something works but not </w:t>
      </w:r>
      <w:r>
        <w:rPr>
          <w:rFonts w:ascii="Georgia" w:cs="Georgia" w:eastAsia="Georgia" w:hAnsi="Georgia"/>
          <w:i/>
          <w:iCs/>
          <w:sz w:val="24"/>
          <w:szCs w:val="24"/>
        </w:rPr>
        <w:t xml:space="preserve">why</w:t>
      </w:r>
      <w:r>
        <w:rPr>
          <w:rFonts w:ascii="Georgia" w:cs="Georgia" w:eastAsia="Georgia" w:hAnsi="Georgia"/>
          <w:sz w:val="24"/>
          <w:szCs w:val="24"/>
        </w:rPr>
        <w:t xml:space="preserve">, and therefore cannot support reliable predictions in new contexts. The ATLAS system accommodates this objection by giving FUNCTIONAL warrants a substantially lower discount factor than MECHANISM warrants. The warrant type is not redundant with MECHANISM precisely because it captures the common case where we have replicated functional evidence without mechanistic understanding. Collapsing FUNCTIONAL into MECHANISM would overstate our knowledge; collapsing it into EMPIRICAL_COVARIANCE would lose the information that the functional role has been identified.</w:t>
      </w:r>
    </w:p>
    <w:p>
      <w:pPr>
        <w:pStyle w:val="Heading2"/>
        <w:spacing w:before="300" w:after="160"/>
      </w:pPr>
      <w:r>
        <w:rPr>
          <w:rFonts w:ascii="Georgia" w:cs="Georgia" w:eastAsia="Georgia" w:hAnsi="Georgia"/>
          <w:b/>
          <w:bCs/>
          <w:sz w:val="28"/>
          <w:szCs w:val="28"/>
        </w:rPr>
        <w:t xml:space="preserve">2.5 CAPACITY Warrants</w:t>
      </w:r>
    </w:p>
    <w:p>
      <w:pPr>
        <w:spacing w:before="120" w:after="120" w:line="276"/>
        <w:ind w:firstLine="360"/>
      </w:pPr>
      <w:r>
        <w:rPr>
          <w:rFonts w:ascii="Georgia" w:cs="Georgia" w:eastAsia="Georgia" w:hAnsi="Georgia"/>
          <w:b w:val="false"/>
          <w:bCs w:val="false"/>
          <w:i w:val="false"/>
          <w:iCs w:val="false"/>
          <w:sz w:val="24"/>
          <w:szCs w:val="24"/>
        </w:rPr>
        <w:t xml:space="preserve">A CAPACITY warrant asserts that the relevant neural or cognitive system has the capacity to respond to the architectural feature, but that this capacity has not been demonstrated under real-world conditions. The visual system can detect fractal patterns; building facades contain fractal patterns; but nobody has measured fractal-processing neural activity during actual building viewing. The capacity exists in the laboratory—the system can respond—but whether it does respond in situ is unestablished.</w:t>
      </w:r>
    </w:p>
    <w:p>
      <w:pPr>
        <w:spacing w:before="120" w:after="120" w:line="276"/>
        <w:ind w:firstLine="360"/>
      </w:pPr>
      <w:r>
        <w:rPr>
          <w:rFonts w:ascii="Georgia" w:cs="Georgia" w:eastAsia="Georgia" w:hAnsi="Georgia"/>
          <w:b w:val="false"/>
          <w:bCs w:val="false"/>
          <w:i w:val="false"/>
          <w:iCs w:val="false"/>
          <w:sz w:val="24"/>
          <w:szCs w:val="24"/>
        </w:rPr>
        <w:t xml:space="preserve">The philosophical ancestry is directly in Cartwright’s (1989, 1999) capacity framework. Cartwright defines a capacity as a stable causal power that can be brought to bear when conditions are right, but that may or may not be exercised in any particular context. This is a weaker claim than either mechanism or covariance: it asserts possibility rather than actuality. The discount factor (d = 0.55) is accordingly lower—we know the system can do this, but we do not know that it does.</w:t>
      </w:r>
    </w:p>
    <w:p>
      <w:pPr>
        <w:spacing w:before="120" w:after="120" w:line="276"/>
      </w:pPr>
      <w:r>
        <w:rPr>
          <w:rFonts w:ascii="Georgia" w:cs="Georgia" w:eastAsia="Georgia" w:hAnsi="Georgia"/>
          <w:b/>
          <w:bCs/>
          <w:sz w:val="24"/>
          <w:szCs w:val="24"/>
        </w:rPr>
        <w:t xml:space="preserve">Irreducibility: </w:t>
      </w:r>
      <w:r>
        <w:rPr>
          <w:rFonts w:ascii="Georgia" w:cs="Georgia" w:eastAsia="Georgia" w:hAnsi="Georgia"/>
          <w:sz w:val="24"/>
          <w:szCs w:val="24"/>
        </w:rPr>
        <w:t xml:space="preserve">CAPACITY warrants cannot be reduced to MECHANISM because they do not assert that the mechanism operates in context—only that it could. They cannot be reduced to ANALOGICAL because the evidence is directly about the relevant system (the human visual system, the relevant neural pathway), not about an analogous system. The capacity warrant captures a real and common epistemic situation in neuroarchitecture: we know the neuroscience, we know the architectural feature, but we lack the bridging experiment that shows they interact in practice.</w:t>
      </w:r>
    </w:p>
    <w:p>
      <w:pPr>
        <w:pStyle w:val="Heading2"/>
        <w:spacing w:before="300" w:after="160"/>
      </w:pPr>
      <w:r>
        <w:rPr>
          <w:rFonts w:ascii="Georgia" w:cs="Georgia" w:eastAsia="Georgia" w:hAnsi="Georgia"/>
          <w:b/>
          <w:bCs/>
          <w:sz w:val="28"/>
          <w:szCs w:val="28"/>
        </w:rPr>
        <w:t xml:space="preserve">2.6 ANALOGICAL Warrants</w:t>
      </w:r>
    </w:p>
    <w:p>
      <w:pPr>
        <w:spacing w:before="120" w:after="120" w:line="276"/>
        <w:ind w:firstLine="360"/>
      </w:pPr>
      <w:r>
        <w:rPr>
          <w:rFonts w:ascii="Georgia" w:cs="Georgia" w:eastAsia="Georgia" w:hAnsi="Georgia"/>
          <w:b w:val="false"/>
          <w:bCs w:val="false"/>
          <w:i w:val="false"/>
          <w:iCs w:val="false"/>
          <w:sz w:val="24"/>
          <w:szCs w:val="24"/>
        </w:rPr>
        <w:t xml:space="preserve">An ANALOGICAL warrant asserts that evidence from a different domain, modality, or population is transferable to the architectural domain by virtue of structural similarity. The auditory groove response to syncopated rhythm has been studied experimentally; visual rhythm in building facades has not. The analogy suggests that visual rhythm might produce a similar response, but the analogy could fail for many reasons (different sensory modalities, different temporal scales, different attentional demands, different neural substrates).</w:t>
      </w:r>
    </w:p>
    <w:p>
      <w:pPr>
        <w:spacing w:before="120" w:after="120" w:line="276"/>
        <w:ind w:firstLine="360"/>
      </w:pPr>
      <w:r>
        <w:rPr>
          <w:rFonts w:ascii="Georgia" w:cs="Georgia" w:eastAsia="Georgia" w:hAnsi="Georgia"/>
          <w:b w:val="false"/>
          <w:bCs w:val="false"/>
          <w:i w:val="false"/>
          <w:iCs w:val="false"/>
          <w:sz w:val="24"/>
          <w:szCs w:val="24"/>
        </w:rPr>
        <w:t xml:space="preserve">The philosophical ancestry runs through the long tradition of analogical reasoning in science (Hesse, 1966; Bartha, 2010) and through the computational models of analogy (Gentner, 1983; Holyoak &amp; Thagard, 1995). Analogical reasoning is among the most creative and most fallible forms of scientific inference. It generates hypotheses rather than confirming them. The discount factor (d = 0.40) reflects severe attenuation—analogical evidence is suggestive but unreliable, and the history of science is littered with brilliant analogies that turned out to be misleading.</w:t>
      </w:r>
    </w:p>
    <w:p>
      <w:pPr>
        <w:spacing w:before="120" w:after="120" w:line="276"/>
      </w:pPr>
      <w:r>
        <w:rPr>
          <w:rFonts w:ascii="Georgia" w:cs="Georgia" w:eastAsia="Georgia" w:hAnsi="Georgia"/>
          <w:b/>
          <w:bCs/>
          <w:sz w:val="24"/>
          <w:szCs w:val="24"/>
        </w:rPr>
        <w:t xml:space="preserve">Irreducibility: </w:t>
      </w:r>
      <w:r>
        <w:rPr>
          <w:rFonts w:ascii="Georgia" w:cs="Georgia" w:eastAsia="Georgia" w:hAnsi="Georgia"/>
          <w:sz w:val="24"/>
          <w:szCs w:val="24"/>
        </w:rPr>
        <w:t xml:space="preserve">ANALOGICAL warrants cannot be reduced to any other type because they are defined by cross-domain transfer, which no other warrant type captures. EMPIRICAL_COVARIANCE evidence is within-domain; MECHANISM evidence is within-system; CAPACITY evidence is about the relevant system. Only ANALOGICAL warrants reason across the gap between a source domain (where evidence exists) and a target domain (where it is needed).</w:t>
      </w:r>
    </w:p>
    <w:p>
      <w:pPr>
        <w:pStyle w:val="Heading2"/>
        <w:spacing w:before="300" w:after="160"/>
      </w:pPr>
      <w:r>
        <w:rPr>
          <w:rFonts w:ascii="Georgia" w:cs="Georgia" w:eastAsia="Georgia" w:hAnsi="Georgia"/>
          <w:b/>
          <w:bCs/>
          <w:sz w:val="28"/>
          <w:szCs w:val="28"/>
        </w:rPr>
        <w:t xml:space="preserve">2.7 THEORETICAL_DEFAULT Warrants</w:t>
      </w:r>
    </w:p>
    <w:p>
      <w:pPr>
        <w:spacing w:before="120" w:after="120" w:line="276"/>
        <w:ind w:firstLine="360"/>
      </w:pPr>
      <w:r>
        <w:rPr>
          <w:rFonts w:ascii="Georgia" w:cs="Georgia" w:eastAsia="Georgia" w:hAnsi="Georgia"/>
          <w:b w:val="false"/>
          <w:bCs w:val="false"/>
          <w:i w:val="false"/>
          <w:iCs w:val="false"/>
          <w:sz w:val="24"/>
          <w:szCs w:val="24"/>
        </w:rPr>
        <w:t xml:space="preserve">A THEORETICAL_DEFAULT warrant is an explicit placeholder: a theoretical commitment that something matters, without empirical evidence that it does. Biophilia theory (Wilson, 1984) predicts that humans have an innate affinity for natural forms; this prediction has some empirical support but much of it remains theoretical expectation rather than confirmed finding. The THEORETICAL_DEFAULT warrant says: our theoretical framework predicts this connection, and we include it in the graph so that future evidence can update it, but we do not currently have empirical grounds for the claim.</w:t>
      </w:r>
    </w:p>
    <w:p>
      <w:pPr>
        <w:spacing w:before="120" w:after="120" w:line="276"/>
        <w:ind w:firstLine="360"/>
      </w:pPr>
      <w:r>
        <w:rPr>
          <w:rFonts w:ascii="Georgia" w:cs="Georgia" w:eastAsia="Georgia" w:hAnsi="Georgia"/>
          <w:b w:val="false"/>
          <w:bCs w:val="false"/>
          <w:i w:val="false"/>
          <w:iCs w:val="false"/>
          <w:sz w:val="24"/>
          <w:szCs w:val="24"/>
        </w:rPr>
        <w:t xml:space="preserve">The philosophical ancestry is in the hypothetico-deductive method (Popper, 1959) and in the Quinean (1951) insight that theoretical commitments are legitimate components of the web of belief. The discount factor (d = 0.25) is extreme—this is barely better than ignorance (0.50 baseline). The warrant exists not to assert knowledge but to mark the place where knowledge is needed.</w:t>
      </w:r>
    </w:p>
    <w:p>
      <w:pPr>
        <w:spacing w:before="120" w:after="120" w:line="276"/>
      </w:pPr>
      <w:r>
        <w:rPr>
          <w:rFonts w:ascii="Georgia" w:cs="Georgia" w:eastAsia="Georgia" w:hAnsi="Georgia"/>
          <w:b/>
          <w:bCs/>
          <w:sz w:val="24"/>
          <w:szCs w:val="24"/>
        </w:rPr>
        <w:t xml:space="preserve">Irreducibility: </w:t>
      </w:r>
      <w:r>
        <w:rPr>
          <w:rFonts w:ascii="Georgia" w:cs="Georgia" w:eastAsia="Georgia" w:hAnsi="Georgia"/>
          <w:sz w:val="24"/>
          <w:szCs w:val="24"/>
        </w:rPr>
        <w:t xml:space="preserve">THEORETICAL_DEFAULT warrants cannot be reduced to any empirically grounded type because they carry no empirical evidence. They cannot be eliminated from the system because their presence is informative: a claim supported only by THEORETICAL_DEFAULT warrants is a claim that urgently needs empirical investigation, and the system needs to represent this fact.</w:t>
      </w:r>
    </w:p>
    <w:p>
      <w:r>
        <w:br w:type="page"/>
      </w:r>
    </w:p>
    <w:p>
      <w:pPr>
        <w:pStyle w:val="Heading1"/>
        <w:spacing w:before="360" w:after="200"/>
      </w:pPr>
      <w:r>
        <w:rPr>
          <w:rFonts w:ascii="Georgia" w:cs="Georgia" w:eastAsia="Georgia" w:hAnsi="Georgia"/>
          <w:b/>
          <w:bCs/>
          <w:sz w:val="32"/>
          <w:szCs w:val="32"/>
        </w:rPr>
        <w:t xml:space="preserve">3. The Completeness Argument</w:t>
      </w:r>
    </w:p>
    <w:p>
      <w:pPr>
        <w:pStyle w:val="Heading2"/>
        <w:spacing w:before="300" w:after="160"/>
      </w:pPr>
      <w:r>
        <w:rPr>
          <w:rFonts w:ascii="Georgia" w:cs="Georgia" w:eastAsia="Georgia" w:hAnsi="Georgia"/>
          <w:b/>
          <w:bCs/>
          <w:sz w:val="28"/>
          <w:szCs w:val="28"/>
        </w:rPr>
        <w:t xml:space="preserve">3.1 What Completeness Means Here</w:t>
      </w:r>
    </w:p>
    <w:p>
      <w:pPr>
        <w:spacing w:before="120" w:after="120" w:line="276"/>
        <w:ind w:firstLine="360"/>
      </w:pPr>
      <w:r>
        <w:rPr>
          <w:rFonts w:ascii="Georgia" w:cs="Georgia" w:eastAsia="Georgia" w:hAnsi="Georgia"/>
          <w:b w:val="false"/>
          <w:bCs w:val="false"/>
          <w:i w:val="false"/>
          <w:iCs w:val="false"/>
          <w:sz w:val="24"/>
          <w:szCs w:val="24"/>
        </w:rPr>
        <w:t xml:space="preserve">Completeness in this context means that every legitimate epistemic relationship between a laboratory finding and an architectural application can be expressed as one of the seven warrant types (or a conjunction of them). More precisely: for any evidential bridge from laboratory data D to architectural claim C, the inferential warrant connecting D to C falls into at least one of the seven categories. There is no eighth category that the system fails to capture.</w:t>
      </w:r>
    </w:p>
    <w:p>
      <w:pPr>
        <w:spacing w:before="120" w:after="120" w:line="276"/>
        <w:ind w:firstLine="360"/>
      </w:pPr>
      <w:r>
        <w:rPr>
          <w:rFonts w:ascii="Georgia" w:cs="Georgia" w:eastAsia="Georgia" w:hAnsi="Georgia"/>
          <w:b w:val="false"/>
          <w:bCs w:val="false"/>
          <w:i w:val="false"/>
          <w:iCs w:val="false"/>
          <w:sz w:val="24"/>
          <w:szCs w:val="24"/>
        </w:rPr>
        <w:t xml:space="preserve">This is not a claim that can be proved in the mathematical sense—it is not a theorem derivable from axioms. It is, rather, an empirical-philosophical claim analogous to Church’s thesis in computability theory or the completeness claims made for argumentation scheme taxonomies in informal logic. The argument for completeness must proceed by (a) identifying the dimensions along which warrant types vary, (b) showing that the seven types partition the space defined by those dimensions, and (c) demonstrating that proposed counterexamples can be accommodated within the existing types.</w:t>
      </w:r>
    </w:p>
    <w:p>
      <w:pPr>
        <w:pStyle w:val="Heading2"/>
        <w:spacing w:before="300" w:after="160"/>
      </w:pPr>
      <w:r>
        <w:rPr>
          <w:rFonts w:ascii="Georgia" w:cs="Georgia" w:eastAsia="Georgia" w:hAnsi="Georgia"/>
          <w:b/>
          <w:bCs/>
          <w:sz w:val="28"/>
          <w:szCs w:val="28"/>
        </w:rPr>
        <w:t xml:space="preserve">3.2 The Dimensional Analysis</w:t>
      </w:r>
    </w:p>
    <w:p>
      <w:pPr>
        <w:spacing w:before="120" w:after="120" w:line="276"/>
        <w:ind w:firstLine="360"/>
      </w:pPr>
      <w:r>
        <w:rPr>
          <w:rFonts w:ascii="Georgia" w:cs="Georgia" w:eastAsia="Georgia" w:hAnsi="Georgia"/>
          <w:b w:val="false"/>
          <w:bCs w:val="false"/>
          <w:i w:val="false"/>
          <w:iCs w:val="false"/>
          <w:sz w:val="24"/>
          <w:szCs w:val="24"/>
        </w:rPr>
        <w:t xml:space="preserve">The seven warrant types can be understood as positions in a two-dimensional space defined by two independent epistemological dimensions.</w:t>
      </w:r>
    </w:p>
    <w:p>
      <w:pPr>
        <w:spacing w:before="120" w:after="120" w:line="276"/>
      </w:pPr>
      <w:r>
        <w:rPr>
          <w:rFonts w:ascii="Georgia" w:cs="Georgia" w:eastAsia="Georgia" w:hAnsi="Georgia"/>
          <w:b/>
          <w:bCs/>
          <w:sz w:val="24"/>
          <w:szCs w:val="24"/>
        </w:rPr>
        <w:t xml:space="preserve">Dimension 1: Epistemic directness. </w:t>
      </w:r>
      <w:r>
        <w:rPr>
          <w:rFonts w:ascii="Georgia" w:cs="Georgia" w:eastAsia="Georgia" w:hAnsi="Georgia"/>
          <w:sz w:val="24"/>
          <w:szCs w:val="24"/>
        </w:rPr>
        <w:t xml:space="preserve">How directly does the evidence bear on the claim? At one extreme, the evidence IS the claim (CONSTITUTIVE). At the other extreme, the evidence is about something else entirely, and the connection is hypothetical (THEORETICAL_DEFAULT). In between, the evidence bears on the claim through a known causal pathway (MECHANISM), through observed covariation (EMPIRICAL_COVARIANCE), through functional equivalence (FUNCTIONAL), through established capacity (CAPACITY), or through structural analogy (ANALOGICAL).</w:t>
      </w:r>
    </w:p>
    <w:p>
      <w:pPr>
        <w:spacing w:before="120" w:after="120" w:line="276"/>
      </w:pPr>
      <w:r>
        <w:rPr>
          <w:rFonts w:ascii="Georgia" w:cs="Georgia" w:eastAsia="Georgia" w:hAnsi="Georgia"/>
          <w:b/>
          <w:bCs/>
          <w:sz w:val="24"/>
          <w:szCs w:val="24"/>
        </w:rPr>
        <w:t xml:space="preserve">Dimension 2: Mechanistic transparency. </w:t>
      </w:r>
      <w:r>
        <w:rPr>
          <w:rFonts w:ascii="Georgia" w:cs="Georgia" w:eastAsia="Georgia" w:hAnsi="Georgia"/>
          <w:sz w:val="24"/>
          <w:szCs w:val="24"/>
        </w:rPr>
        <w:t xml:space="preserve">How much do we know about WHY the connection holds? CONSTITUTIVE warrants are maximally transparent (the connection holds by definition). MECHANISM warrants are highly transparent (we know the causal chain). EMPIRICAL_COVARIANCE warrants are opaque regarding mechanism (we see the association but not the cause). FUNCTIONAL warrants are opaque regarding mechanism but transparent regarding role. CAPACITY warrants are transparent regarding potential but opaque regarding actuality. ANALOGICAL warrants are transparent regarding the source domain but opaque regarding the target. THEORETICAL_DEFAULT warrants are maximally opaque (we have a theory but no evidence).</w:t>
      </w:r>
    </w:p>
    <w:p>
      <w:pPr>
        <w:spacing w:before="120" w:after="120" w:line="276"/>
        <w:ind w:firstLine="360"/>
      </w:pPr>
      <w:r>
        <w:rPr>
          <w:rFonts w:ascii="Georgia" w:cs="Georgia" w:eastAsia="Georgia" w:hAnsi="Georgia"/>
          <w:b w:val="false"/>
          <w:bCs w:val="false"/>
          <w:i w:val="false"/>
          <w:iCs w:val="false"/>
          <w:sz w:val="24"/>
          <w:szCs w:val="24"/>
        </w:rPr>
        <w:t xml:space="preserve">These two dimensions generate a space, and the seven warrant types occupy distinct regions within it. The question is whether there are unoccupied regions that correspond to legitimate epistemic relationships.</w:t>
      </w:r>
    </w:p>
    <w:p>
      <w:pPr>
        <w:pStyle w:val="Heading2"/>
        <w:spacing w:before="300" w:after="160"/>
      </w:pPr>
      <w:r>
        <w:rPr>
          <w:rFonts w:ascii="Georgia" w:cs="Georgia" w:eastAsia="Georgia" w:hAnsi="Georgia"/>
          <w:b/>
          <w:bCs/>
          <w:sz w:val="28"/>
          <w:szCs w:val="28"/>
        </w:rPr>
        <w:t xml:space="preserve">3.3 Candidate Eighth Types and Why They Reduce</w:t>
      </w:r>
    </w:p>
    <w:p>
      <w:pPr>
        <w:spacing w:before="120" w:after="120" w:line="276"/>
        <w:ind w:firstLine="360"/>
      </w:pPr>
      <w:r>
        <w:rPr>
          <w:rFonts w:ascii="Georgia" w:cs="Georgia" w:eastAsia="Georgia" w:hAnsi="Georgia"/>
          <w:b w:val="false"/>
          <w:bCs w:val="false"/>
          <w:i w:val="false"/>
          <w:iCs w:val="false"/>
          <w:sz w:val="24"/>
          <w:szCs w:val="24"/>
        </w:rPr>
        <w:t xml:space="preserve">Several candidate types have been proposed in the argumentation literature that might seem to require an eighth warrant category. We consider the most important ones.</w:t>
      </w:r>
    </w:p>
    <w:p>
      <w:pPr>
        <w:spacing w:before="120" w:after="120" w:line="276"/>
      </w:pPr>
      <w:r>
        <w:rPr>
          <w:rFonts w:ascii="Georgia" w:cs="Georgia" w:eastAsia="Georgia" w:hAnsi="Georgia"/>
          <w:b/>
          <w:bCs/>
          <w:sz w:val="24"/>
          <w:szCs w:val="24"/>
        </w:rPr>
        <w:t xml:space="preserve">AUTHORITY warrants. </w:t>
      </w:r>
      <w:r>
        <w:rPr>
          <w:rFonts w:ascii="Georgia" w:cs="Georgia" w:eastAsia="Georgia" w:hAnsi="Georgia"/>
          <w:sz w:val="24"/>
          <w:szCs w:val="24"/>
        </w:rPr>
        <w:t xml:space="preserve">Walton’s (2006) argumentation scheme taxonomy includes “argument from expert opinion.” Should the ATLAS system have an AUTHORITY warrant type? We argue no. Authority is a second-order epistemic property—it concerns the reliability of a source, not the type of evidence. When an expert asserts a mechanism, the warrant is MECHANISM, and the expert’s authority affects the confidence weight ω, not the warrant type τ. Authority modulates the strength of a warrant; it is not itself a kind of warrant. In Toulmin’s (1958) terms, authority provides backing for a warrant, not the warrant itself.</w:t>
      </w:r>
    </w:p>
    <w:p>
      <w:pPr>
        <w:spacing w:before="120" w:after="120" w:line="276"/>
      </w:pPr>
      <w:r>
        <w:rPr>
          <w:rFonts w:ascii="Georgia" w:cs="Georgia" w:eastAsia="Georgia" w:hAnsi="Georgia"/>
          <w:b/>
          <w:bCs/>
          <w:sz w:val="24"/>
          <w:szCs w:val="24"/>
        </w:rPr>
        <w:t xml:space="preserve">STIPULATIVE warrants. </w:t>
      </w:r>
      <w:r>
        <w:rPr>
          <w:rFonts w:ascii="Georgia" w:cs="Georgia" w:eastAsia="Georgia" w:hAnsi="Georgia"/>
          <w:sz w:val="24"/>
          <w:szCs w:val="24"/>
        </w:rPr>
        <w:t xml:space="preserve">An earlier version of the ATLAS system included STIPULATIVE warrants for definitional assertions that are matters of convention rather than discovery. We argue that these are properly subsumed under CONSTITUTIVE warrants. A stipulative definition (e.g., “we define ‘thermal comfort’ as PMV within ±0.5”) establishes a criterial relation, which is exactly what CONSTITUTIVE warrants capture. The difference between “natural” and “stipulative” constitution is a philosophical nuance that does not affect how the warrant functions in the projection to the Bayesian Network.</w:t>
      </w:r>
    </w:p>
    <w:p>
      <w:pPr>
        <w:spacing w:before="120" w:after="120" w:line="276"/>
      </w:pPr>
      <w:r>
        <w:rPr>
          <w:rFonts w:ascii="Georgia" w:cs="Georgia" w:eastAsia="Georgia" w:hAnsi="Georgia"/>
          <w:b/>
          <w:bCs/>
          <w:sz w:val="24"/>
          <w:szCs w:val="24"/>
        </w:rPr>
        <w:t xml:space="preserve">ABDUCTIVE warrants. </w:t>
      </w:r>
      <w:r>
        <w:rPr>
          <w:rFonts w:ascii="Georgia" w:cs="Georgia" w:eastAsia="Georgia" w:hAnsi="Georgia"/>
          <w:sz w:val="24"/>
          <w:szCs w:val="24"/>
        </w:rPr>
        <w:t xml:space="preserve">Inference to the best explanation (Harman, 1965; Lipton, 2004) might seem to require its own warrant type. We argue that abductive inference is a reasoning pattern that can be expressed through combinations of existing types. If the best explanation for an observed pattern is a mechanism, the warrant is MECHANISM. If the best explanation is a functional role, the warrant is FUNCTIONAL. Abduction selects among warrant types rather than constituting one.</w:t>
      </w:r>
    </w:p>
    <w:p>
      <w:pPr>
        <w:spacing w:before="120" w:after="120" w:line="276"/>
      </w:pPr>
      <w:r>
        <w:rPr>
          <w:rFonts w:ascii="Georgia" w:cs="Georgia" w:eastAsia="Georgia" w:hAnsi="Georgia"/>
          <w:b/>
          <w:bCs/>
          <w:sz w:val="24"/>
          <w:szCs w:val="24"/>
        </w:rPr>
        <w:t xml:space="preserve">STATISTICAL_MODEL warrants. </w:t>
      </w:r>
      <w:r>
        <w:rPr>
          <w:rFonts w:ascii="Georgia" w:cs="Georgia" w:eastAsia="Georgia" w:hAnsi="Georgia"/>
          <w:sz w:val="24"/>
          <w:szCs w:val="24"/>
        </w:rPr>
        <w:t xml:space="preserve">One might argue that evidence from a fitted statistical model (e.g., a structural equation model confirming a path) constitutes a distinct warrant type. We argue that statistical modeling is a method for establishing covariance (EMPIRICAL_COVARIANCE) or testing mechanisms (MECHANISM), not a separate kind of evidential bridge. The model is the instrument; the warrant type is determined by what the model reveals.</w:t>
      </w:r>
    </w:p>
    <w:p>
      <w:pPr>
        <w:spacing w:before="120" w:after="120" w:line="276"/>
      </w:pPr>
      <w:r>
        <w:rPr>
          <w:rFonts w:ascii="Georgia" w:cs="Georgia" w:eastAsia="Georgia" w:hAnsi="Georgia"/>
          <w:b/>
          <w:bCs/>
          <w:sz w:val="24"/>
          <w:szCs w:val="24"/>
        </w:rPr>
        <w:t xml:space="preserve">PHENOMENOLOGICAL warrants. </w:t>
      </w:r>
      <w:r>
        <w:rPr>
          <w:rFonts w:ascii="Georgia" w:cs="Georgia" w:eastAsia="Georgia" w:hAnsi="Georgia"/>
          <w:sz w:val="24"/>
          <w:szCs w:val="24"/>
        </w:rPr>
        <w:t xml:space="preserve">Evidence from first-person experience or qualitative reports might seem irreducible. We argue it reduces to EMPIRICAL_COVARIANCE (subjective reports covary with design features) or FUNCTIONAL (the design feature serves a function reported in experience). Phenomenology is a data source, not a warrant type.</w:t>
      </w:r>
    </w:p>
    <w:p>
      <w:pPr>
        <w:pStyle w:val="Heading2"/>
        <w:spacing w:before="300" w:after="160"/>
      </w:pPr>
      <w:r>
        <w:rPr>
          <w:rFonts w:ascii="Georgia" w:cs="Georgia" w:eastAsia="Georgia" w:hAnsi="Georgia"/>
          <w:b/>
          <w:bCs/>
          <w:sz w:val="28"/>
          <w:szCs w:val="28"/>
        </w:rPr>
        <w:t xml:space="preserve">3.4 The Completeness Claim as a Covering Theorem</w:t>
      </w:r>
    </w:p>
    <w:p>
      <w:pPr>
        <w:spacing w:before="120" w:after="120" w:line="276"/>
        <w:ind w:firstLine="360"/>
      </w:pPr>
      <w:r>
        <w:rPr>
          <w:rFonts w:ascii="Georgia" w:cs="Georgia" w:eastAsia="Georgia" w:hAnsi="Georgia"/>
          <w:b w:val="false"/>
          <w:bCs w:val="false"/>
          <w:i w:val="false"/>
          <w:iCs w:val="false"/>
          <w:sz w:val="24"/>
          <w:szCs w:val="24"/>
        </w:rPr>
        <w:t xml:space="preserve">We can state the completeness claim semi-formally as follows.</w:t>
      </w:r>
    </w:p>
    <w:p>
      <w:pPr>
        <w:spacing w:before="200" w:after="200" w:line="276"/>
      </w:pPr>
      <w:r>
        <w:rPr>
          <w:rFonts w:ascii="Georgia" w:cs="Georgia" w:eastAsia="Georgia" w:hAnsi="Georgia"/>
          <w:b/>
          <w:bCs/>
          <w:sz w:val="24"/>
          <w:szCs w:val="24"/>
        </w:rPr>
        <w:t xml:space="preserve">Claim (Warrant Completeness): </w:t>
      </w:r>
      <w:r>
        <w:rPr>
          <w:rFonts w:ascii="Georgia" w:cs="Georgia" w:eastAsia="Georgia" w:hAnsi="Georgia"/>
          <w:sz w:val="24"/>
          <w:szCs w:val="24"/>
        </w:rPr>
        <w:t xml:space="preserve">Let D be any body of evidence from laboratory research and C be any architectural claim. Let W(D, C) be the set of all inferential bridges from D to C that a competent scientist could articulate. Then for every w ∈ W(D, C), there exists at least one τ ∈ {CONSTITUTIVE, MECHANISM, EMPIRICAL_COVARIANCE, FUNCTIONAL, CAPACITY, ANALOGICAL, THEORETICAL_DEFAULT} such that w is an instance of τ.</w:t>
      </w:r>
    </w:p>
    <w:p>
      <w:pPr>
        <w:spacing w:before="120" w:after="120" w:line="276"/>
        <w:ind w:firstLine="360"/>
      </w:pPr>
      <w:r>
        <w:rPr>
          <w:rFonts w:ascii="Georgia" w:cs="Georgia" w:eastAsia="Georgia" w:hAnsi="Georgia"/>
          <w:b w:val="false"/>
          <w:bCs w:val="false"/>
          <w:i w:val="false"/>
          <w:iCs w:val="false"/>
          <w:sz w:val="24"/>
          <w:szCs w:val="24"/>
        </w:rPr>
        <w:t xml:space="preserve">The argument for this claim is inductive, not deductive. It rests on three pillars: (1) the dimensional analysis shows that the seven types span the relevant epistemological space; (2) every candidate eighth type proposed in the argumentation literature or in our own analysis reduces to an existing type; and (3) in the practical application of the ATLAS system to over 1,000 processed articles, no warrant has been encountered that resists classification. This is analogous to the status of Church’s thesis: not formally provable, but supported by every known example and by an argument that the space of possibilities has been exhausted.</w:t>
      </w:r>
    </w:p>
    <w:p>
      <w:pPr>
        <w:spacing w:before="120" w:after="120" w:line="276"/>
        <w:ind w:firstLine="360"/>
      </w:pPr>
      <w:r>
        <w:rPr>
          <w:rFonts w:ascii="Georgia" w:cs="Georgia" w:eastAsia="Georgia" w:hAnsi="Georgia"/>
          <w:b w:val="false"/>
          <w:bCs w:val="false"/>
          <w:i w:val="false"/>
          <w:iCs w:val="false"/>
          <w:sz w:val="24"/>
          <w:szCs w:val="24"/>
        </w:rPr>
        <w:t xml:space="preserve">A stronger form of the completeness argument can be made by observing that the seven types correspond to the seven distinct answers to Toulmin’s (1958) question “How do you get there?”—that is, the seven ways in which data can license a claim across the lab-to-building transfer gap. The data can be identical to the claim (CONSTITUTIVE). There can be a known causal chain (MECHANISM). There can be observed covariation (EMPIRICAL_COVARIANCE). There can be functional equivalence (FUNCTIONAL). There can be demonstrated capacity (CAPACITY). There can be structural analogy (ANALOGICAL). Or there can be only theoretical expectation (THEORETICAL_DEFAULT). These exhaust the epistemic relations between data and claim in the environmental psychology domain because they exhaust the ways evidence can bear on a claim: by identity, by causation, by correlation, by function, by capacity, by analogy, or by theory.</w:t>
      </w:r>
    </w:p>
    <w:p>
      <w:r>
        <w:br w:type="page"/>
      </w:r>
    </w:p>
    <w:p>
      <w:pPr>
        <w:pStyle w:val="Heading1"/>
        <w:spacing w:before="360" w:after="200"/>
      </w:pPr>
      <w:r>
        <w:rPr>
          <w:rFonts w:ascii="Georgia" w:cs="Georgia" w:eastAsia="Georgia" w:hAnsi="Georgia"/>
          <w:b/>
          <w:bCs/>
          <w:sz w:val="32"/>
          <w:szCs w:val="32"/>
        </w:rPr>
        <w:t xml:space="preserve">4. Consistency and Soundness of the Warrant System</w:t>
      </w:r>
    </w:p>
    <w:p>
      <w:pPr>
        <w:pStyle w:val="Heading2"/>
        <w:spacing w:before="300" w:after="160"/>
      </w:pPr>
      <w:r>
        <w:rPr>
          <w:rFonts w:ascii="Georgia" w:cs="Georgia" w:eastAsia="Georgia" w:hAnsi="Georgia"/>
          <w:b/>
          <w:bCs/>
          <w:sz w:val="28"/>
          <w:szCs w:val="28"/>
        </w:rPr>
        <w:t xml:space="preserve">4.1 What Consistency Means for a Typed Warrant System</w:t>
      </w:r>
    </w:p>
    <w:p>
      <w:pPr>
        <w:spacing w:before="120" w:after="120" w:line="276"/>
        <w:ind w:firstLine="360"/>
      </w:pPr>
      <w:r>
        <w:rPr>
          <w:rFonts w:ascii="Georgia" w:cs="Georgia" w:eastAsia="Georgia" w:hAnsi="Georgia"/>
          <w:b w:val="false"/>
          <w:bCs w:val="false"/>
          <w:i w:val="false"/>
          <w:iCs w:val="false"/>
          <w:sz w:val="24"/>
          <w:szCs w:val="24"/>
        </w:rPr>
        <w:t xml:space="preserve">In formal logic, a system is consistent if it cannot derive both a proposition and its negation. For a typed warrant system like the EWG, we need a more nuanced definition. There are at least four distinct senses in which the warrant system could be inconsistent, and we need to examine each.</w:t>
      </w:r>
    </w:p>
    <w:p>
      <w:pPr>
        <w:spacing w:before="120" w:after="120" w:line="276"/>
      </w:pPr>
      <w:r>
        <w:rPr>
          <w:rFonts w:ascii="Georgia" w:cs="Georgia" w:eastAsia="Georgia" w:hAnsi="Georgia"/>
          <w:b/>
          <w:bCs/>
          <w:sz w:val="24"/>
          <w:szCs w:val="24"/>
        </w:rPr>
        <w:t xml:space="preserve">Type-assignment consistency: </w:t>
      </w:r>
      <w:r>
        <w:rPr>
          <w:rFonts w:ascii="Georgia" w:cs="Georgia" w:eastAsia="Georgia" w:hAnsi="Georgia"/>
          <w:sz w:val="24"/>
          <w:szCs w:val="24"/>
        </w:rPr>
        <w:t xml:space="preserve">Can the same evidential bridge be legitimately assigned two different warrant types that yield contradictory implications? For example, could an edge be simultaneously CONSTITUTIVE (implying near-identity, d = 0.95) and ANALOGICAL (implying cross-domain transfer, d = 0.40)? If so, the projection function π would assign contradictory CPT entries depending on which type was chosen.</w:t>
      </w:r>
    </w:p>
    <w:p>
      <w:pPr>
        <w:spacing w:before="120" w:after="120" w:line="276"/>
      </w:pPr>
      <w:r>
        <w:rPr>
          <w:rFonts w:ascii="Georgia" w:cs="Georgia" w:eastAsia="Georgia" w:hAnsi="Georgia"/>
          <w:b/>
          <w:bCs/>
          <w:sz w:val="24"/>
          <w:szCs w:val="24"/>
        </w:rPr>
        <w:t xml:space="preserve">Discount-ordering consistency: </w:t>
      </w:r>
      <w:r>
        <w:rPr>
          <w:rFonts w:ascii="Georgia" w:cs="Georgia" w:eastAsia="Georgia" w:hAnsi="Georgia"/>
          <w:sz w:val="24"/>
          <w:szCs w:val="24"/>
        </w:rPr>
        <w:t xml:space="preserve">Is the ranking of discount factors (CONSTITUTIVE &gt; MECHANISM = EMPIRICAL_COVARIANCE &gt; FUNCTIONAL &gt; CAPACITY &gt; ANALOGICAL &gt; THEORETICAL_DEFAULT) justified? Could there be a scenario where ANALOGICAL evidence is more reliable than MECHANISM evidence, violating the ordering?</w:t>
      </w:r>
    </w:p>
    <w:p>
      <w:pPr>
        <w:spacing w:before="120" w:after="120" w:line="276"/>
      </w:pPr>
      <w:r>
        <w:rPr>
          <w:rFonts w:ascii="Georgia" w:cs="Georgia" w:eastAsia="Georgia" w:hAnsi="Georgia"/>
          <w:b/>
          <w:bCs/>
          <w:sz w:val="24"/>
          <w:szCs w:val="24"/>
        </w:rPr>
        <w:t xml:space="preserve">Compositional consistency: </w:t>
      </w:r>
      <w:r>
        <w:rPr>
          <w:rFonts w:ascii="Georgia" w:cs="Georgia" w:eastAsia="Georgia" w:hAnsi="Georgia"/>
          <w:sz w:val="24"/>
          <w:szCs w:val="24"/>
        </w:rPr>
        <w:t xml:space="preserve">When multiple warrants combine along a path or converge on a single node, do the combination rules (summing in log-odds space) preserve coherence? Could a set of individually well-formed warrants combine to produce a probability outside [0, 1] or a conditional probability table that violates the laws of probability?</w:t>
      </w:r>
    </w:p>
    <w:p>
      <w:pPr>
        <w:spacing w:before="120" w:after="120" w:line="276"/>
      </w:pPr>
      <w:r>
        <w:rPr>
          <w:rFonts w:ascii="Georgia" w:cs="Georgia" w:eastAsia="Georgia" w:hAnsi="Georgia"/>
          <w:b/>
          <w:bCs/>
          <w:sz w:val="24"/>
          <w:szCs w:val="24"/>
        </w:rPr>
        <w:t xml:space="preserve">Graph-structural consistency: </w:t>
      </w:r>
      <w:r>
        <w:rPr>
          <w:rFonts w:ascii="Georgia" w:cs="Georgia" w:eastAsia="Georgia" w:hAnsi="Georgia"/>
          <w:sz w:val="24"/>
          <w:szCs w:val="24"/>
        </w:rPr>
        <w:t xml:space="preserve">Can the typed warrant graph contain configurations (cycles, contradictory paths, competing warrants) that make the projection function ill-defined or that produce different results depending on the order of computation?</w:t>
      </w:r>
    </w:p>
    <w:p>
      <w:pPr>
        <w:pStyle w:val="Heading2"/>
        <w:spacing w:before="300" w:after="160"/>
      </w:pPr>
      <w:r>
        <w:rPr>
          <w:rFonts w:ascii="Georgia" w:cs="Georgia" w:eastAsia="Georgia" w:hAnsi="Georgia"/>
          <w:b/>
          <w:bCs/>
          <w:sz w:val="28"/>
          <w:szCs w:val="28"/>
        </w:rPr>
        <w:t xml:space="preserve">4.2 Type-Assignment Consistency: A Proof Sketch</w:t>
      </w:r>
    </w:p>
    <w:p>
      <w:pPr>
        <w:spacing w:before="120" w:after="120" w:line="276"/>
        <w:ind w:firstLine="360"/>
      </w:pPr>
      <w:r>
        <w:rPr>
          <w:rFonts w:ascii="Georgia" w:cs="Georgia" w:eastAsia="Georgia" w:hAnsi="Georgia"/>
          <w:b w:val="false"/>
          <w:bCs w:val="false"/>
          <w:i w:val="false"/>
          <w:iCs w:val="false"/>
          <w:sz w:val="24"/>
          <w:szCs w:val="24"/>
        </w:rPr>
        <w:t xml:space="preserve">We argue that the seven warrant types are mutually exclusive for any given evidential relationship, though the same pair of nodes can be connected by multiple edges of different types (each representing a different piece of evidence).</w:t>
      </w:r>
    </w:p>
    <w:p>
      <w:pPr>
        <w:spacing w:before="120" w:after="120" w:line="276"/>
      </w:pPr>
      <w:r>
        <w:rPr>
          <w:rFonts w:ascii="Georgia" w:cs="Georgia" w:eastAsia="Georgia" w:hAnsi="Georgia"/>
          <w:b/>
          <w:bCs/>
          <w:i/>
          <w:iCs/>
          <w:sz w:val="24"/>
          <w:szCs w:val="24"/>
        </w:rPr>
        <w:t xml:space="preserve">Theorem (Type Exclusivity): </w:t>
      </w:r>
      <w:r>
        <w:rPr>
          <w:rFonts w:ascii="Georgia" w:cs="Georgia" w:eastAsia="Georgia" w:hAnsi="Georgia"/>
          <w:sz w:val="24"/>
          <w:szCs w:val="24"/>
        </w:rPr>
        <w:t xml:space="preserve">For any single evidential bridge w connecting data D to claim C, w can be correctly assigned at most one warrant type τ(w).</w:t>
      </w:r>
    </w:p>
    <w:p>
      <w:pPr>
        <w:spacing w:before="120" w:after="120" w:line="276"/>
      </w:pPr>
      <w:r>
        <w:rPr>
          <w:rFonts w:ascii="Georgia" w:cs="Georgia" w:eastAsia="Georgia" w:hAnsi="Georgia"/>
          <w:i/>
          <w:iCs/>
          <w:sz w:val="24"/>
          <w:szCs w:val="24"/>
        </w:rPr>
        <w:t xml:space="preserve">Proof sketch: </w:t>
      </w:r>
      <w:r>
        <w:rPr>
          <w:rFonts w:ascii="Georgia" w:cs="Georgia" w:eastAsia="Georgia" w:hAnsi="Georgia"/>
          <w:sz w:val="24"/>
          <w:szCs w:val="24"/>
        </w:rPr>
        <w:t xml:space="preserve">The seven types are distinguished by the answer to the question “What is the nature of the inferential bridge from D to C?” The possible answers are: (1) D and C are the same thing or D is a criterion for C (CONSTITUTIVE); (2) there is a known causal chain from D to C (MECHANISM); (3) D and C have been observed to covary (EMPIRICAL_COVARIANCE); (4) D and C serve the same functional role (FUNCTIONAL); (5) the system that could connect D to C has the capacity to do so (CAPACITY); (6) the connection is inferred by analogy from another domain (ANALOGICAL); (7) the connection is predicted by theory without empirical support (THEORETICAL_DEFAULT). These seven answers are mutually exclusive because they describe different epistemic states. If D literally IS C, then it is not merely analogous to C. If a causal chain is known, then the connection is not merely theoretical. If covariation has been observed, then the connection is not merely a capacity. Each type presupposes a specific epistemic situation that excludes the others.</w:t>
      </w:r>
    </w:p>
    <w:p>
      <w:pPr>
        <w:spacing w:before="120" w:after="120" w:line="276"/>
        <w:ind w:firstLine="360"/>
      </w:pPr>
      <w:r>
        <w:rPr>
          <w:rFonts w:ascii="Georgia" w:cs="Georgia" w:eastAsia="Georgia" w:hAnsi="Georgia"/>
          <w:b w:val="false"/>
          <w:bCs w:val="false"/>
          <w:i w:val="false"/>
          <w:iCs w:val="false"/>
          <w:sz w:val="24"/>
          <w:szCs w:val="24"/>
        </w:rPr>
        <w:t xml:space="preserve">Note carefully: this does not mean that only one warrant type can connect two nodes. A single pair of nodes (e.g., “daylight exposure” and “mood”) can have multiple warrant edges, each of a different type (a MECHANISM edge from neuroscience research, an EMPIRICAL_COVARIANCE edge from field studies, an ANALOGICAL edge from animal research). The theorem says that each individual evidential bridge—each specific piece of evidence—maps to exactly one type.</w:t>
      </w:r>
    </w:p>
    <w:p>
      <w:pPr>
        <w:pStyle w:val="Heading2"/>
        <w:spacing w:before="300" w:after="160"/>
      </w:pPr>
      <w:r>
        <w:rPr>
          <w:rFonts w:ascii="Georgia" w:cs="Georgia" w:eastAsia="Georgia" w:hAnsi="Georgia"/>
          <w:b/>
          <w:bCs/>
          <w:sz w:val="28"/>
          <w:szCs w:val="28"/>
        </w:rPr>
        <w:t xml:space="preserve">4.3 Discount-Ordering Consistency</w:t>
      </w:r>
    </w:p>
    <w:p>
      <w:pPr>
        <w:spacing w:before="120" w:after="120" w:line="276"/>
        <w:ind w:firstLine="360"/>
      </w:pPr>
      <w:r>
        <w:rPr>
          <w:rFonts w:ascii="Georgia" w:cs="Georgia" w:eastAsia="Georgia" w:hAnsi="Georgia"/>
          <w:b w:val="false"/>
          <w:bCs w:val="false"/>
          <w:i w:val="false"/>
          <w:iCs w:val="false"/>
          <w:sz w:val="24"/>
          <w:szCs w:val="24"/>
        </w:rPr>
        <w:t xml:space="preserve">The discount ordering reflects a judgment about epistemic reliability for cross-context transfer—specifically, for the transfer from laboratory to real-world architectural settings. Is this ordering defensible?</w:t>
      </w:r>
    </w:p>
    <w:p>
      <w:pPr>
        <w:spacing w:before="120" w:after="120" w:line="276"/>
        <w:ind w:firstLine="360"/>
      </w:pPr>
      <w:r>
        <w:rPr>
          <w:rFonts w:ascii="Georgia" w:cs="Georgia" w:eastAsia="Georgia" w:hAnsi="Georgia"/>
          <w:b w:val="false"/>
          <w:bCs w:val="false"/>
          <w:i w:val="false"/>
          <w:iCs w:val="false"/>
          <w:sz w:val="24"/>
          <w:szCs w:val="24"/>
        </w:rPr>
        <w:t xml:space="preserve">The ordering can be grounded in the epistemological concept of modal robustness (Woodward, 2006). A warrant is more reliable insofar as the connection it asserts would survive perturbation of background conditions. CONSTITUTIVE warrants survive all perturbations (identity holds across contexts). MECHANISM warrants survive most perturbations (the mechanism operates unless a specific link is disrupted). EMPIRICAL_COVARIANCE warrants survive perturbations that preserve the confounding structure but may fail when confounders change. FUNCTIONAL warrants are vulnerable to perturbations that alter the functional role. CAPACITY warrants are vulnerable to perturbations that prevent the capacity from being exercised. ANALOGICAL warrants are vulnerable to perturbations that break the analogy. THEORETICAL_DEFAULT warrants are vulnerable to everything—they have no empirical support to anchor them.</w:t>
      </w:r>
    </w:p>
    <w:p>
      <w:pPr>
        <w:spacing w:before="120" w:after="120" w:line="276"/>
        <w:ind w:firstLine="360"/>
      </w:pPr>
      <w:r>
        <w:rPr>
          <w:rFonts w:ascii="Georgia" w:cs="Georgia" w:eastAsia="Georgia" w:hAnsi="Georgia"/>
          <w:b w:val="false"/>
          <w:bCs w:val="false"/>
          <w:i w:val="false"/>
          <w:iCs w:val="false"/>
          <w:sz w:val="24"/>
          <w:szCs w:val="24"/>
        </w:rPr>
        <w:t xml:space="preserve">This ranking is not absolute. There may be specific instances where a strong ANALOGICAL argument (from a well-understood, richly mapped analogy) is more informative than a weak MECHANISM argument (from a poorly characterized pathway). But the discount factors represent default priors, not rigid constraints. The confidence weight ω on each specific warrant edge adjusts for the strength of the particular evidence. The type determines the ceiling; the weight determines the level within that ceiling. This two-parameter design (type plus weight) prevents the kind of inconsistency that would arise from treating all instances of a type identically.</w:t>
      </w:r>
    </w:p>
    <w:p>
      <w:pPr>
        <w:pStyle w:val="Heading2"/>
        <w:spacing w:before="300" w:after="160"/>
      </w:pPr>
      <w:r>
        <w:rPr>
          <w:rFonts w:ascii="Georgia" w:cs="Georgia" w:eastAsia="Georgia" w:hAnsi="Georgia"/>
          <w:b/>
          <w:bCs/>
          <w:sz w:val="28"/>
          <w:szCs w:val="28"/>
        </w:rPr>
        <w:t xml:space="preserve">4.4 Compositional Consistency: The Log-Odds Guarantee</w:t>
      </w:r>
    </w:p>
    <w:p>
      <w:pPr>
        <w:spacing w:before="120" w:after="120" w:line="276"/>
        <w:ind w:firstLine="360"/>
      </w:pPr>
      <w:r>
        <w:rPr>
          <w:rFonts w:ascii="Georgia" w:cs="Georgia" w:eastAsia="Georgia" w:hAnsi="Georgia"/>
          <w:b w:val="false"/>
          <w:bCs w:val="false"/>
          <w:i w:val="false"/>
          <w:iCs w:val="false"/>
          <w:sz w:val="24"/>
          <w:szCs w:val="24"/>
        </w:rPr>
        <w:t xml:space="preserve">When multiple warrants converge on a single claim, they are combined to produce a conditional probability. The paper describes a linear summation formula: θ = 0.50 + Σ((ω_i - 0.50) × d(τ_i)). This formula can produce values outside [0, 1] when many strong warrants converge. The paper addresses this with the logistic (log-odds) transform: logit(θ) = Σ(logit(ω_i) × d(τ_i)), and θ = sigmoid(logit(θ)).</w:t>
      </w:r>
    </w:p>
    <w:p>
      <w:pPr>
        <w:spacing w:before="120" w:after="120" w:line="276"/>
      </w:pPr>
      <w:r>
        <w:rPr>
          <w:rFonts w:ascii="Georgia" w:cs="Georgia" w:eastAsia="Georgia" w:hAnsi="Georgia"/>
          <w:b/>
          <w:bCs/>
          <w:i/>
          <w:iCs/>
          <w:sz w:val="24"/>
          <w:szCs w:val="24"/>
        </w:rPr>
        <w:t xml:space="preserve">Theorem (Compositional Coherence): </w:t>
      </w:r>
      <w:r>
        <w:rPr>
          <w:rFonts w:ascii="Georgia" w:cs="Georgia" w:eastAsia="Georgia" w:hAnsi="Georgia"/>
          <w:sz w:val="24"/>
          <w:szCs w:val="24"/>
        </w:rPr>
        <w:t xml:space="preserve">Under the log-odds combination rule, for any finite set of warrants with confidence weights ω_i ∈ (0, 1) and discount factors d(τ_i) ∈ (0, 1), the resulting CPT entry θ ∈ (0, 1).</w:t>
      </w:r>
    </w:p>
    <w:p>
      <w:pPr>
        <w:spacing w:before="120" w:after="120" w:line="276"/>
      </w:pPr>
      <w:r>
        <w:rPr>
          <w:rFonts w:ascii="Georgia" w:cs="Georgia" w:eastAsia="Georgia" w:hAnsi="Georgia"/>
          <w:i/>
          <w:iCs/>
          <w:sz w:val="24"/>
          <w:szCs w:val="24"/>
        </w:rPr>
        <w:t xml:space="preserve">Proof: </w:t>
      </w:r>
      <w:r>
        <w:rPr>
          <w:rFonts w:ascii="Georgia" w:cs="Georgia" w:eastAsia="Georgia" w:hAnsi="Georgia"/>
          <w:sz w:val="24"/>
          <w:szCs w:val="24"/>
        </w:rPr>
        <w:t xml:space="preserve">This follows from the properties of the logistic function. The logit function maps (0,1) to (−∞, +∞). Multiplication by d ∈ (0,1) scales the log-odds but preserves finiteness. Summation of finitely many finite terms is finite. The sigmoid function maps (−∞, +∞) back to (0,1). Therefore θ is always a valid probability. This is a standard result in Bayesian reasoning (Jaynes, 2003, Chapter 4). The key insight is that the log-odds space is an additive space for independent pieces of evidence, and the sigmoid function provides a natural “squashing” that prevents overflow. No combination of warrants, no matter how numerous or how strongly confirmatory, can push θ to exactly 0 or exactly 1—consistent with the epistemological principle that no finite body of evidence yields absolute certainty.</w:t>
      </w:r>
    </w:p>
    <w:p>
      <w:pPr>
        <w:pStyle w:val="Heading2"/>
        <w:spacing w:before="300" w:after="160"/>
      </w:pPr>
      <w:r>
        <w:rPr>
          <w:rFonts w:ascii="Georgia" w:cs="Georgia" w:eastAsia="Georgia" w:hAnsi="Georgia"/>
          <w:b/>
          <w:bCs/>
          <w:sz w:val="28"/>
          <w:szCs w:val="28"/>
        </w:rPr>
        <w:t xml:space="preserve">4.5 A Constructive Example of Inconsistency</w:t>
      </w:r>
    </w:p>
    <w:p>
      <w:pPr>
        <w:spacing w:before="120" w:after="120" w:line="276"/>
        <w:ind w:firstLine="360"/>
      </w:pPr>
      <w:r>
        <w:rPr>
          <w:rFonts w:ascii="Georgia" w:cs="Georgia" w:eastAsia="Georgia" w:hAnsi="Georgia"/>
          <w:b w:val="false"/>
          <w:bCs w:val="false"/>
          <w:i w:val="false"/>
          <w:iCs w:val="false"/>
          <w:sz w:val="24"/>
          <w:szCs w:val="24"/>
        </w:rPr>
        <w:t xml:space="preserve">To understand what inconsistency would look like in this system, and to demonstrate that the actual system avoids it, we construct a hypothetical scenario in which the warrant system fails.</w:t>
      </w:r>
    </w:p>
    <w:p>
      <w:pPr>
        <w:spacing w:before="120" w:after="120" w:line="276"/>
      </w:pPr>
      <w:r>
        <w:rPr>
          <w:rFonts w:ascii="Georgia" w:cs="Georgia" w:eastAsia="Georgia" w:hAnsi="Georgia"/>
          <w:b/>
          <w:bCs/>
          <w:sz w:val="24"/>
          <w:szCs w:val="24"/>
        </w:rPr>
        <w:t xml:space="preserve">Scenario: The Contradictory Cycle. </w:t>
      </w:r>
      <w:r>
        <w:rPr>
          <w:rFonts w:ascii="Georgia" w:cs="Georgia" w:eastAsia="Georgia" w:hAnsi="Georgia"/>
          <w:sz w:val="24"/>
          <w:szCs w:val="24"/>
        </w:rPr>
        <w:t xml:space="preserve">Consider three nodes: A (architectural feature), B (mediating variable), C (outcome). Suppose the EWG contains the following edges:</w:t>
      </w:r>
    </w:p>
    <w:p>
      <w:pPr>
        <w:spacing w:before="120" w:after="120" w:line="276"/>
        <w:ind w:firstLine="360"/>
      </w:pPr>
      <w:r>
        <w:rPr>
          <w:rFonts w:ascii="Georgia" w:cs="Georgia" w:eastAsia="Georgia" w:hAnsi="Georgia"/>
          <w:b w:val="false"/>
          <w:bCs w:val="false"/>
          <w:i w:val="false"/>
          <w:iCs w:val="false"/>
          <w:sz w:val="24"/>
          <w:szCs w:val="24"/>
        </w:rPr>
        <w:t xml:space="preserve">Edge 1: A → B, type MECHANISM, ω = 0.85 (strong mechanistic evidence that A causes B).</w:t>
      </w:r>
    </w:p>
    <w:p>
      <w:pPr>
        <w:spacing w:before="120" w:after="120" w:line="276"/>
        <w:ind w:firstLine="360"/>
      </w:pPr>
      <w:r>
        <w:rPr>
          <w:rFonts w:ascii="Georgia" w:cs="Georgia" w:eastAsia="Georgia" w:hAnsi="Georgia"/>
          <w:b w:val="false"/>
          <w:bCs w:val="false"/>
          <w:i w:val="false"/>
          <w:iCs w:val="false"/>
          <w:sz w:val="24"/>
          <w:szCs w:val="24"/>
        </w:rPr>
        <w:t xml:space="preserve">Edge 2: B → C, type MECHANISM, ω = 0.80 (strong mechanistic evidence that B causes C).</w:t>
      </w:r>
    </w:p>
    <w:p>
      <w:pPr>
        <w:spacing w:before="120" w:after="120" w:line="276"/>
        <w:ind w:firstLine="360"/>
      </w:pPr>
      <w:r>
        <w:rPr>
          <w:rFonts w:ascii="Georgia" w:cs="Georgia" w:eastAsia="Georgia" w:hAnsi="Georgia"/>
          <w:b w:val="false"/>
          <w:bCs w:val="false"/>
          <w:i w:val="false"/>
          <w:iCs w:val="false"/>
          <w:sz w:val="24"/>
          <w:szCs w:val="24"/>
        </w:rPr>
        <w:t xml:space="preserve">Edge 3: A → C, type EMPIRICAL_COVARIANCE, ω = 0.30 (the observed correlation between A and C is weak and negative—A seems to be associated with less C, not more).</w:t>
      </w:r>
    </w:p>
    <w:p>
      <w:pPr>
        <w:spacing w:before="120" w:after="120" w:line="276"/>
        <w:ind w:firstLine="360"/>
      </w:pPr>
      <w:r>
        <w:rPr>
          <w:rFonts w:ascii="Georgia" w:cs="Georgia" w:eastAsia="Georgia" w:hAnsi="Georgia"/>
          <w:b w:val="false"/>
          <w:bCs w:val="false"/>
          <w:i w:val="false"/>
          <w:iCs w:val="false"/>
          <w:sz w:val="24"/>
          <w:szCs w:val="24"/>
        </w:rPr>
        <w:t xml:space="preserve">This is a genuine inconsistency in the evidence, not in the warrant system. The mechanism says A should increase C (through B), but the observed data says A is associated with decreased C. This could happen if there is an unmeasured confounder or a suppression effect.</w:t>
      </w:r>
    </w:p>
    <w:p>
      <w:pPr>
        <w:spacing w:before="120" w:after="120" w:line="276"/>
        <w:ind w:firstLine="360"/>
      </w:pPr>
      <w:r>
        <w:rPr>
          <w:rFonts w:ascii="Georgia" w:cs="Georgia" w:eastAsia="Georgia" w:hAnsi="Georgia"/>
          <w:b w:val="false"/>
          <w:bCs w:val="false"/>
          <w:i w:val="false"/>
          <w:iCs w:val="false"/>
          <w:sz w:val="24"/>
          <w:szCs w:val="24"/>
        </w:rPr>
        <w:t xml:space="preserve">The ATLAS system handles this correctly through the projection function. The two MECHANISM edges would generate a strong positive path A → B → C in the Bayesian Network. The EMPIRICAL_COVARIANCE edge would generate a direct negative arc A → C. The BN would then contain both paths, and the probabilistic inference would correctly compute the net effect—which might be positive, negative, or null depending on the relative strengths. This is not a bug; it is a feature. The EWG preserves the evidential conflict rather than hiding it, and the BN computes the quantitative resolution.</w:t>
      </w:r>
    </w:p>
    <w:p>
      <w:pPr>
        <w:spacing w:before="120" w:after="120" w:line="276"/>
        <w:ind w:firstLine="360"/>
      </w:pPr>
      <w:r>
        <w:rPr>
          <w:rFonts w:ascii="Georgia" w:cs="Georgia" w:eastAsia="Georgia" w:hAnsi="Georgia"/>
          <w:b w:val="false"/>
          <w:bCs w:val="false"/>
          <w:i w:val="false"/>
          <w:iCs w:val="false"/>
          <w:sz w:val="24"/>
          <w:szCs w:val="24"/>
        </w:rPr>
        <w:t xml:space="preserve">Now consider a scenario that would represent genuine system inconsistency:</w:t>
      </w:r>
    </w:p>
    <w:p>
      <w:pPr>
        <w:spacing w:before="120" w:after="120" w:line="276"/>
      </w:pPr>
      <w:r>
        <w:rPr>
          <w:rFonts w:ascii="Georgia" w:cs="Georgia" w:eastAsia="Georgia" w:hAnsi="Georgia"/>
          <w:b/>
          <w:bCs/>
          <w:sz w:val="24"/>
          <w:szCs w:val="24"/>
        </w:rPr>
        <w:t xml:space="preserve">Scenario: Type-Incoherent Assignment. </w:t>
      </w:r>
      <w:r>
        <w:rPr>
          <w:rFonts w:ascii="Georgia" w:cs="Georgia" w:eastAsia="Georgia" w:hAnsi="Georgia"/>
          <w:sz w:val="24"/>
          <w:szCs w:val="24"/>
        </w:rPr>
        <w:t xml:space="preserve">Suppose an edge is simultaneously tagged CONSTITUTIVE and ANALOGICAL. This would mean that the laboratory variable literally IS the architectural variable AND that the connection is based on analogy from a different domain. This is a logical contradiction: identity and analogy are mutually exclusive epistemic relationships. The system prevents this through the type-exclusivity constraint (Section 4.2). Each piece of evidence receives exactly one type assignment.</w:t>
      </w:r>
    </w:p>
    <w:p>
      <w:pPr>
        <w:spacing w:before="120" w:after="120" w:line="276"/>
        <w:ind w:firstLine="360"/>
      </w:pPr>
      <w:r>
        <w:rPr>
          <w:rFonts w:ascii="Georgia" w:cs="Georgia" w:eastAsia="Georgia" w:hAnsi="Georgia"/>
          <w:b w:val="false"/>
          <w:bCs w:val="false"/>
          <w:i w:val="false"/>
          <w:iCs w:val="false"/>
          <w:sz w:val="24"/>
          <w:szCs w:val="24"/>
        </w:rPr>
        <w:t xml:space="preserve">A second form of genuine inconsistency would arise from discount factor incoherence:</w:t>
      </w:r>
    </w:p>
    <w:p>
      <w:pPr>
        <w:spacing w:before="120" w:after="120" w:line="276"/>
      </w:pPr>
      <w:r>
        <w:rPr>
          <w:rFonts w:ascii="Georgia" w:cs="Georgia" w:eastAsia="Georgia" w:hAnsi="Georgia"/>
          <w:b/>
          <w:bCs/>
          <w:sz w:val="24"/>
          <w:szCs w:val="24"/>
        </w:rPr>
        <w:t xml:space="preserve">Scenario: Discount Reversal. </w:t>
      </w:r>
      <w:r>
        <w:rPr>
          <w:rFonts w:ascii="Georgia" w:cs="Georgia" w:eastAsia="Georgia" w:hAnsi="Georgia"/>
          <w:sz w:val="24"/>
          <w:szCs w:val="24"/>
        </w:rPr>
        <w:t xml:space="preserve">Suppose we had d(ANALOGICAL) &gt; d(MECHANISM). Then a claim supported only by analogy would be projected with higher confidence than a claim supported by a known causal mechanism. This would violate the modal robustness ordering and produce systematically misleading probability assignments. The system prevents this through the fixed ordering of discount factors, which is grounded in the epistemological analysis of Section 4.3.</w:t>
      </w:r>
    </w:p>
    <w:p>
      <w:pPr>
        <w:pStyle w:val="Heading2"/>
        <w:spacing w:before="300" w:after="160"/>
      </w:pPr>
      <w:r>
        <w:rPr>
          <w:rFonts w:ascii="Georgia" w:cs="Georgia" w:eastAsia="Georgia" w:hAnsi="Georgia"/>
          <w:b/>
          <w:bCs/>
          <w:sz w:val="28"/>
          <w:szCs w:val="28"/>
        </w:rPr>
        <w:t xml:space="preserve">4.6 Redundancy Analysis</w:t>
      </w:r>
    </w:p>
    <w:p>
      <w:pPr>
        <w:spacing w:before="120" w:after="120" w:line="276"/>
        <w:ind w:firstLine="360"/>
      </w:pPr>
      <w:r>
        <w:rPr>
          <w:rFonts w:ascii="Georgia" w:cs="Georgia" w:eastAsia="Georgia" w:hAnsi="Georgia"/>
          <w:b w:val="false"/>
          <w:bCs w:val="false"/>
          <w:i w:val="false"/>
          <w:iCs w:val="false"/>
          <w:sz w:val="24"/>
          <w:szCs w:val="24"/>
        </w:rPr>
        <w:t xml:space="preserve">A separate concern from inconsistency is redundancy: are all seven types genuinely distinct, or could the system be simplified without loss?</w:t>
      </w:r>
    </w:p>
    <w:p>
      <w:pPr>
        <w:spacing w:before="120" w:after="120" w:line="276"/>
        <w:ind w:firstLine="360"/>
      </w:pPr>
      <w:r>
        <w:rPr>
          <w:rFonts w:ascii="Georgia" w:cs="Georgia" w:eastAsia="Georgia" w:hAnsi="Georgia"/>
          <w:b w:val="false"/>
          <w:bCs w:val="false"/>
          <w:i w:val="false"/>
          <w:iCs w:val="false"/>
          <w:sz w:val="24"/>
          <w:szCs w:val="24"/>
        </w:rPr>
        <w:t xml:space="preserve">The strongest candidate for redundancy is the MECHANISM/EMPIRICAL_COVARIANCE pair, which share the same discount factor (d = 0.80). If they have the same discount, why distinguish them? The answer is that they differ in vulnerability to confounding, in their implications for intervention, and in the kind of new evidence that would update them. A new randomized controlled trial strengthens an EMPIRICAL_COVARIANCE warrant but does not add to a MECHANISM warrant. A new study identifying the biochemical pathway strengthens a MECHANISM warrant but does not add to an EMPIRICAL_COVARIANCE warrant. Collapsing the two types would lose this information, which is essential for the EWG’s role as an epistemic audit trail.</w:t>
      </w:r>
    </w:p>
    <w:p>
      <w:pPr>
        <w:spacing w:before="120" w:after="120" w:line="276"/>
        <w:ind w:firstLine="360"/>
      </w:pPr>
      <w:r>
        <w:rPr>
          <w:rFonts w:ascii="Georgia" w:cs="Georgia" w:eastAsia="Georgia" w:hAnsi="Georgia"/>
          <w:b w:val="false"/>
          <w:bCs w:val="false"/>
          <w:i w:val="false"/>
          <w:iCs w:val="false"/>
          <w:sz w:val="24"/>
          <w:szCs w:val="24"/>
        </w:rPr>
        <w:t xml:space="preserve">The FUNCTIONAL/CAPACITY pair also invites redundancy analysis. Both occupy intermediate positions in the discount hierarchy and both concern potential rather than demonstrated effects. But they differ in a crucial respect: FUNCTIONAL warrants assert that the effect has been demonstrated (inputs produce outputs in the laboratory) without knowing the mechanism, while CAPACITY warrants assert only that the relevant system could produce the effect. The former is empirically grounded; the latter is theoretically grounded. Collapsing them would lose the distinction between “it works but we don’t know why” and “it could work but we haven’t shown it does.”</w:t>
      </w:r>
    </w:p>
    <w:p>
      <w:r>
        <w:br w:type="page"/>
      </w:r>
    </w:p>
    <w:p>
      <w:pPr>
        <w:pStyle w:val="Heading1"/>
        <w:spacing w:before="360" w:after="200"/>
      </w:pPr>
      <w:r>
        <w:rPr>
          <w:rFonts w:ascii="Georgia" w:cs="Georgia" w:eastAsia="Georgia" w:hAnsi="Georgia"/>
          <w:b/>
          <w:bCs/>
          <w:sz w:val="32"/>
          <w:szCs w:val="32"/>
        </w:rPr>
        <w:t xml:space="preserve">5. Graph-Theoretic Properties of the EWG</w:t>
      </w:r>
    </w:p>
    <w:p>
      <w:pPr>
        <w:pStyle w:val="Heading2"/>
        <w:spacing w:before="300" w:after="160"/>
      </w:pPr>
      <w:r>
        <w:rPr>
          <w:rFonts w:ascii="Georgia" w:cs="Georgia" w:eastAsia="Georgia" w:hAnsi="Georgia"/>
          <w:b/>
          <w:bCs/>
          <w:sz w:val="28"/>
          <w:szCs w:val="28"/>
        </w:rPr>
        <w:t xml:space="preserve">5.1 The EWG as a Formal Object</w:t>
      </w:r>
    </w:p>
    <w:p>
      <w:pPr>
        <w:spacing w:before="120" w:after="120" w:line="276"/>
        <w:ind w:firstLine="360"/>
      </w:pPr>
      <w:r>
        <w:rPr>
          <w:rFonts w:ascii="Georgia" w:cs="Georgia" w:eastAsia="Georgia" w:hAnsi="Georgia"/>
          <w:b w:val="false"/>
          <w:bCs w:val="false"/>
          <w:i w:val="false"/>
          <w:iCs w:val="false"/>
          <w:sz w:val="24"/>
          <w:szCs w:val="24"/>
        </w:rPr>
        <w:t xml:space="preserve">The Epistemic Warrant Graph is formally a labeled directed multigraph (more precisely, a directed multi-relational graph) W = (N, E, τ, ω), where N is a finite set of proposition-nodes, E ⊆ N × N is a set of directed edges (with parallel edges permitted between the same pair of nodes), τ: E → T is a type-assignment function mapping each edge to one of seven types, and ω: E → (0,1) is a weight function assigning confidence to each edge.</w:t>
      </w:r>
    </w:p>
    <w:p>
      <w:pPr>
        <w:spacing w:before="120" w:after="120" w:line="276"/>
        <w:ind w:firstLine="360"/>
      </w:pPr>
      <w:r>
        <w:rPr>
          <w:rFonts w:ascii="Georgia" w:cs="Georgia" w:eastAsia="Georgia" w:hAnsi="Georgia"/>
          <w:b w:val="false"/>
          <w:bCs w:val="false"/>
          <w:i w:val="false"/>
          <w:iCs w:val="false"/>
          <w:sz w:val="24"/>
          <w:szCs w:val="24"/>
        </w:rPr>
        <w:t xml:space="preserve">Unlike the Bayesian Network (which must be a DAG—a directed acyclic graph), the EWG is not required to be acyclic. This is a deliberate design choice with important consequences. Epistemic warrant relationships can be reciprocal: evidence that A supports B may coexist with evidence that B supports A, creating a cycle. For example, the relationship between daylight and serotonin involves a cycle at the theoretical level: daylight promotes serotonin production, and serotonin affects light-seeking behavior. In the EWG, both edges are legitimate warrant relationships. In the BN, this cycle must be broken during projection (since BNs must be acyclic). The projection function π_S handles this by temporal ordering or by designating one direction as the dominant causal flow.</w:t>
      </w:r>
    </w:p>
    <w:p>
      <w:pPr>
        <w:pStyle w:val="Heading2"/>
        <w:spacing w:before="300" w:after="160"/>
      </w:pPr>
      <w:r>
        <w:rPr>
          <w:rFonts w:ascii="Georgia" w:cs="Georgia" w:eastAsia="Georgia" w:hAnsi="Georgia"/>
          <w:b/>
          <w:bCs/>
          <w:sz w:val="28"/>
          <w:szCs w:val="28"/>
        </w:rPr>
        <w:t xml:space="preserve">5.2 Cycles in the EWG: When and Why They Arise</w:t>
      </w:r>
    </w:p>
    <w:p>
      <w:pPr>
        <w:spacing w:before="120" w:after="120" w:line="276"/>
        <w:ind w:firstLine="360"/>
      </w:pPr>
      <w:r>
        <w:rPr>
          <w:rFonts w:ascii="Georgia" w:cs="Georgia" w:eastAsia="Georgia" w:hAnsi="Georgia"/>
          <w:b w:val="false"/>
          <w:bCs w:val="false"/>
          <w:i w:val="false"/>
          <w:iCs w:val="false"/>
          <w:sz w:val="24"/>
          <w:szCs w:val="24"/>
        </w:rPr>
        <w:t xml:space="preserve">Cycles in the EWG can arise in several ways, and not all cycles are problematic.</w:t>
      </w:r>
    </w:p>
    <w:p>
      <w:pPr>
        <w:spacing w:before="120" w:after="120" w:line="276"/>
      </w:pPr>
      <w:r>
        <w:rPr>
          <w:rFonts w:ascii="Georgia" w:cs="Georgia" w:eastAsia="Georgia" w:hAnsi="Georgia"/>
          <w:b/>
          <w:bCs/>
          <w:sz w:val="24"/>
          <w:szCs w:val="24"/>
        </w:rPr>
        <w:t xml:space="preserve">Homogeneous cycles </w:t>
      </w:r>
      <w:r>
        <w:rPr>
          <w:rFonts w:ascii="Georgia" w:cs="Georgia" w:eastAsia="Georgia" w:hAnsi="Georgia"/>
          <w:sz w:val="24"/>
          <w:szCs w:val="24"/>
        </w:rPr>
        <w:t xml:space="preserve">(all edges of the same type) are the simplest case. A cycle where every edge is MECHANISM (A causes B causes C causes A) represents a feedback loop, which is a real feature of biological and environmental systems. Such cycles are handled by standard techniques from dynamic systems theory when projected to the BN: the cycle is unrolled temporally (A_t1 → B_t2 → C_t3 → A_t4) or represented as an equilibrium.</w:t>
      </w:r>
    </w:p>
    <w:p>
      <w:pPr>
        <w:spacing w:before="120" w:after="120" w:line="276"/>
      </w:pPr>
      <w:r>
        <w:rPr>
          <w:rFonts w:ascii="Georgia" w:cs="Georgia" w:eastAsia="Georgia" w:hAnsi="Georgia"/>
          <w:b/>
          <w:bCs/>
          <w:sz w:val="24"/>
          <w:szCs w:val="24"/>
        </w:rPr>
        <w:t xml:space="preserve">Heterogeneous cycles </w:t>
      </w:r>
      <w:r>
        <w:rPr>
          <w:rFonts w:ascii="Georgia" w:cs="Georgia" w:eastAsia="Georgia" w:hAnsi="Georgia"/>
          <w:sz w:val="24"/>
          <w:szCs w:val="24"/>
        </w:rPr>
        <w:t xml:space="preserve">(edges of different types) are more interesting. Consider: A → B (MECHANISM), B → C (EMPIRICAL_COVARIANCE), C → A (ANALOGICAL). This cycle asserts: a mechanism links A to B; B and C covary; and C is analogous to A. This is not contradictory—it is a coherent epistemic structure representing three different kinds of evidence that happen to form a cycle. But it does require careful handling during projection, because the three edge types have different discount factors and different implications for intervention.</w:t>
      </w:r>
    </w:p>
    <w:p>
      <w:pPr>
        <w:spacing w:before="120" w:after="120" w:line="276"/>
      </w:pPr>
      <w:r>
        <w:rPr>
          <w:rFonts w:ascii="Georgia" w:cs="Georgia" w:eastAsia="Georgia" w:hAnsi="Georgia"/>
          <w:b/>
          <w:bCs/>
          <w:sz w:val="24"/>
          <w:szCs w:val="24"/>
        </w:rPr>
        <w:t xml:space="preserve">Contradictory cycles </w:t>
      </w:r>
      <w:r>
        <w:rPr>
          <w:rFonts w:ascii="Georgia" w:cs="Georgia" w:eastAsia="Georgia" w:hAnsi="Georgia"/>
          <w:sz w:val="24"/>
          <w:szCs w:val="24"/>
        </w:rPr>
        <w:t xml:space="preserve">arise when edges in a cycle carry conflicting valence. For example: A → B (MECHANISM, positive: A increases B), B → A (EMPIRICAL_COVARIANCE, negative: B is associated with decreased A). This represents a genuine evidential conflict—the mechanism says one thing, the data say another. The EWG preserves this conflict rather than resolving it, and the projection function computes the net effect. This is analogous to how a BN can contain both a direct positive effect and an indirect negative effect (through a mediator), and the net effect depends on the magnitudes.</w:t>
      </w:r>
    </w:p>
    <w:p>
      <w:pPr>
        <w:pStyle w:val="Heading2"/>
        <w:spacing w:before="300" w:after="160"/>
      </w:pPr>
      <w:r>
        <w:rPr>
          <w:rFonts w:ascii="Georgia" w:cs="Georgia" w:eastAsia="Georgia" w:hAnsi="Georgia"/>
          <w:b/>
          <w:bCs/>
          <w:sz w:val="28"/>
          <w:szCs w:val="28"/>
        </w:rPr>
        <w:t xml:space="preserve">5.3 Can Typed Edges Create Logical Contradictions?</w:t>
      </w:r>
    </w:p>
    <w:p>
      <w:pPr>
        <w:spacing w:before="120" w:after="120" w:line="276"/>
        <w:ind w:firstLine="360"/>
      </w:pPr>
      <w:r>
        <w:rPr>
          <w:rFonts w:ascii="Georgia" w:cs="Georgia" w:eastAsia="Georgia" w:hAnsi="Georgia"/>
          <w:b w:val="false"/>
          <w:bCs w:val="false"/>
          <w:i w:val="false"/>
          <w:iCs w:val="false"/>
          <w:sz w:val="24"/>
          <w:szCs w:val="24"/>
        </w:rPr>
        <w:t xml:space="preserve">We now address a deeper question: can the type system itself create contradictions, independent of the valence of the edges?</w:t>
      </w:r>
    </w:p>
    <w:p>
      <w:pPr>
        <w:spacing w:before="120" w:after="120" w:line="276"/>
        <w:ind w:firstLine="360"/>
      </w:pPr>
      <w:r>
        <w:rPr>
          <w:rFonts w:ascii="Georgia" w:cs="Georgia" w:eastAsia="Georgia" w:hAnsi="Georgia"/>
          <w:b w:val="false"/>
          <w:bCs w:val="false"/>
          <w:i w:val="false"/>
          <w:iCs w:val="false"/>
          <w:sz w:val="24"/>
          <w:szCs w:val="24"/>
        </w:rPr>
        <w:t xml:space="preserve">The answer is no, and the reason is structural. The seven warrant types are predicates on edges, not on paths. When we traverse a path A → B → C where A → B is MECHANISM and B → C is EMPIRICAL_COVARIANCE, the path as a whole does not have a single type—it has a type sequence (MECHANISM, EMPIRICAL_COVARIANCE). The projection function handles this by computing the contribution of each edge independently and combining them according to the log-odds rule.</w:t>
      </w:r>
    </w:p>
    <w:p>
      <w:pPr>
        <w:spacing w:before="120" w:after="120" w:line="276"/>
        <w:ind w:firstLine="360"/>
      </w:pPr>
      <w:r>
        <w:rPr>
          <w:rFonts w:ascii="Georgia" w:cs="Georgia" w:eastAsia="Georgia" w:hAnsi="Georgia"/>
          <w:b w:val="false"/>
          <w:bCs w:val="false"/>
          <w:i w:val="false"/>
          <w:iCs w:val="false"/>
          <w:sz w:val="24"/>
          <w:szCs w:val="24"/>
        </w:rPr>
        <w:t xml:space="preserve">The types cannot contradict each other because they are not propositional—they are labels on edges, not assertions that can be true or false. A MECHANISM label on edge A → B asserts “the evidence for A→B is mechanistic.” An EMPIRICAL_COVARIANCE label on edge A → B asserts “the evidence for A→B is correlational.” These are different edges (parallel edges in the multigraph) representing different pieces of evidence. They do not contradict each other; they complement each other. The only contradiction would be assigning two types to the same piece of evidence, which is prevented by type exclusivity.</w:t>
      </w:r>
    </w:p>
    <w:p>
      <w:pPr>
        <w:pStyle w:val="Heading2"/>
        <w:spacing w:before="300" w:after="160"/>
      </w:pPr>
      <w:r>
        <w:rPr>
          <w:rFonts w:ascii="Georgia" w:cs="Georgia" w:eastAsia="Georgia" w:hAnsi="Georgia"/>
          <w:b/>
          <w:bCs/>
          <w:sz w:val="28"/>
          <w:szCs w:val="28"/>
        </w:rPr>
        <w:t xml:space="preserve">5.4 Composition of Warrant Types Along Paths</w:t>
      </w:r>
    </w:p>
    <w:p>
      <w:pPr>
        <w:spacing w:before="120" w:after="120" w:line="276"/>
        <w:ind w:firstLine="360"/>
      </w:pPr>
      <w:r>
        <w:rPr>
          <w:rFonts w:ascii="Georgia" w:cs="Georgia" w:eastAsia="Georgia" w:hAnsi="Georgia"/>
          <w:b w:val="false"/>
          <w:bCs w:val="false"/>
          <w:i w:val="false"/>
          <w:iCs w:val="false"/>
          <w:sz w:val="24"/>
          <w:szCs w:val="24"/>
        </w:rPr>
        <w:t xml:space="preserve">An important question for the graph theory of the EWG is how warrant types compose along paths. If the path from A to C goes through B, and A→B is MECHANISM while B→C is ANALOGICAL, what is the effective warrant type of the composed path A→B→C?</w:t>
      </w:r>
    </w:p>
    <w:p>
      <w:pPr>
        <w:spacing w:before="120" w:after="120" w:line="276"/>
        <w:ind w:firstLine="360"/>
      </w:pPr>
      <w:r>
        <w:rPr>
          <w:rFonts w:ascii="Georgia" w:cs="Georgia" w:eastAsia="Georgia" w:hAnsi="Georgia"/>
          <w:b w:val="false"/>
          <w:bCs w:val="false"/>
          <w:i w:val="false"/>
          <w:iCs w:val="false"/>
          <w:sz w:val="24"/>
          <w:szCs w:val="24"/>
        </w:rPr>
        <w:t xml:space="preserve">We propose a composition principle: the effective reliability of a multi-hop path is bounded by the weakest link—the edge with the lowest discount factor. This is analogous to the principle in logic that a chain of reasoning is only as strong as its weakest inference. Formally:</w:t>
      </w:r>
    </w:p>
    <w:p>
      <w:pPr>
        <w:spacing w:before="120" w:after="120" w:line="276"/>
      </w:pPr>
      <w:r>
        <w:rPr>
          <w:rFonts w:ascii="Georgia" w:cs="Georgia" w:eastAsia="Georgia" w:hAnsi="Georgia"/>
          <w:b/>
          <w:bCs/>
          <w:i/>
          <w:iCs/>
          <w:sz w:val="24"/>
          <w:szCs w:val="24"/>
        </w:rPr>
        <w:t xml:space="preserve">Principle (Minimum Discount Composition): </w:t>
      </w:r>
      <w:r>
        <w:rPr>
          <w:rFonts w:ascii="Georgia" w:cs="Georgia" w:eastAsia="Georgia" w:hAnsi="Georgia"/>
          <w:sz w:val="24"/>
          <w:szCs w:val="24"/>
        </w:rPr>
        <w:t xml:space="preserve">For a path P = e_1, e_2, ..., e_k, the effective discount of the path is d_eff(P) = min(d(τ(e_1)), d(τ(e_2)), ..., d(τ(e_k))).</w:t>
      </w:r>
    </w:p>
    <w:p>
      <w:pPr>
        <w:spacing w:before="120" w:after="120" w:line="276"/>
        <w:ind w:firstLine="360"/>
      </w:pPr>
      <w:r>
        <w:rPr>
          <w:rFonts w:ascii="Georgia" w:cs="Georgia" w:eastAsia="Georgia" w:hAnsi="Georgia"/>
          <w:b w:val="false"/>
          <w:bCs w:val="false"/>
          <w:i w:val="false"/>
          <w:iCs w:val="false"/>
          <w:sz w:val="24"/>
          <w:szCs w:val="24"/>
        </w:rPr>
        <w:t xml:space="preserve">This principle means that a chain of MECHANISM warrants is no less reliable than a single MECHANISM warrant (since min(0.80, 0.80, ..., 0.80) = 0.80), but a chain containing a single ANALOGICAL link is no more reliable than an ANALOGICAL warrant alone (since min(..., 0.40, ...) = 0.40). The weakest link dominates. This is a conservative choice—it prevents the system from claiming stronger evidence than the weakest step in a chain of reasoning supports.</w:t>
      </w:r>
    </w:p>
    <w:p>
      <w:pPr>
        <w:spacing w:before="120" w:after="120" w:line="276"/>
        <w:ind w:firstLine="360"/>
      </w:pPr>
      <w:r>
        <w:rPr>
          <w:rFonts w:ascii="Georgia" w:cs="Georgia" w:eastAsia="Georgia" w:hAnsi="Georgia"/>
          <w:b w:val="false"/>
          <w:bCs w:val="false"/>
          <w:i w:val="false"/>
          <w:iCs w:val="false"/>
          <w:sz w:val="24"/>
          <w:szCs w:val="24"/>
        </w:rPr>
        <w:t xml:space="preserve">This minimum-discount composition has a nice graph-theoretic property: it makes the effective discount of any path computable in time proportional to the path length, and it makes the strongest path between two nodes (the path with the highest minimum discount) computable by a variant of Dijkstra’s algorithm where we maximize the minimum edge weight. This is the classical “widest path” or “bottleneck shortest path” problem in graph theory (Pollack, 1960), which is solvable in O(E log V) time.</w:t>
      </w:r>
    </w:p>
    <w:p>
      <w:r>
        <w:br w:type="page"/>
      </w:r>
    </w:p>
    <w:p>
      <w:pPr>
        <w:pStyle w:val="Heading1"/>
        <w:spacing w:before="360" w:after="200"/>
      </w:pPr>
      <w:r>
        <w:rPr>
          <w:rFonts w:ascii="Georgia" w:cs="Georgia" w:eastAsia="Georgia" w:hAnsi="Georgia"/>
          <w:b/>
          <w:bCs/>
          <w:sz w:val="32"/>
          <w:szCs w:val="32"/>
        </w:rPr>
        <w:t xml:space="preserve">6. Analogous Formal Systems and Analytical Techniques</w:t>
      </w:r>
    </w:p>
    <w:p>
      <w:pPr>
        <w:pStyle w:val="Heading2"/>
        <w:spacing w:before="300" w:after="160"/>
      </w:pPr>
      <w:r>
        <w:rPr>
          <w:rFonts w:ascii="Georgia" w:cs="Georgia" w:eastAsia="Georgia" w:hAnsi="Georgia"/>
          <w:b/>
          <w:bCs/>
          <w:sz w:val="28"/>
          <w:szCs w:val="28"/>
        </w:rPr>
        <w:t xml:space="preserve">6.1 Multi-Relational Graphs in Knowledge Representation</w:t>
      </w:r>
    </w:p>
    <w:p>
      <w:pPr>
        <w:spacing w:before="120" w:after="120" w:line="276"/>
        <w:ind w:firstLine="360"/>
      </w:pPr>
      <w:r>
        <w:rPr>
          <w:rFonts w:ascii="Georgia" w:cs="Georgia" w:eastAsia="Georgia" w:hAnsi="Georgia"/>
          <w:b w:val="false"/>
          <w:bCs w:val="false"/>
          <w:i w:val="false"/>
          <w:iCs w:val="false"/>
          <w:sz w:val="24"/>
          <w:szCs w:val="24"/>
        </w:rPr>
        <w:t xml:space="preserve">The EWG is not the first system to use a directed graph with typed, weighted edges to represent knowledge. Several analogous systems exist in AI, graph theory, and knowledge representation, and their formal properties shed light on the EWG.</w:t>
      </w:r>
    </w:p>
    <w:p>
      <w:pPr>
        <w:spacing w:before="120" w:after="120" w:line="276"/>
      </w:pPr>
      <w:r>
        <w:rPr>
          <w:rFonts w:ascii="Georgia" w:cs="Georgia" w:eastAsia="Georgia" w:hAnsi="Georgia"/>
          <w:b/>
          <w:bCs/>
          <w:sz w:val="24"/>
          <w:szCs w:val="24"/>
        </w:rPr>
        <w:t xml:space="preserve">Knowledge Graphs (Freebase, Wikidata, DBpedia). </w:t>
      </w:r>
      <w:r>
        <w:rPr>
          <w:rFonts w:ascii="Georgia" w:cs="Georgia" w:eastAsia="Georgia" w:hAnsi="Georgia"/>
          <w:sz w:val="24"/>
          <w:szCs w:val="24"/>
        </w:rPr>
        <w:t xml:space="preserve">Modern knowledge graphs are multi-relational directed graphs where edges carry type labels (e.g., “bornIn,” “authorOf,” “capitalOf”). Consistency in knowledge graphs is typically enforced through schema constraints (using SHACL or OWL ontologies) that specify which types of nodes can be connected by which types of edges. The EWG’s type-exclusivity constraint is analogous to a schema constraint: it specifies that each evidence edge must carry exactly one type label. The knowledge graph community has developed extensive machinery for detecting and resolving inconsistencies—including constraint propagation, ontology reasoning, and link prediction—that could be adapted for the EWG.</w:t>
      </w:r>
    </w:p>
    <w:p>
      <w:pPr>
        <w:spacing w:before="120" w:after="120" w:line="276"/>
      </w:pPr>
      <w:r>
        <w:rPr>
          <w:rFonts w:ascii="Georgia" w:cs="Georgia" w:eastAsia="Georgia" w:hAnsi="Georgia"/>
          <w:b/>
          <w:bCs/>
          <w:sz w:val="24"/>
          <w:szCs w:val="24"/>
        </w:rPr>
        <w:t xml:space="preserve">Dempster-Shafer Belief Networks. </w:t>
      </w:r>
      <w:r>
        <w:rPr>
          <w:rFonts w:ascii="Georgia" w:cs="Georgia" w:eastAsia="Georgia" w:hAnsi="Georgia"/>
          <w:sz w:val="24"/>
          <w:szCs w:val="24"/>
        </w:rPr>
        <w:t xml:space="preserve">Dempster-Shafer theory (Shafer, 1976) provides an alternative to Bayesian probability that explicitly represents ignorance through belief functions. A Dempster-Shafer belief network is a directed graph where edges carry mass functions rather than conditional probabilities. The distinction between belief (lower bound) and plausibility (upper bound) in Dempster-Shafer theory is analogous to the EWG’s distinction between warrant types: both systems maintain richer information than a single probability and project to simpler probabilistic representations for computation. The combination rule in Dempster-Shafer theory (Dempster’s rule of combination) is analogous to the log-odds combination in the EWG—both aggregate independent pieces of evidence while maintaining coherence.</w:t>
      </w:r>
    </w:p>
    <w:p>
      <w:pPr>
        <w:spacing w:before="120" w:after="120" w:line="276"/>
      </w:pPr>
      <w:r>
        <w:rPr>
          <w:rFonts w:ascii="Georgia" w:cs="Georgia" w:eastAsia="Georgia" w:hAnsi="Georgia"/>
          <w:b/>
          <w:bCs/>
          <w:sz w:val="24"/>
          <w:szCs w:val="24"/>
        </w:rPr>
        <w:t xml:space="preserve">Argumentation Frameworks (Dung, 1995). </w:t>
      </w:r>
      <w:r>
        <w:rPr>
          <w:rFonts w:ascii="Georgia" w:cs="Georgia" w:eastAsia="Georgia" w:hAnsi="Georgia"/>
          <w:sz w:val="24"/>
          <w:szCs w:val="24"/>
        </w:rPr>
        <w:t xml:space="preserve">Abstract argumentation frameworks represent arguments as nodes and attacks as edges, defining which arguments are “acceptable” given a set of attacks. Bipolar argumentation frameworks (Cayrol &amp; Lagasquie-Schiex, 2005) add support edges alongside attack edges, creating a multi-relational structure. The EWG’s seven edge types can be seen as a much richer bipolar framework where the distinction between “support” types matters for determining strength. The argumentation literature has developed semantics (grounded, preferred, stable, semi-stable) for determining which arguments survive in the presence of attacks—techniques that could be adapted to handle evidential conflicts in the EWG.</w:t>
      </w:r>
    </w:p>
    <w:p>
      <w:pPr>
        <w:spacing w:before="120" w:after="120" w:line="276"/>
      </w:pPr>
      <w:r>
        <w:rPr>
          <w:rFonts w:ascii="Georgia" w:cs="Georgia" w:eastAsia="Georgia" w:hAnsi="Georgia"/>
          <w:b/>
          <w:bCs/>
          <w:sz w:val="24"/>
          <w:szCs w:val="24"/>
        </w:rPr>
        <w:t xml:space="preserve">Colored Petri Nets (Jensen, 1987). </w:t>
      </w:r>
      <w:r>
        <w:rPr>
          <w:rFonts w:ascii="Georgia" w:cs="Georgia" w:eastAsia="Georgia" w:hAnsi="Georgia"/>
          <w:sz w:val="24"/>
          <w:szCs w:val="24"/>
        </w:rPr>
        <w:t xml:space="preserve">Petri nets with colored tokens provide a formal model of concurrent processes where tokens (analogous to evidence) carry type information (analogous to warrant types) and the net’s structure determines how typed tokens can flow and combine. The marking reachability problem in colored Petri nets—determining whether a particular configuration of typed tokens is reachable from an initial state—is analogous to asking whether a particular probability assignment is achievable from a given set of warrants.</w:t>
      </w:r>
    </w:p>
    <w:p>
      <w:pPr>
        <w:pStyle w:val="Heading2"/>
        <w:spacing w:before="300" w:after="160"/>
      </w:pPr>
      <w:r>
        <w:rPr>
          <w:rFonts w:ascii="Georgia" w:cs="Georgia" w:eastAsia="Georgia" w:hAnsi="Georgia"/>
          <w:b/>
          <w:bCs/>
          <w:sz w:val="28"/>
          <w:szCs w:val="28"/>
        </w:rPr>
        <w:t xml:space="preserve">6.2 Graph-Theoretic Techniques for Consistency Analysis</w:t>
      </w:r>
    </w:p>
    <w:p>
      <w:pPr>
        <w:spacing w:before="120" w:after="120" w:line="276"/>
        <w:ind w:firstLine="360"/>
      </w:pPr>
      <w:r>
        <w:rPr>
          <w:rFonts w:ascii="Georgia" w:cs="Georgia" w:eastAsia="Georgia" w:hAnsi="Georgia"/>
          <w:b w:val="false"/>
          <w:bCs w:val="false"/>
          <w:i w:val="false"/>
          <w:iCs w:val="false"/>
          <w:sz w:val="24"/>
          <w:szCs w:val="24"/>
        </w:rPr>
        <w:t xml:space="preserve">Several graph-theoretic techniques are directly applicable to analyzing the consistency and structural properties of the EWG.</w:t>
      </w:r>
    </w:p>
    <w:p>
      <w:pPr>
        <w:spacing w:before="120" w:after="120" w:line="276"/>
      </w:pPr>
      <w:r>
        <w:rPr>
          <w:rFonts w:ascii="Georgia" w:cs="Georgia" w:eastAsia="Georgia" w:hAnsi="Georgia"/>
          <w:b/>
          <w:bCs/>
          <w:sz w:val="24"/>
          <w:szCs w:val="24"/>
        </w:rPr>
        <w:t xml:space="preserve">Strongly Connected Components (Tarjan, 1972). </w:t>
      </w:r>
      <w:r>
        <w:rPr>
          <w:rFonts w:ascii="Georgia" w:cs="Georgia" w:eastAsia="Georgia" w:hAnsi="Georgia"/>
          <w:sz w:val="24"/>
          <w:szCs w:val="24"/>
        </w:rPr>
        <w:t xml:space="preserve">Decomposing the EWG into its strongly connected components (SCCs) identifies clusters of mutually dependent warrants. Within an SCC, every node is reachable from every other node, meaning that updating any warrant in the cluster can potentially affect all others. The projection function should handle SCCs specially: the warrants within an SCC represent a coherent body of mutually supporting evidence, and the projection should treat them as a unit rather than processing them sequentially. Tarjan’s algorithm computes SCCs in O(V + E) time.</w:t>
      </w:r>
    </w:p>
    <w:p>
      <w:pPr>
        <w:spacing w:before="120" w:after="120" w:line="276"/>
      </w:pPr>
      <w:r>
        <w:rPr>
          <w:rFonts w:ascii="Georgia" w:cs="Georgia" w:eastAsia="Georgia" w:hAnsi="Georgia"/>
          <w:b/>
          <w:bCs/>
          <w:sz w:val="24"/>
          <w:szCs w:val="24"/>
        </w:rPr>
        <w:t xml:space="preserve">Spectral Analysis of Multi-Relational Graphs. </w:t>
      </w:r>
      <w:r>
        <w:rPr>
          <w:rFonts w:ascii="Georgia" w:cs="Georgia" w:eastAsia="Georgia" w:hAnsi="Georgia"/>
          <w:sz w:val="24"/>
          <w:szCs w:val="24"/>
        </w:rPr>
        <w:t xml:space="preserve">The adjacency matrix of a multi-relational graph can be decomposed into a tensor (one adjacency matrix per edge type) and analyzed using tensor decomposition methods (Nickel et al., 2011). The eigenvalues of each type-specific adjacency matrix reveal structural properties: a large spectral gap indicates that the graph has clear community structure within that type, while a small spectral gap suggests that the warrants of that type are diffusely distributed. This analysis can identify “type bottlenecks”—regions of the EWG where all evidence is of a single type, suggesting vulnerability to type-specific challenges.</w:t>
      </w:r>
    </w:p>
    <w:p>
      <w:pPr>
        <w:spacing w:before="120" w:after="120" w:line="276"/>
      </w:pPr>
      <w:r>
        <w:rPr>
          <w:rFonts w:ascii="Georgia" w:cs="Georgia" w:eastAsia="Georgia" w:hAnsi="Georgia"/>
          <w:b/>
          <w:bCs/>
          <w:sz w:val="24"/>
          <w:szCs w:val="24"/>
        </w:rPr>
        <w:t xml:space="preserve">Pearl’s d-Separation and Its Extensions. </w:t>
      </w:r>
      <w:r>
        <w:rPr>
          <w:rFonts w:ascii="Georgia" w:cs="Georgia" w:eastAsia="Georgia" w:hAnsi="Georgia"/>
          <w:sz w:val="24"/>
          <w:szCs w:val="24"/>
        </w:rPr>
        <w:t xml:space="preserve">Pearl’s (1988) d-separation criterion determines conditional independence in DAGs. For the EWG, which is not necessarily acyclic, d-separation must be extended. Spirtes (1995) developed “σ-separation” for graphs with cycles, and Richardson (2003) developed further extensions for mixed graphs. These techniques can determine whether two propositions in the EWG are epistemically independent given a set of observed warrants—a question that is essential for avoiding double-counting of evidence during projection.</w:t>
      </w:r>
    </w:p>
    <w:p>
      <w:pPr>
        <w:pStyle w:val="Heading2"/>
        <w:spacing w:before="300" w:after="160"/>
      </w:pPr>
      <w:r>
        <w:rPr>
          <w:rFonts w:ascii="Georgia" w:cs="Georgia" w:eastAsia="Georgia" w:hAnsi="Georgia"/>
          <w:b/>
          <w:bCs/>
          <w:sz w:val="28"/>
          <w:szCs w:val="28"/>
        </w:rPr>
        <w:t xml:space="preserve">6.3 Toward a Metamathematical Consistency Proof</w:t>
      </w:r>
    </w:p>
    <w:p>
      <w:pPr>
        <w:spacing w:before="120" w:after="120" w:line="276"/>
        <w:ind w:firstLine="360"/>
      </w:pPr>
      <w:r>
        <w:rPr>
          <w:rFonts w:ascii="Georgia" w:cs="Georgia" w:eastAsia="Georgia" w:hAnsi="Georgia"/>
          <w:b w:val="false"/>
          <w:bCs w:val="false"/>
          <w:i w:val="false"/>
          <w:iCs w:val="false"/>
          <w:sz w:val="24"/>
          <w:szCs w:val="24"/>
        </w:rPr>
        <w:t xml:space="preserve">Can we prove, in the metamathematical sense, that the EWG warrant system is consistent? This is a question about the formal system as a whole, not about any particular instantiation of it.</w:t>
      </w:r>
    </w:p>
    <w:p>
      <w:pPr>
        <w:spacing w:before="120" w:after="120" w:line="276"/>
        <w:ind w:firstLine="360"/>
      </w:pPr>
      <w:r>
        <w:rPr>
          <w:rFonts w:ascii="Georgia" w:cs="Georgia" w:eastAsia="Georgia" w:hAnsi="Georgia"/>
          <w:b w:val="false"/>
          <w:bCs w:val="false"/>
          <w:i w:val="false"/>
          <w:iCs w:val="false"/>
          <w:sz w:val="24"/>
          <w:szCs w:val="24"/>
        </w:rPr>
        <w:t xml:space="preserve">The answer is qualified. We can prove certain local consistency properties (type exclusivity, compositional coherence, discount ordering). We can also show that the projection function π is well-defined—it maps every EWG to a unique BN—provided that the cycle-breaking procedure is deterministic. But we cannot prove global consistency in the strong sense that the EWG will never contain evidential conflicts, because evidential conflicts are a feature of reality, not a bug in the system.</w:t>
      </w:r>
    </w:p>
    <w:p>
      <w:pPr>
        <w:spacing w:before="120" w:after="120" w:line="276"/>
        <w:ind w:firstLine="360"/>
      </w:pPr>
      <w:r>
        <w:rPr>
          <w:rFonts w:ascii="Georgia" w:cs="Georgia" w:eastAsia="Georgia" w:hAnsi="Georgia"/>
          <w:b w:val="false"/>
          <w:bCs w:val="false"/>
          <w:i w:val="false"/>
          <w:iCs w:val="false"/>
          <w:sz w:val="24"/>
          <w:szCs w:val="24"/>
        </w:rPr>
        <w:t xml:space="preserve">The closest analogue in metamathematics is the consistency of first-order Peano arithmetic, which Gödel showed cannot be proved within the system itself (Gödel’s second incompleteness theorem). The EWG is not a formal axiomatic system in the Gödelian sense, so the incompleteness theorems do not directly apply. But the spirit of the limitation is relevant: a system rich enough to represent evidential conflict cannot be guaranteed free of conflict from within.</w:t>
      </w:r>
    </w:p>
    <w:p>
      <w:pPr>
        <w:spacing w:before="120" w:after="120" w:line="276"/>
        <w:ind w:firstLine="360"/>
      </w:pPr>
      <w:r>
        <w:rPr>
          <w:rFonts w:ascii="Georgia" w:cs="Georgia" w:eastAsia="Georgia" w:hAnsi="Georgia"/>
          <w:b w:val="false"/>
          <w:bCs w:val="false"/>
          <w:i w:val="false"/>
          <w:iCs w:val="false"/>
          <w:sz w:val="24"/>
          <w:szCs w:val="24"/>
        </w:rPr>
        <w:t xml:space="preserve">What we can offer instead is a relative consistency result:</w:t>
      </w:r>
    </w:p>
    <w:p>
      <w:pPr>
        <w:spacing w:before="120" w:after="120" w:line="276"/>
      </w:pPr>
      <w:r>
        <w:rPr>
          <w:rFonts w:ascii="Georgia" w:cs="Georgia" w:eastAsia="Georgia" w:hAnsi="Georgia"/>
          <w:b/>
          <w:bCs/>
          <w:i/>
          <w:iCs/>
          <w:sz w:val="24"/>
          <w:szCs w:val="24"/>
        </w:rPr>
        <w:t xml:space="preserve">Theorem (Relative Consistency): </w:t>
      </w:r>
      <w:r>
        <w:rPr>
          <w:rFonts w:ascii="Georgia" w:cs="Georgia" w:eastAsia="Georgia" w:hAnsi="Georgia"/>
          <w:sz w:val="24"/>
          <w:szCs w:val="24"/>
        </w:rPr>
        <w:t xml:space="preserve">If the input evidence is individually coherent (each warrant edge has a well-defined type and a valid confidence weight), and if the projection function uses the log-odds combination rule with the canonical discount factors, then the resulting BN has valid conditional probability tables (all entries in (0,1), all columns sum to 1) and is faithful to the d-separation structure of the EWG (under the faithfulness assumption).</w:t>
      </w:r>
    </w:p>
    <w:p>
      <w:pPr>
        <w:spacing w:before="120" w:after="120" w:line="276"/>
        <w:ind w:firstLine="360"/>
      </w:pPr>
      <w:r>
        <w:rPr>
          <w:rFonts w:ascii="Georgia" w:cs="Georgia" w:eastAsia="Georgia" w:hAnsi="Georgia"/>
          <w:b w:val="false"/>
          <w:bCs w:val="false"/>
          <w:i w:val="false"/>
          <w:iCs w:val="false"/>
          <w:sz w:val="24"/>
          <w:szCs w:val="24"/>
        </w:rPr>
        <w:t xml:space="preserve">This is a conditional consistency result: it says that if the inputs are well-formed, the outputs are well-formed. The system transforms evidence faithfully; it does not introduce inconsistency. Any inconsistency in the output reflects a genuine evidential conflict in the input, which is exactly what the system is designed to detect and represent.</w:t>
      </w:r>
    </w:p>
    <w:p>
      <w:pPr>
        <w:pStyle w:val="Heading2"/>
        <w:spacing w:before="300" w:after="160"/>
      </w:pPr>
      <w:r>
        <w:rPr>
          <w:rFonts w:ascii="Georgia" w:cs="Georgia" w:eastAsia="Georgia" w:hAnsi="Georgia"/>
          <w:b/>
          <w:bCs/>
          <w:sz w:val="28"/>
          <w:szCs w:val="28"/>
        </w:rPr>
        <w:t xml:space="preserve">6.4 What Pearl Would Say</w:t>
      </w:r>
    </w:p>
    <w:p>
      <w:pPr>
        <w:spacing w:before="120" w:after="120" w:line="276"/>
        <w:ind w:firstLine="360"/>
      </w:pPr>
      <w:r>
        <w:rPr>
          <w:rFonts w:ascii="Georgia" w:cs="Georgia" w:eastAsia="Georgia" w:hAnsi="Georgia"/>
          <w:b w:val="false"/>
          <w:bCs w:val="false"/>
          <w:i w:val="false"/>
          <w:iCs w:val="false"/>
          <w:sz w:val="24"/>
          <w:szCs w:val="24"/>
        </w:rPr>
        <w:t xml:space="preserve">Judea Pearl’s approach to consistency in causal graphs centers on three principles: the Markov condition (every node is independent of its non-descendants given its parents), faithfulness (every independence in the data corresponds to d-separation in the graph), and the causal sufficiency assumption (there are no unmeasured common causes). For the EWG, Pearl would likely ask:</w:t>
      </w:r>
    </w:p>
    <w:p>
      <w:pPr>
        <w:spacing w:before="120" w:after="120" w:line="276"/>
        <w:ind w:firstLine="360"/>
      </w:pPr>
      <w:r>
        <w:rPr>
          <w:rFonts w:ascii="Georgia" w:cs="Georgia" w:eastAsia="Georgia" w:hAnsi="Georgia"/>
          <w:b w:val="false"/>
          <w:bCs w:val="false"/>
          <w:i w:val="false"/>
          <w:iCs w:val="false"/>
          <w:sz w:val="24"/>
          <w:szCs w:val="24"/>
        </w:rPr>
        <w:t xml:space="preserve">First, does the EWG respect the Markov condition? Not directly, because the EWG is an epistemic graph, not a causal graph. But the projected BN does respect it by construction. Pearl would likely accept this division of labor: the EWG is the epistemic layer where warrants live; the BN is the causal layer where the Markov condition applies; and the projection function is the bridge.</w:t>
      </w:r>
    </w:p>
    <w:p>
      <w:pPr>
        <w:spacing w:before="120" w:after="120" w:line="276"/>
        <w:ind w:firstLine="360"/>
      </w:pPr>
      <w:r>
        <w:rPr>
          <w:rFonts w:ascii="Georgia" w:cs="Georgia" w:eastAsia="Georgia" w:hAnsi="Georgia"/>
          <w:b w:val="false"/>
          <w:bCs w:val="false"/>
          <w:i w:val="false"/>
          <w:iCs w:val="false"/>
          <w:sz w:val="24"/>
          <w:szCs w:val="24"/>
        </w:rPr>
        <w:t xml:space="preserve">Second, is the projection function structure-preserving in a well-defined sense? This is what Pearl demanded in his critique. The answer developed in Section 1 of the parent paper—the d-separation preservation result under the faithfulness assumption—addresses this. But Pearl would likely want to see the proof worked out in detail for specific EWG configurations, not just stated in general.</w:t>
      </w:r>
    </w:p>
    <w:p>
      <w:pPr>
        <w:spacing w:before="120" w:after="120" w:line="276"/>
        <w:ind w:firstLine="360"/>
      </w:pPr>
      <w:r>
        <w:rPr>
          <w:rFonts w:ascii="Georgia" w:cs="Georgia" w:eastAsia="Georgia" w:hAnsi="Georgia"/>
          <w:b w:val="false"/>
          <w:bCs w:val="false"/>
          <w:i w:val="false"/>
          <w:iCs w:val="false"/>
          <w:sz w:val="24"/>
          <w:szCs w:val="24"/>
        </w:rPr>
        <w:t xml:space="preserve">Third, Pearl might object to the multiple edge types as introducing unnecessary complexity. In his framework, a causal relationship is a causal relationship—the structural equation f(X, U) does not carry a type label. But this is precisely the contribution of the EWG: it maintains the provenance information that Pearl’s framework deliberately discards. The EWG and the BN are complementary, not competing, representations. Pearl’s BN computes efficiently; the EWG reasons epistemically.</w:t>
      </w:r>
    </w:p>
    <w:p>
      <w:pPr>
        <w:pStyle w:val="Heading2"/>
        <w:spacing w:before="300" w:after="160"/>
      </w:pPr>
      <w:r>
        <w:rPr>
          <w:rFonts w:ascii="Georgia" w:cs="Georgia" w:eastAsia="Georgia" w:hAnsi="Georgia"/>
          <w:b/>
          <w:bCs/>
          <w:sz w:val="28"/>
          <w:szCs w:val="28"/>
        </w:rPr>
        <w:t xml:space="preserve">6.5 What Graph Theorists Would Say</w:t>
      </w:r>
    </w:p>
    <w:p>
      <w:pPr>
        <w:spacing w:before="120" w:after="120" w:line="276"/>
        <w:ind w:firstLine="360"/>
      </w:pPr>
      <w:r>
        <w:rPr>
          <w:rFonts w:ascii="Georgia" w:cs="Georgia" w:eastAsia="Georgia" w:hAnsi="Georgia"/>
          <w:b w:val="false"/>
          <w:bCs w:val="false"/>
          <w:i w:val="false"/>
          <w:iCs w:val="false"/>
          <w:sz w:val="24"/>
          <w:szCs w:val="24"/>
        </w:rPr>
        <w:t xml:space="preserve">A graph theorist examining the EWG would note that it is a labeled, directed, weighted multigraph—a well-studied object in combinatorics and network science. Several classical results apply.</w:t>
      </w:r>
    </w:p>
    <w:p>
      <w:pPr>
        <w:spacing w:before="120" w:after="120" w:line="276"/>
        <w:ind w:firstLine="360"/>
      </w:pPr>
      <w:r>
        <w:rPr>
          <w:rFonts w:ascii="Georgia" w:cs="Georgia" w:eastAsia="Georgia" w:hAnsi="Georgia"/>
          <w:b w:val="false"/>
          <w:bCs w:val="false"/>
          <w:i w:val="false"/>
          <w:iCs w:val="false"/>
          <w:sz w:val="24"/>
          <w:szCs w:val="24"/>
        </w:rPr>
        <w:t xml:space="preserve">Ramsey-theoretic considerations suggest that any sufficiently large EWG will inevitably contain certain substructures (e.g., long paths of a single type, or cliques where all pairs are connected by multiple types). The Ramsey number R(k, k) gives the minimum graph size that guarantees the existence of either a k-clique of one type or a k-independent set. For the EWG with 7 types, the multi-type Ramsey numbers are not known exactly but are bounded by results of Conlon et al. (2015).</w:t>
      </w:r>
    </w:p>
    <w:p>
      <w:pPr>
        <w:spacing w:before="120" w:after="120" w:line="276"/>
        <w:ind w:firstLine="360"/>
      </w:pPr>
      <w:r>
        <w:rPr>
          <w:rFonts w:ascii="Georgia" w:cs="Georgia" w:eastAsia="Georgia" w:hAnsi="Georgia"/>
          <w:b w:val="false"/>
          <w:bCs w:val="false"/>
          <w:i w:val="false"/>
          <w:iCs w:val="false"/>
          <w:sz w:val="24"/>
          <w:szCs w:val="24"/>
        </w:rPr>
        <w:t xml:space="preserve">Menger’s theorem guarantees that the maximum number of edge-disjoint paths between two nodes equals the minimum number of edges whose removal disconnects them. For the EWG, this means that the evidential connection between two propositions is only as robust as the minimum cut in the warrant graph—a quantitative measure of how much evidence would need to be overturned to sever the connection. This is a useful operationalization of Quine’s (1951) metaphor of beliefs at the “center” versus the “periphery” of the web.</w:t>
      </w:r>
    </w:p>
    <w:p>
      <w:pPr>
        <w:spacing w:before="120" w:after="120" w:line="276"/>
        <w:ind w:firstLine="360"/>
      </w:pPr>
      <w:r>
        <w:rPr>
          <w:rFonts w:ascii="Georgia" w:cs="Georgia" w:eastAsia="Georgia" w:hAnsi="Georgia"/>
          <w:b w:val="false"/>
          <w:bCs w:val="false"/>
          <w:i w:val="false"/>
          <w:iCs w:val="false"/>
          <w:sz w:val="24"/>
          <w:szCs w:val="24"/>
        </w:rPr>
        <w:t xml:space="preserve">The chromatic number of the EWG—the minimum number of colors needed to color the nodes such that no two adjacent nodes share a color—provides a measure of the graph’s complexity. A high chromatic number means that the graph contains dense clusters of interconnected propositions, suggesting complex evidential dependencies that may be difficult to project faithfully.</w:t>
      </w:r>
    </w:p>
    <w:p>
      <w:r>
        <w:br w:type="page"/>
      </w:r>
    </w:p>
    <w:p>
      <w:pPr>
        <w:pStyle w:val="Heading1"/>
        <w:spacing w:before="360" w:after="200"/>
      </w:pPr>
      <w:r>
        <w:rPr>
          <w:rFonts w:ascii="Georgia" w:cs="Georgia" w:eastAsia="Georgia" w:hAnsi="Georgia"/>
          <w:b/>
          <w:bCs/>
          <w:sz w:val="32"/>
          <w:szCs w:val="32"/>
        </w:rPr>
        <w:t xml:space="preserve">7. Synthesis and Principal Results</w:t>
      </w:r>
    </w:p>
    <w:p>
      <w:pPr>
        <w:spacing w:before="120" w:after="120" w:line="276"/>
        <w:ind w:firstLine="360"/>
      </w:pPr>
      <w:r>
        <w:rPr>
          <w:rFonts w:ascii="Georgia" w:cs="Georgia" w:eastAsia="Georgia" w:hAnsi="Georgia"/>
          <w:b w:val="false"/>
          <w:bCs w:val="false"/>
          <w:i w:val="false"/>
          <w:iCs w:val="false"/>
          <w:sz w:val="24"/>
          <w:szCs w:val="24"/>
        </w:rPr>
        <w:t xml:space="preserve">We summarize the main results of this analysis.</w:t>
      </w:r>
    </w:p>
    <w:p>
      <w:pPr>
        <w:spacing w:before="120" w:after="120" w:line="276"/>
      </w:pPr>
      <w:r>
        <w:rPr>
          <w:rFonts w:ascii="Georgia" w:cs="Georgia" w:eastAsia="Georgia" w:hAnsi="Georgia"/>
          <w:b/>
          <w:bCs/>
          <w:sz w:val="24"/>
          <w:szCs w:val="24"/>
        </w:rPr>
        <w:t xml:space="preserve">Result 1 (Justification): </w:t>
      </w:r>
      <w:r>
        <w:rPr>
          <w:rFonts w:ascii="Georgia" w:cs="Georgia" w:eastAsia="Georgia" w:hAnsi="Georgia"/>
          <w:sz w:val="24"/>
          <w:szCs w:val="24"/>
        </w:rPr>
        <w:t xml:space="preserve">Each of the seven warrant types is grounded in a distinct philosophical tradition and captures a distinct epistemic relationship. CONSTITUTIVE warrants derive from mereology and criterial semantics; MECHANISM warrants from the new mechanistic philosophy; EMPIRICAL_COVARIANCE from the empiricist tradition; FUNCTIONAL from functionalism; CAPACITY from Cartwright’s capacity framework; ANALOGICAL from the theory of analogical reasoning; and THEORETICAL_DEFAULT from the hypothetico-deductive method. No type can be reduced to any other.</w:t>
      </w:r>
    </w:p>
    <w:p>
      <w:pPr>
        <w:spacing w:before="120" w:after="120" w:line="276"/>
      </w:pPr>
      <w:r>
        <w:rPr>
          <w:rFonts w:ascii="Georgia" w:cs="Georgia" w:eastAsia="Georgia" w:hAnsi="Georgia"/>
          <w:b/>
          <w:bCs/>
          <w:sz w:val="24"/>
          <w:szCs w:val="24"/>
        </w:rPr>
        <w:t xml:space="preserve">Result 2 (Completeness): </w:t>
      </w:r>
      <w:r>
        <w:rPr>
          <w:rFonts w:ascii="Georgia" w:cs="Georgia" w:eastAsia="Georgia" w:hAnsi="Georgia"/>
          <w:sz w:val="24"/>
          <w:szCs w:val="24"/>
        </w:rPr>
        <w:t xml:space="preserve">The seven types are argued to be complete in the sense that every legitimate evidential bridge from laboratory data to architectural claim can be expressed as an instance of one of the seven types. This is supported by dimensional analysis (the types span the space defined by epistemic directness and mechanistic transparency), by the reducibility of candidate eighth types, and by practical experience with over 1,000 classified articles.</w:t>
      </w:r>
    </w:p>
    <w:p>
      <w:pPr>
        <w:spacing w:before="120" w:after="120" w:line="276"/>
      </w:pPr>
      <w:r>
        <w:rPr>
          <w:rFonts w:ascii="Georgia" w:cs="Georgia" w:eastAsia="Georgia" w:hAnsi="Georgia"/>
          <w:b/>
          <w:bCs/>
          <w:sz w:val="24"/>
          <w:szCs w:val="24"/>
        </w:rPr>
        <w:t xml:space="preserve">Result 3 (Type Exclusivity): </w:t>
      </w:r>
      <w:r>
        <w:rPr>
          <w:rFonts w:ascii="Georgia" w:cs="Georgia" w:eastAsia="Georgia" w:hAnsi="Georgia"/>
          <w:sz w:val="24"/>
          <w:szCs w:val="24"/>
        </w:rPr>
        <w:t xml:space="preserve">Each individual evidential bridge receives exactly one type assignment. Multiple types can connect the same pair of nodes (via parallel edges), but each edge has a unique type. This prevents type-assignment inconsistency.</w:t>
      </w:r>
    </w:p>
    <w:p>
      <w:pPr>
        <w:spacing w:before="120" w:after="120" w:line="276"/>
      </w:pPr>
      <w:r>
        <w:rPr>
          <w:rFonts w:ascii="Georgia" w:cs="Georgia" w:eastAsia="Georgia" w:hAnsi="Georgia"/>
          <w:b/>
          <w:bCs/>
          <w:sz w:val="24"/>
          <w:szCs w:val="24"/>
        </w:rPr>
        <w:t xml:space="preserve">Result 4 (Compositional Coherence): </w:t>
      </w:r>
      <w:r>
        <w:rPr>
          <w:rFonts w:ascii="Georgia" w:cs="Georgia" w:eastAsia="Georgia" w:hAnsi="Georgia"/>
          <w:sz w:val="24"/>
          <w:szCs w:val="24"/>
        </w:rPr>
        <w:t xml:space="preserve">The log-odds combination rule guarantees that any combination of warrants produces valid probability assignments. The resulting CPT entries are always in (0, 1) and respect the laws of probability.</w:t>
      </w:r>
    </w:p>
    <w:p>
      <w:pPr>
        <w:spacing w:before="120" w:after="120" w:line="276"/>
      </w:pPr>
      <w:r>
        <w:rPr>
          <w:rFonts w:ascii="Georgia" w:cs="Georgia" w:eastAsia="Georgia" w:hAnsi="Georgia"/>
          <w:b/>
          <w:bCs/>
          <w:sz w:val="24"/>
          <w:szCs w:val="24"/>
        </w:rPr>
        <w:t xml:space="preserve">Result 5 (Relative Consistency): </w:t>
      </w:r>
      <w:r>
        <w:rPr>
          <w:rFonts w:ascii="Georgia" w:cs="Georgia" w:eastAsia="Georgia" w:hAnsi="Georgia"/>
          <w:sz w:val="24"/>
          <w:szCs w:val="24"/>
        </w:rPr>
        <w:t xml:space="preserve">If individual warrant edges are well-formed (valid type, valid weight), the projection function produces a well-formed BN. The system does not introduce inconsistency; it faithfully projects evidential structure into probabilistic structure. Evidential conflicts in the EWG are preserved as competing paths in the BN, where probabilistic inference computes the quantitative resolution.</w:t>
      </w:r>
    </w:p>
    <w:p>
      <w:pPr>
        <w:spacing w:before="120" w:after="120" w:line="276"/>
      </w:pPr>
      <w:r>
        <w:rPr>
          <w:rFonts w:ascii="Georgia" w:cs="Georgia" w:eastAsia="Georgia" w:hAnsi="Georgia"/>
          <w:b/>
          <w:bCs/>
          <w:sz w:val="24"/>
          <w:szCs w:val="24"/>
        </w:rPr>
        <w:t xml:space="preserve">Result 6 (Graph-Theoretic Properties): </w:t>
      </w:r>
      <w:r>
        <w:rPr>
          <w:rFonts w:ascii="Georgia" w:cs="Georgia" w:eastAsia="Georgia" w:hAnsi="Georgia"/>
          <w:sz w:val="24"/>
          <w:szCs w:val="24"/>
        </w:rPr>
        <w:t xml:space="preserve">The EWG is a labeled directed weighted multigraph. Cycles are permitted (unlike in the BN) and represent legitimate epistemic structures. Heterogeneous cycles (mixing warrant types) do not create logical contradictions because types are predicates on edges, not propositions. The minimum-discount composition principle for paths yields a conservative and computable measure of path reliability. The widest-path problem (maximizing minimum discount) is solvable in O(E log V) time.</w:t>
      </w:r>
    </w:p>
    <w:p>
      <w:pPr>
        <w:spacing w:before="120" w:after="120" w:line="276"/>
      </w:pPr>
      <w:r>
        <w:rPr>
          <w:rFonts w:ascii="Georgia" w:cs="Georgia" w:eastAsia="Georgia" w:hAnsi="Georgia"/>
          <w:b/>
          <w:bCs/>
          <w:sz w:val="24"/>
          <w:szCs w:val="24"/>
        </w:rPr>
        <w:t xml:space="preserve">Result 7 (Analytical Toolkit): </w:t>
      </w:r>
      <w:r>
        <w:rPr>
          <w:rFonts w:ascii="Georgia" w:cs="Georgia" w:eastAsia="Georgia" w:hAnsi="Georgia"/>
          <w:sz w:val="24"/>
          <w:szCs w:val="24"/>
        </w:rPr>
        <w:t xml:space="preserve">The EWG can be analyzed using techniques from strongly connected component decomposition, spectral analysis of multi-relational graphs, Pearl’s d-separation (and its cyclic extensions), Menger’s theorem for evidential robustness, and argumentation framework semantics for conflict resolution. These techniques provide a rich analytical toolkit for studying the structural properties of specific EWG instances.</w:t>
      </w:r>
    </w:p>
    <w:p>
      <w:pPr>
        <w:spacing w:before="120" w:after="120" w:line="276"/>
        <w:ind w:firstLine="360"/>
      </w:pPr>
      <w:r>
        <w:rPr>
          <w:rFonts w:ascii="Georgia" w:cs="Georgia" w:eastAsia="Georgia" w:hAnsi="Georgia"/>
          <w:b w:val="false"/>
          <w:bCs w:val="false"/>
          <w:i w:val="false"/>
          <w:iCs w:val="false"/>
          <w:sz w:val="24"/>
          <w:szCs w:val="24"/>
        </w:rPr>
        <w:t xml:space="preserve">What we cannot prove, and should not claim to prove, is absolute consistency in the logical sense. The EWG is designed to represent a domain (environmental psychology) where evidence is genuinely conflicting, where mechanisms are partially understood, and where cross-context transfer is uncertain. A system that could not represent these realities would not be useful. The consistency results we offer are conditional: given well-formed inputs, the system produces well-formed outputs. Given conflicting evidence, the system represents the conflict faithfully rather than papering over it. This is, we argue, the strongest form of consistency that a system of this kind can achieve.</w:t>
      </w:r>
    </w:p>
    <w:p>
      <w:r>
        <w:br w:type="page"/>
      </w:r>
    </w:p>
    <w:p>
      <w:pPr>
        <w:pStyle w:val="Heading1"/>
        <w:spacing w:before="360" w:after="200"/>
      </w:pPr>
      <w:r>
        <w:rPr>
          <w:rFonts w:ascii="Georgia" w:cs="Georgia" w:eastAsia="Georgia" w:hAnsi="Georgia"/>
          <w:b/>
          <w:bCs/>
          <w:sz w:val="32"/>
          <w:szCs w:val="32"/>
        </w:rPr>
        <w:t xml:space="preserve">8. References</w:t>
      </w:r>
    </w:p>
    <w:p>
      <w:pPr>
        <w:spacing w:before="60" w:after="60" w:line="276"/>
        <w:ind w:left="720" w:hanging="720"/>
      </w:pPr>
      <w:r>
        <w:rPr>
          <w:rFonts w:ascii="Georgia" w:cs="Georgia" w:eastAsia="Georgia" w:hAnsi="Georgia"/>
          <w:sz w:val="22"/>
          <w:szCs w:val="22"/>
        </w:rPr>
        <w:t xml:space="preserve">Bartha, P. (2010). By parallel reasoning: The construction and evaluation of analogical arguments. Oxford University Press.</w:t>
      </w:r>
    </w:p>
    <w:p>
      <w:pPr>
        <w:spacing w:before="60" w:after="60" w:line="276"/>
        <w:ind w:left="720" w:hanging="720"/>
      </w:pPr>
      <w:r>
        <w:rPr>
          <w:rFonts w:ascii="Georgia" w:cs="Georgia" w:eastAsia="Georgia" w:hAnsi="Georgia"/>
          <w:sz w:val="22"/>
          <w:szCs w:val="22"/>
        </w:rPr>
        <w:t xml:space="preserve">Block, N. (1980). Troubles with functionalism. In N. Block (Ed.), Readings in philosophy of psychology (Vol. 1, pp. 268–305). Harvard University Press.</w:t>
      </w:r>
    </w:p>
    <w:p>
      <w:pPr>
        <w:spacing w:before="60" w:after="60" w:line="276"/>
        <w:ind w:left="720" w:hanging="720"/>
      </w:pPr>
      <w:r>
        <w:rPr>
          <w:rFonts w:ascii="Georgia" w:cs="Georgia" w:eastAsia="Georgia" w:hAnsi="Georgia"/>
          <w:sz w:val="22"/>
          <w:szCs w:val="22"/>
        </w:rPr>
        <w:t xml:space="preserve">Boubekri, M., Cheung, I. N., Reid, K. J., Wang, C.-H., &amp; Zee, P. C. (2014). Impact of windows and daylight exposure on overall health and sleep quality of office workers. Journal of Clinical Sleep Medicine, 10(6), 603–611. https://doi.org/10.5664/jcsm.3780</w:t>
      </w:r>
    </w:p>
    <w:p>
      <w:pPr>
        <w:spacing w:before="60" w:after="60" w:line="276"/>
        <w:ind w:left="720" w:hanging="720"/>
      </w:pPr>
      <w:r>
        <w:rPr>
          <w:rFonts w:ascii="Georgia" w:cs="Georgia" w:eastAsia="Georgia" w:hAnsi="Georgia"/>
          <w:sz w:val="22"/>
          <w:szCs w:val="22"/>
        </w:rPr>
        <w:t xml:space="preserve">Cartwright, N. (1989). Nature’s capacities and their measurement. Oxford University Press.</w:t>
      </w:r>
    </w:p>
    <w:p>
      <w:pPr>
        <w:spacing w:before="60" w:after="60" w:line="276"/>
        <w:ind w:left="720" w:hanging="720"/>
      </w:pPr>
      <w:r>
        <w:rPr>
          <w:rFonts w:ascii="Georgia" w:cs="Georgia" w:eastAsia="Georgia" w:hAnsi="Georgia"/>
          <w:sz w:val="22"/>
          <w:szCs w:val="22"/>
        </w:rPr>
        <w:t xml:space="preserve">Cartwright, N. (1999). The dappled world: A study of the boundaries of science. Cambridge University Press.</w:t>
      </w:r>
    </w:p>
    <w:p>
      <w:pPr>
        <w:spacing w:before="60" w:after="60" w:line="276"/>
        <w:ind w:left="720" w:hanging="720"/>
      </w:pPr>
      <w:r>
        <w:rPr>
          <w:rFonts w:ascii="Georgia" w:cs="Georgia" w:eastAsia="Georgia" w:hAnsi="Georgia"/>
          <w:sz w:val="22"/>
          <w:szCs w:val="22"/>
        </w:rPr>
        <w:t xml:space="preserve">Cayrol, C., &amp; Lagasquie-Schiex, M.-C. (2005). On the acceptability of arguments in bipolar argumentation frameworks. In L. Godo (Ed.), Symbolic and quantitative approaches to reasoning with uncertainty (pp. 378–389). Springer. https://doi.org/10.1007/11518655_33</w:t>
      </w:r>
    </w:p>
    <w:p>
      <w:pPr>
        <w:spacing w:before="60" w:after="60" w:line="276"/>
        <w:ind w:left="720" w:hanging="720"/>
      </w:pPr>
      <w:r>
        <w:rPr>
          <w:rFonts w:ascii="Georgia" w:cs="Georgia" w:eastAsia="Georgia" w:hAnsi="Georgia"/>
          <w:sz w:val="22"/>
          <w:szCs w:val="22"/>
        </w:rPr>
        <w:t xml:space="preserve">Conlon, D., Fox, J., &amp; Sudakov, B. (2015). Recent developments in graph Ramsey theory. In Surveys in combinatorics 2015 (pp. 49–118). Cambridge University Press.</w:t>
      </w:r>
    </w:p>
    <w:p>
      <w:pPr>
        <w:spacing w:before="60" w:after="60" w:line="276"/>
        <w:ind w:left="720" w:hanging="720"/>
      </w:pPr>
      <w:r>
        <w:rPr>
          <w:rFonts w:ascii="Georgia" w:cs="Georgia" w:eastAsia="Georgia" w:hAnsi="Georgia"/>
          <w:sz w:val="22"/>
          <w:szCs w:val="22"/>
        </w:rPr>
        <w:t xml:space="preserve">Craver, C. F. (2007). Explaining the brain: Mechanisms and the mosaic unity of neuroscience. Oxford University Press.</w:t>
      </w:r>
    </w:p>
    <w:p>
      <w:pPr>
        <w:spacing w:before="60" w:after="60" w:line="276"/>
        <w:ind w:left="720" w:hanging="720"/>
      </w:pPr>
      <w:r>
        <w:rPr>
          <w:rFonts w:ascii="Georgia" w:cs="Georgia" w:eastAsia="Georgia" w:hAnsi="Georgia"/>
          <w:sz w:val="22"/>
          <w:szCs w:val="22"/>
        </w:rPr>
        <w:t xml:space="preserve">Cummins, R. (1975). Functional analysis. Journal of Philosophy, 72(20), 741–765. https://doi.org/10.2307/2024640</w:t>
      </w:r>
    </w:p>
    <w:p>
      <w:pPr>
        <w:spacing w:before="60" w:after="60" w:line="276"/>
        <w:ind w:left="720" w:hanging="720"/>
      </w:pPr>
      <w:r>
        <w:rPr>
          <w:rFonts w:ascii="Georgia" w:cs="Georgia" w:eastAsia="Georgia" w:hAnsi="Georgia"/>
          <w:sz w:val="22"/>
          <w:szCs w:val="22"/>
        </w:rPr>
        <w:t xml:space="preserve">Dung, P. M. (1995). On the acceptability of arguments and its fundamental role in nonmonotonic reasoning, logic programming and n-person games. Artificial Intelligence, 77(2), 321–357. https://doi.org/10.1016/0004-3702(94)00041-X</w:t>
      </w:r>
    </w:p>
    <w:p>
      <w:pPr>
        <w:spacing w:before="60" w:after="60" w:line="276"/>
        <w:ind w:left="720" w:hanging="720"/>
      </w:pPr>
      <w:r>
        <w:rPr>
          <w:rFonts w:ascii="Georgia" w:cs="Georgia" w:eastAsia="Georgia" w:hAnsi="Georgia"/>
          <w:sz w:val="22"/>
          <w:szCs w:val="22"/>
        </w:rPr>
        <w:t xml:space="preserve">Gentner, D. (1983). Structure-mapping: A theoretical framework for analogy. Cognitive Science, 7(2), 155–170. https://doi.org/10.1207/s15516709cog0702_3</w:t>
      </w:r>
    </w:p>
    <w:p>
      <w:pPr>
        <w:spacing w:before="60" w:after="60" w:line="276"/>
        <w:ind w:left="720" w:hanging="720"/>
      </w:pPr>
      <w:r>
        <w:rPr>
          <w:rFonts w:ascii="Georgia" w:cs="Georgia" w:eastAsia="Georgia" w:hAnsi="Georgia"/>
          <w:sz w:val="22"/>
          <w:szCs w:val="22"/>
        </w:rPr>
        <w:t xml:space="preserve">Harman, G. H. (1965). The inference to the best explanation. Philosophical Review, 74(1), 88–95. https://doi.org/10.2307/2183532</w:t>
      </w:r>
    </w:p>
    <w:p>
      <w:pPr>
        <w:spacing w:before="60" w:after="60" w:line="276"/>
        <w:ind w:left="720" w:hanging="720"/>
      </w:pPr>
      <w:r>
        <w:rPr>
          <w:rFonts w:ascii="Georgia" w:cs="Georgia" w:eastAsia="Georgia" w:hAnsi="Georgia"/>
          <w:sz w:val="22"/>
          <w:szCs w:val="22"/>
        </w:rPr>
        <w:t xml:space="preserve">Hesse, M. B. (1966). Models and analogies in science. University of Notre Dame Press.</w:t>
      </w:r>
    </w:p>
    <w:p>
      <w:pPr>
        <w:spacing w:before="60" w:after="60" w:line="276"/>
        <w:ind w:left="720" w:hanging="720"/>
      </w:pPr>
      <w:r>
        <w:rPr>
          <w:rFonts w:ascii="Georgia" w:cs="Georgia" w:eastAsia="Georgia" w:hAnsi="Georgia"/>
          <w:sz w:val="22"/>
          <w:szCs w:val="22"/>
        </w:rPr>
        <w:t xml:space="preserve">Holyoak, K. J., &amp; Thagard, P. (1995). Mental leaps: Analogy in creative thought. MIT Press.</w:t>
      </w:r>
    </w:p>
    <w:p>
      <w:pPr>
        <w:spacing w:before="60" w:after="60" w:line="276"/>
        <w:ind w:left="720" w:hanging="720"/>
      </w:pPr>
      <w:r>
        <w:rPr>
          <w:rFonts w:ascii="Georgia" w:cs="Georgia" w:eastAsia="Georgia" w:hAnsi="Georgia"/>
          <w:sz w:val="22"/>
          <w:szCs w:val="22"/>
        </w:rPr>
        <w:t xml:space="preserve">Hume, D. (1748/2000). An enquiry concerning human understanding (T. L. Beauchamp, Ed.). Oxford University Press.</w:t>
      </w:r>
    </w:p>
    <w:p>
      <w:pPr>
        <w:spacing w:before="60" w:after="60" w:line="276"/>
        <w:ind w:left="720" w:hanging="720"/>
      </w:pPr>
      <w:r>
        <w:rPr>
          <w:rFonts w:ascii="Georgia" w:cs="Georgia" w:eastAsia="Georgia" w:hAnsi="Georgia"/>
          <w:sz w:val="22"/>
          <w:szCs w:val="22"/>
        </w:rPr>
        <w:t xml:space="preserve">Jaynes, E. T. (2003). Probability theory: The logic of science. Cambridge University Press.</w:t>
      </w:r>
    </w:p>
    <w:p>
      <w:pPr>
        <w:spacing w:before="60" w:after="60" w:line="276"/>
        <w:ind w:left="720" w:hanging="720"/>
      </w:pPr>
      <w:r>
        <w:rPr>
          <w:rFonts w:ascii="Georgia" w:cs="Georgia" w:eastAsia="Georgia" w:hAnsi="Georgia"/>
          <w:sz w:val="22"/>
          <w:szCs w:val="22"/>
        </w:rPr>
        <w:t xml:space="preserve">Jensen, K. (1987). Coloured Petri nets. In W. Brauer, W. Reisig, &amp; G. Rozenberg (Eds.), Petri nets: Central models and their properties (pp. 248–299). Springer.</w:t>
      </w:r>
    </w:p>
    <w:p>
      <w:pPr>
        <w:spacing w:before="60" w:after="60" w:line="276"/>
        <w:ind w:left="720" w:hanging="720"/>
      </w:pPr>
      <w:r>
        <w:rPr>
          <w:rFonts w:ascii="Georgia" w:cs="Georgia" w:eastAsia="Georgia" w:hAnsi="Georgia"/>
          <w:sz w:val="22"/>
          <w:szCs w:val="22"/>
        </w:rPr>
        <w:t xml:space="preserve">Kim, J. (1998). Mind in a physical world: An essay on the mind-body problem and mental causation. MIT Press.</w:t>
      </w:r>
    </w:p>
    <w:p>
      <w:pPr>
        <w:spacing w:before="60" w:after="60" w:line="276"/>
        <w:ind w:left="720" w:hanging="720"/>
      </w:pPr>
      <w:r>
        <w:rPr>
          <w:rFonts w:ascii="Georgia" w:cs="Georgia" w:eastAsia="Georgia" w:hAnsi="Georgia"/>
          <w:sz w:val="22"/>
          <w:szCs w:val="22"/>
        </w:rPr>
        <w:t xml:space="preserve">Lipton, P. (2004). Inference to the best explanation (2nd ed.). Routledge.</w:t>
      </w:r>
    </w:p>
    <w:p>
      <w:pPr>
        <w:spacing w:before="60" w:after="60" w:line="276"/>
        <w:ind w:left="720" w:hanging="720"/>
      </w:pPr>
      <w:r>
        <w:rPr>
          <w:rFonts w:ascii="Georgia" w:cs="Georgia" w:eastAsia="Georgia" w:hAnsi="Georgia"/>
          <w:sz w:val="22"/>
          <w:szCs w:val="22"/>
        </w:rPr>
        <w:t xml:space="preserve">Machamer, P., Darden, L., &amp; Craver, C. F. (2000). Thinking about mechanisms. Philosophy of Science, 67(1), 1–25. https://doi.org/10.1086/392759</w:t>
      </w:r>
    </w:p>
    <w:p>
      <w:pPr>
        <w:spacing w:before="60" w:after="60" w:line="276"/>
        <w:ind w:left="720" w:hanging="720"/>
      </w:pPr>
      <w:r>
        <w:rPr>
          <w:rFonts w:ascii="Georgia" w:cs="Georgia" w:eastAsia="Georgia" w:hAnsi="Georgia"/>
          <w:sz w:val="22"/>
          <w:szCs w:val="22"/>
        </w:rPr>
        <w:t xml:space="preserve">Nickel, M., Tresp, V., &amp; Kriegel, H.-P. (2011). A three-way model for collective learning on multi-relational data. In Proceedings of the 28th International Conference on Machine Learning (pp. 809–816). ICML.</w:t>
      </w:r>
    </w:p>
    <w:p>
      <w:pPr>
        <w:spacing w:before="60" w:after="60" w:line="276"/>
        <w:ind w:left="720" w:hanging="720"/>
      </w:pPr>
      <w:r>
        <w:rPr>
          <w:rFonts w:ascii="Georgia" w:cs="Georgia" w:eastAsia="Georgia" w:hAnsi="Georgia"/>
          <w:sz w:val="22"/>
          <w:szCs w:val="22"/>
        </w:rPr>
        <w:t xml:space="preserve">Pearl, J. (1988). Probabilistic reasoning in intelligent systems: Networks of plausible inference. Morgan Kaufmann.</w:t>
      </w:r>
    </w:p>
    <w:p>
      <w:pPr>
        <w:spacing w:before="60" w:after="60" w:line="276"/>
        <w:ind w:left="720" w:hanging="720"/>
      </w:pPr>
      <w:r>
        <w:rPr>
          <w:rFonts w:ascii="Georgia" w:cs="Georgia" w:eastAsia="Georgia" w:hAnsi="Georgia"/>
          <w:sz w:val="22"/>
          <w:szCs w:val="22"/>
        </w:rPr>
        <w:t xml:space="preserve">Pearl, J. (2009). Causality: Models, reasoning, and inference (2nd ed.). Cambridge University Press.</w:t>
      </w:r>
    </w:p>
    <w:p>
      <w:pPr>
        <w:spacing w:before="60" w:after="60" w:line="276"/>
        <w:ind w:left="720" w:hanging="720"/>
      </w:pPr>
      <w:r>
        <w:rPr>
          <w:rFonts w:ascii="Georgia" w:cs="Georgia" w:eastAsia="Georgia" w:hAnsi="Georgia"/>
          <w:sz w:val="22"/>
          <w:szCs w:val="22"/>
        </w:rPr>
        <w:t xml:space="preserve">Pollack, M. (1960). The maximum capacity through a network. Operations Research, 8(5), 733–736. https://doi.org/10.1287/opre.8.5.733</w:t>
      </w:r>
    </w:p>
    <w:p>
      <w:pPr>
        <w:spacing w:before="60" w:after="60" w:line="276"/>
        <w:ind w:left="720" w:hanging="720"/>
      </w:pPr>
      <w:r>
        <w:rPr>
          <w:rFonts w:ascii="Georgia" w:cs="Georgia" w:eastAsia="Georgia" w:hAnsi="Georgia"/>
          <w:sz w:val="22"/>
          <w:szCs w:val="22"/>
        </w:rPr>
        <w:t xml:space="preserve">Popper, K. (1959). The logic of scientific discovery. Hutchinson &amp; Co.</w:t>
      </w:r>
    </w:p>
    <w:p>
      <w:pPr>
        <w:spacing w:before="60" w:after="60" w:line="276"/>
        <w:ind w:left="720" w:hanging="720"/>
      </w:pPr>
      <w:r>
        <w:rPr>
          <w:rFonts w:ascii="Georgia" w:cs="Georgia" w:eastAsia="Georgia" w:hAnsi="Georgia"/>
          <w:sz w:val="22"/>
          <w:szCs w:val="22"/>
        </w:rPr>
        <w:t xml:space="preserve">Putnam, H. (1975). The meaning of “meaning.” Minnesota Studies in the Philosophy of Science, 7, 131–193.</w:t>
      </w:r>
    </w:p>
    <w:p>
      <w:pPr>
        <w:spacing w:before="60" w:after="60" w:line="276"/>
        <w:ind w:left="720" w:hanging="720"/>
      </w:pPr>
      <w:r>
        <w:rPr>
          <w:rFonts w:ascii="Georgia" w:cs="Georgia" w:eastAsia="Georgia" w:hAnsi="Georgia"/>
          <w:sz w:val="22"/>
          <w:szCs w:val="22"/>
        </w:rPr>
        <w:t xml:space="preserve">Quine, W. V. O. (1951). Two dogmas of empiricism. Philosophical Review, 60(1), 20–43. https://doi.org/10.2307/2181906</w:t>
      </w:r>
    </w:p>
    <w:p>
      <w:pPr>
        <w:spacing w:before="60" w:after="60" w:line="276"/>
        <w:ind w:left="720" w:hanging="720"/>
      </w:pPr>
      <w:r>
        <w:rPr>
          <w:rFonts w:ascii="Georgia" w:cs="Georgia" w:eastAsia="Georgia" w:hAnsi="Georgia"/>
          <w:sz w:val="22"/>
          <w:szCs w:val="22"/>
        </w:rPr>
        <w:t xml:space="preserve">Quine, W. V. O., &amp; Ullian, J. S. (1978). The web of belief (2nd ed.). Random House.</w:t>
      </w:r>
    </w:p>
    <w:p>
      <w:pPr>
        <w:spacing w:before="60" w:after="60" w:line="276"/>
        <w:ind w:left="720" w:hanging="720"/>
      </w:pPr>
      <w:r>
        <w:rPr>
          <w:rFonts w:ascii="Georgia" w:cs="Georgia" w:eastAsia="Georgia" w:hAnsi="Georgia"/>
          <w:sz w:val="22"/>
          <w:szCs w:val="22"/>
        </w:rPr>
        <w:t xml:space="preserve">Richardson, T. (2003). Markov properties for acyclic directed mixed graphs. Scandinavian Journal of Statistics, 30(1), 145–157.</w:t>
      </w:r>
    </w:p>
    <w:p>
      <w:pPr>
        <w:spacing w:before="60" w:after="60" w:line="276"/>
        <w:ind w:left="720" w:hanging="720"/>
      </w:pPr>
      <w:r>
        <w:rPr>
          <w:rFonts w:ascii="Georgia" w:cs="Georgia" w:eastAsia="Georgia" w:hAnsi="Georgia"/>
          <w:sz w:val="22"/>
          <w:szCs w:val="22"/>
        </w:rPr>
        <w:t xml:space="preserve">Shafer, G. (1976). A mathematical theory of evidence. Princeton University Press.</w:t>
      </w:r>
    </w:p>
    <w:p>
      <w:pPr>
        <w:spacing w:before="60" w:after="60" w:line="276"/>
        <w:ind w:left="720" w:hanging="720"/>
      </w:pPr>
      <w:r>
        <w:rPr>
          <w:rFonts w:ascii="Georgia" w:cs="Georgia" w:eastAsia="Georgia" w:hAnsi="Georgia"/>
          <w:sz w:val="22"/>
          <w:szCs w:val="22"/>
        </w:rPr>
        <w:t xml:space="preserve">Simons, P. (1987). Parts: A study in ontology. Oxford University Press.</w:t>
      </w:r>
    </w:p>
    <w:p>
      <w:pPr>
        <w:spacing w:before="60" w:after="60" w:line="276"/>
        <w:ind w:left="720" w:hanging="720"/>
      </w:pPr>
      <w:r>
        <w:rPr>
          <w:rFonts w:ascii="Georgia" w:cs="Georgia" w:eastAsia="Georgia" w:hAnsi="Georgia"/>
          <w:sz w:val="22"/>
          <w:szCs w:val="22"/>
        </w:rPr>
        <w:t xml:space="preserve">Spirtes, P. (1995). Directed cyclic graphical representations of feedback models. In Proceedings of the Eleventh Conference on Uncertainty in Artificial Intelligence (pp. 491–498). Morgan Kaufmann.</w:t>
      </w:r>
    </w:p>
    <w:p>
      <w:pPr>
        <w:spacing w:before="60" w:after="60" w:line="276"/>
        <w:ind w:left="720" w:hanging="720"/>
      </w:pPr>
      <w:r>
        <w:rPr>
          <w:rFonts w:ascii="Georgia" w:cs="Georgia" w:eastAsia="Georgia" w:hAnsi="Georgia"/>
          <w:sz w:val="22"/>
          <w:szCs w:val="22"/>
        </w:rPr>
        <w:t xml:space="preserve">Spirtes, P., Glymour, C., &amp; Scheines, R. (2000). Causation, prediction, and search (2nd ed.). MIT Press.</w:t>
      </w:r>
    </w:p>
    <w:p>
      <w:pPr>
        <w:spacing w:before="60" w:after="60" w:line="276"/>
        <w:ind w:left="720" w:hanging="720"/>
      </w:pPr>
      <w:r>
        <w:rPr>
          <w:rFonts w:ascii="Georgia" w:cs="Georgia" w:eastAsia="Georgia" w:hAnsi="Georgia"/>
          <w:sz w:val="22"/>
          <w:szCs w:val="22"/>
        </w:rPr>
        <w:t xml:space="preserve">Tarjan, R. (1972). Depth-first search and linear graph algorithms. SIAM Journal on Computing, 1(2), 146–160. https://doi.org/10.1137/0201010</w:t>
      </w:r>
    </w:p>
    <w:p>
      <w:pPr>
        <w:spacing w:before="60" w:after="60" w:line="276"/>
        <w:ind w:left="720" w:hanging="720"/>
      </w:pPr>
      <w:r>
        <w:rPr>
          <w:rFonts w:ascii="Georgia" w:cs="Georgia" w:eastAsia="Georgia" w:hAnsi="Georgia"/>
          <w:sz w:val="22"/>
          <w:szCs w:val="22"/>
        </w:rPr>
        <w:t xml:space="preserve">Toulmin, S. E. (1958). The uses of argument. Cambridge University Press.</w:t>
      </w:r>
    </w:p>
    <w:p>
      <w:pPr>
        <w:spacing w:before="60" w:after="60" w:line="276"/>
        <w:ind w:left="720" w:hanging="720"/>
      </w:pPr>
      <w:r>
        <w:rPr>
          <w:rFonts w:ascii="Georgia" w:cs="Georgia" w:eastAsia="Georgia" w:hAnsi="Georgia"/>
          <w:sz w:val="22"/>
          <w:szCs w:val="22"/>
        </w:rPr>
        <w:t xml:space="preserve">Ulrich, R. S. (1984). View through a window may influence recovery from surgery. Science, 224(4647), 420–422. https://doi.org/10.1126/science.6143402</w:t>
      </w:r>
    </w:p>
    <w:p>
      <w:pPr>
        <w:spacing w:before="60" w:after="60" w:line="276"/>
        <w:ind w:left="720" w:hanging="720"/>
      </w:pPr>
      <w:r>
        <w:rPr>
          <w:rFonts w:ascii="Georgia" w:cs="Georgia" w:eastAsia="Georgia" w:hAnsi="Georgia"/>
          <w:sz w:val="22"/>
          <w:szCs w:val="22"/>
        </w:rPr>
        <w:t xml:space="preserve">Walton, D. (2006). Fundamentals of critical argumentation. Cambridge University Press.</w:t>
      </w:r>
    </w:p>
    <w:p>
      <w:pPr>
        <w:spacing w:before="60" w:after="60" w:line="276"/>
        <w:ind w:left="720" w:hanging="720"/>
      </w:pPr>
      <w:r>
        <w:rPr>
          <w:rFonts w:ascii="Georgia" w:cs="Georgia" w:eastAsia="Georgia" w:hAnsi="Georgia"/>
          <w:sz w:val="22"/>
          <w:szCs w:val="22"/>
        </w:rPr>
        <w:t xml:space="preserve">Walton, D., Reed, C., &amp; Macagno, F. (2008). Argumentation schemes. Cambridge University Press.</w:t>
      </w:r>
    </w:p>
    <w:p>
      <w:pPr>
        <w:spacing w:before="60" w:after="60" w:line="276"/>
        <w:ind w:left="720" w:hanging="720"/>
      </w:pPr>
      <w:r>
        <w:rPr>
          <w:rFonts w:ascii="Georgia" w:cs="Georgia" w:eastAsia="Georgia" w:hAnsi="Georgia"/>
          <w:sz w:val="22"/>
          <w:szCs w:val="22"/>
        </w:rPr>
        <w:t xml:space="preserve">Wilson, E. O. (1984). Biophilia. Harvard University Press.</w:t>
      </w:r>
    </w:p>
    <w:p>
      <w:pPr>
        <w:spacing w:before="60" w:after="60" w:line="276"/>
        <w:ind w:left="720" w:hanging="720"/>
      </w:pPr>
      <w:r>
        <w:rPr>
          <w:rFonts w:ascii="Georgia" w:cs="Georgia" w:eastAsia="Georgia" w:hAnsi="Georgia"/>
          <w:sz w:val="22"/>
          <w:szCs w:val="22"/>
        </w:rPr>
        <w:t xml:space="preserve">Wittgenstein, L. (1953). Philosophical investigations (G. E. M. Anscombe, Trans.). Blackwell.</w:t>
      </w:r>
    </w:p>
    <w:p>
      <w:pPr>
        <w:spacing w:before="60" w:after="60" w:line="276"/>
        <w:ind w:left="720" w:hanging="720"/>
      </w:pPr>
      <w:r>
        <w:rPr>
          <w:rFonts w:ascii="Georgia" w:cs="Georgia" w:eastAsia="Georgia" w:hAnsi="Georgia"/>
          <w:sz w:val="22"/>
          <w:szCs w:val="22"/>
        </w:rPr>
        <w:t xml:space="preserve">Woodward, J. (2003). Making things happen: A theory of causal explanation. Oxford University Press.</w:t>
      </w:r>
    </w:p>
    <w:p>
      <w:pPr>
        <w:spacing w:before="60" w:after="60" w:line="276"/>
        <w:ind w:left="720" w:hanging="720"/>
      </w:pPr>
      <w:r>
        <w:rPr>
          <w:rFonts w:ascii="Georgia" w:cs="Georgia" w:eastAsia="Georgia" w:hAnsi="Georgia"/>
          <w:sz w:val="22"/>
          <w:szCs w:val="22"/>
        </w:rPr>
        <w:t xml:space="preserve">Woodward, J. (2006). Sensitive and insensitive causation. Philosophical Review, 115(1), 1–50. https://doi.org/10.1215/00318108-115-1-1</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sz w:val="32"/>
      <w:szCs w:val="32"/>
    </w:rPr>
  </w:style>
  <w:style w:type="paragraph" w:styleId="Heading2">
    <w:name w:val="Heading 2"/>
    <w:basedOn w:val="Normal"/>
    <w:next w:val="Normal"/>
    <w:qFormat/>
    <w:pPr>
      <w:spacing w:before="300" w:after="160"/>
      <w:outlineLvl w:val="1"/>
    </w:pPr>
    <w:rPr>
      <w:rFonts w:ascii="Georgia" w:cs="Georgia" w:eastAsia="Georgia" w:hAnsi="Georgia"/>
      <w:b/>
      <w:bCs/>
      <w:sz w:val="28"/>
      <w:szCs w:val="28"/>
    </w:rPr>
  </w:style>
  <w:style w:type="paragraph" w:styleId="Heading3">
    <w:name w:val="Heading 3"/>
    <w:basedOn w:val="Normal"/>
    <w:next w:val="Normal"/>
    <w:qFormat/>
    <w:pPr>
      <w:spacing w:before="240" w:after="120"/>
      <w:outlineLvl w:val="2"/>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2026-02-27T02:48:12.484Z</dcterms:created>
  <dcterms:modified xsi:type="dcterms:W3CDTF">2026-02-27T02:48:12.485Z</dcterms:modified>
</cp:coreProperties>
</file>

<file path=docProps/custom.xml><?xml version="1.0" encoding="utf-8"?>
<Properties xmlns="http://schemas.openxmlformats.org/officeDocument/2006/custom-properties" xmlns:vt="http://schemas.openxmlformats.org/officeDocument/2006/docPropsVTypes"/>
</file>