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Georgia" w:cs="Georgia" w:eastAsia="Georgia" w:hAnsi="Georgia"/>
          <w:b/>
          <w:bCs/>
          <w:sz w:val="40"/>
          <w:szCs w:val="40"/>
        </w:rPr>
        <w:t xml:space="preserve">Addressing Pearl:</w:t>
      </w:r>
    </w:p>
    <w:p>
      <w:pPr>
        <w:spacing w:after="200"/>
        <w:jc w:val="center"/>
      </w:pPr>
      <w:r>
        <w:rPr>
          <w:rFonts w:ascii="Georgia" w:cs="Georgia" w:eastAsia="Georgia" w:hAnsi="Georgia"/>
          <w:b/>
          <w:bCs/>
          <w:sz w:val="36"/>
          <w:szCs w:val="36"/>
        </w:rPr>
        <w:t xml:space="preserve">Why Typed Edges Are Not Ornamental</w:t>
      </w:r>
    </w:p>
    <w:p>
      <w:pPr>
        <w:spacing w:after="120"/>
        <w:jc w:val="center"/>
      </w:pPr>
      <w:r>
        <w:rPr>
          <w:rFonts w:ascii="Georgia" w:cs="Georgia" w:eastAsia="Georgia" w:hAnsi="Georgia"/>
          <w:i/>
          <w:iCs/>
          <w:sz w:val="28"/>
          <w:szCs w:val="28"/>
        </w:rPr>
        <w:t xml:space="preserve">The Information That Structural Causal Models Deliberately Discard</w:t>
      </w:r>
    </w:p>
    <w:p>
      <w:pPr>
        <w:spacing w:after="120"/>
        <w:jc w:val="center"/>
      </w:pPr>
      <w:r>
        <w:rPr>
          <w:rFonts w:ascii="Georgia" w:cs="Georgia" w:eastAsia="Georgia" w:hAnsi="Georgia"/>
          <w:i/>
          <w:iCs/>
          <w:sz w:val="28"/>
          <w:szCs w:val="28"/>
        </w:rPr>
        <w:t xml:space="preserve">and Why It Matters for Cross-Context Transfer</w:t>
      </w:r>
    </w:p>
    <w:p>
      <w:pPr>
        <w:spacing w:before="400"/>
      </w:pPr>
    </w:p>
    <w:p>
      <w:pPr>
        <w:spacing w:before="120" w:after="120" w:line="276"/>
        <w:jc w:val="center"/>
      </w:pPr>
      <w:r>
        <w:rPr>
          <w:rFonts w:ascii="Georgia" w:cs="Georgia" w:eastAsia="Georgia" w:hAnsi="Georgia"/>
          <w:b w:val="false"/>
          <w:bCs w:val="false"/>
          <w:i w:val="false"/>
          <w:iCs w:val="false"/>
          <w:sz w:val="24"/>
          <w:szCs w:val="24"/>
        </w:rPr>
        <w:t xml:space="preserve">David Kirsh</w:t>
      </w:r>
    </w:p>
    <w:p>
      <w:pPr>
        <w:spacing w:before="120" w:after="120" w:line="276"/>
        <w:jc w:val="center"/>
      </w:pPr>
      <w:r>
        <w:rPr>
          <w:rFonts w:ascii="Georgia" w:cs="Georgia" w:eastAsia="Georgia" w:hAnsi="Georgia"/>
          <w:b w:val="false"/>
          <w:bCs w:val="false"/>
          <w:i w:val="false"/>
          <w:iCs w:val="false"/>
          <w:sz w:val="24"/>
          <w:szCs w:val="24"/>
        </w:rPr>
        <w:t xml:space="preserve">Department of Cognitive Science, UC San Diego</w:t>
      </w:r>
    </w:p>
    <w:p>
      <w:pPr>
        <w:spacing w:before="120"/>
        <w:jc w:val="center"/>
      </w:pPr>
      <w:r>
        <w:rPr>
          <w:rFonts w:ascii="Georgia" w:cs="Georgia" w:eastAsia="Georgia" w:hAnsi="Georgia"/>
          <w:sz w:val="24"/>
          <w:szCs w:val="24"/>
        </w:rPr>
        <w:t xml:space="preserve">February 2026</w:t>
      </w:r>
    </w:p>
    <w:p>
      <w:r>
        <w:br w:type="page"/>
      </w:r>
    </w:p>
    <w:p>
      <w:pPr>
        <w:pStyle w:val="Heading1"/>
        <w:spacing w:before="360" w:after="200"/>
      </w:pPr>
      <w:r>
        <w:rPr>
          <w:rFonts w:ascii="Georgia" w:cs="Georgia" w:eastAsia="Georgia" w:hAnsi="Georgia"/>
          <w:b/>
          <w:bCs/>
          <w:sz w:val="32"/>
          <w:szCs w:val="32"/>
        </w:rPr>
        <w:t xml:space="preserve">1. The Elegance of Pearl’s Deliberate Amnesia</w:t>
      </w:r>
    </w:p>
    <w:p>
      <w:pPr>
        <w:spacing w:before="120" w:after="120" w:line="276"/>
        <w:ind w:firstLine="360"/>
      </w:pPr>
      <w:r>
        <w:rPr>
          <w:rFonts w:ascii="Georgia" w:cs="Georgia" w:eastAsia="Georgia" w:hAnsi="Georgia"/>
          <w:b w:val="false"/>
          <w:bCs w:val="false"/>
          <w:i w:val="false"/>
          <w:iCs w:val="false"/>
          <w:sz w:val="24"/>
          <w:szCs w:val="24"/>
        </w:rPr>
        <w:t xml:space="preserve">Judea Pearl’s Structural Causal Model (SCM) framework is one of the great intellectual achievements of late twentieth-century science. It took the nebulous concept of causation—tangled for centuries in philosophical dispute, banished from respectable statistics by the positivist tradition that ran from Pearson through Fisher—and gave it a rigorous mathematical foundation. The SCM framework provides a compact notation (structural equations), a graphical representation (directed acyclic graphs), a formal semantics for intervention (the do-calculus), and a hierarchy of causal reasoning (the Pearl Causal Hierarchy, or “ladder of causation”: association, intervention, counterfactual). It is, by any reasonable measure, a triumph of formalization.</w:t>
      </w:r>
    </w:p>
    <w:p>
      <w:pPr>
        <w:spacing w:before="120" w:after="120" w:line="276"/>
        <w:ind w:firstLine="360"/>
      </w:pPr>
      <w:r>
        <w:rPr>
          <w:rFonts w:ascii="Georgia" w:cs="Georgia" w:eastAsia="Georgia" w:hAnsi="Georgia"/>
          <w:b w:val="false"/>
          <w:bCs w:val="false"/>
          <w:i w:val="false"/>
          <w:iCs w:val="false"/>
          <w:sz w:val="24"/>
          <w:szCs w:val="24"/>
        </w:rPr>
        <w:t xml:space="preserve">But every triumph of formalization involves a decision about what to formalize and what to discard. The power of Pearl’s framework comes precisely from its willingness to strip away information that it deems irrelevant to the computational task at hand. A structural equation Y = f(X, U) says that Y is determined by X and exogenous noise U through some function f. It does not say why this relationship holds. It does not say what kind of evidence established it. It does not say whether f was discovered through randomized experiment, observational correlation, mechanistic theory, analogy from another domain, or expert stipulation. The structural equation is epistemically anonymous: the provenance of the causal claim has been deliberately discarded.</w:t>
      </w:r>
    </w:p>
    <w:p>
      <w:pPr>
        <w:spacing w:before="120" w:after="120" w:line="276"/>
        <w:ind w:firstLine="360"/>
      </w:pPr>
      <w:r>
        <w:rPr>
          <w:rFonts w:ascii="Georgia" w:cs="Georgia" w:eastAsia="Georgia" w:hAnsi="Georgia"/>
          <w:b w:val="false"/>
          <w:bCs w:val="false"/>
          <w:i w:val="false"/>
          <w:iCs w:val="false"/>
          <w:sz w:val="24"/>
          <w:szCs w:val="24"/>
        </w:rPr>
        <w:t xml:space="preserve">This amnesia is not a bug. It is the central design decision that makes the framework tractable. Pearl recognized that for the purposes of computing causal effects—answering questions like “What is P(Y | do(X = x))?”—you do not need to know how you came to believe that X causes Y. You need only the structural equation and the graph. Once the causal structure is specified, the do-calculus can derive interventional and counterfactual distributions without ever consulting the evidence that established the structure. This is an enormous computational advantage. It is what allows Pearl’s framework to scale to complex systems with dozens of variables and to provide mathematically guaranteed identification results.</w:t>
      </w:r>
    </w:p>
    <w:p>
      <w:pPr>
        <w:spacing w:before="120" w:after="120" w:line="276"/>
        <w:ind w:firstLine="360"/>
      </w:pPr>
      <w:r>
        <w:rPr>
          <w:rFonts w:ascii="Georgia" w:cs="Georgia" w:eastAsia="Georgia" w:hAnsi="Georgia"/>
          <w:b w:val="false"/>
          <w:bCs w:val="false"/>
          <w:i w:val="false"/>
          <w:iCs w:val="false"/>
          <w:sz w:val="24"/>
          <w:szCs w:val="24"/>
        </w:rPr>
        <w:t xml:space="preserve">The question we address in this paper is: what is lost in this deliberate amnesia? And does what is lost matter for the specific problem that the ATLAS system confronts—the problem of transferring laboratory findings from environmental psychology to real-world architectural applications?</w:t>
      </w:r>
    </w:p>
    <w:p>
      <w:pPr>
        <w:spacing w:before="120" w:after="120" w:line="276"/>
        <w:ind w:firstLine="360"/>
      </w:pPr>
      <w:r>
        <w:rPr>
          <w:rFonts w:ascii="Georgia" w:cs="Georgia" w:eastAsia="Georgia" w:hAnsi="Georgia"/>
          <w:b w:val="false"/>
          <w:bCs w:val="false"/>
          <w:i w:val="false"/>
          <w:iCs w:val="false"/>
          <w:sz w:val="24"/>
          <w:szCs w:val="24"/>
        </w:rPr>
        <w:t xml:space="preserve">Our answer is: yes, profoundly. What Pearl discards is exactly what the Epistemic Warrant Graph preserves. And what the EWG preserves is exactly what you need for responsible cross-context transfer.</w:t>
      </w:r>
    </w:p>
    <w:p>
      <w:r>
        <w:br w:type="page"/>
      </w:r>
    </w:p>
    <w:p>
      <w:pPr>
        <w:pStyle w:val="Heading1"/>
        <w:spacing w:before="360" w:after="200"/>
      </w:pPr>
      <w:r>
        <w:rPr>
          <w:rFonts w:ascii="Georgia" w:cs="Georgia" w:eastAsia="Georgia" w:hAnsi="Georgia"/>
          <w:b/>
          <w:bCs/>
          <w:sz w:val="32"/>
          <w:szCs w:val="32"/>
        </w:rPr>
        <w:t xml:space="preserve">2. Pearl’s Likely Objection: Typed Edges as Unnecessary Complexity</w:t>
      </w:r>
    </w:p>
    <w:p>
      <w:pPr>
        <w:spacing w:before="120" w:after="120" w:line="276"/>
        <w:ind w:firstLine="360"/>
      </w:pPr>
      <w:r>
        <w:rPr>
          <w:rFonts w:ascii="Georgia" w:cs="Georgia" w:eastAsia="Georgia" w:hAnsi="Georgia"/>
          <w:b w:val="false"/>
          <w:bCs w:val="false"/>
          <w:i w:val="false"/>
          <w:iCs w:val="false"/>
          <w:sz w:val="24"/>
          <w:szCs w:val="24"/>
        </w:rPr>
        <w:t xml:space="preserve">Let us construct Pearl’s objection as charitably and precisely as we can. Pearl would likely say something like this:</w:t>
      </w:r>
    </w:p>
    <w:p>
      <w:pPr>
        <w:spacing w:before="200" w:after="200" w:line="276"/>
        <w:ind w:left="720" w:right="720"/>
      </w:pPr>
      <w:r>
        <w:rPr>
          <w:rFonts w:ascii="Georgia" w:cs="Georgia" w:eastAsia="Georgia" w:hAnsi="Georgia"/>
          <w:i/>
          <w:iCs/>
          <w:sz w:val="22"/>
          <w:szCs w:val="22"/>
        </w:rPr>
        <w:t xml:space="preserve">“A causal relationship is a causal relationship. The structural equation Y = f(X, U) makes a precise claim: Y is a function of X and noise. Whether this claim was established by experiment, by observation, by mechanism, or by analogy is irrelevant to the computation of causal effects. Once the graph is drawn and the structural equations specified, the do-calculus tells you everything you need to know about interventions. Attaching labels to edges—calling one ‘MECHANISM’ and another ‘EMPIRICAL_COVARIANCE’—adds complexity without adding computational power. The Bayesian Network produced by your projection function π is a standard BN. My do-calculus already handles it. Your seven warrant types are epistemic decoration.”</w:t>
      </w:r>
    </w:p>
    <w:p>
      <w:pPr>
        <w:spacing w:before="120" w:after="120" w:line="276"/>
        <w:ind w:firstLine="360"/>
      </w:pPr>
      <w:r>
        <w:rPr>
          <w:rFonts w:ascii="Georgia" w:cs="Georgia" w:eastAsia="Georgia" w:hAnsi="Georgia"/>
          <w:b w:val="false"/>
          <w:bCs w:val="false"/>
          <w:i w:val="false"/>
          <w:iCs w:val="false"/>
          <w:sz w:val="24"/>
          <w:szCs w:val="24"/>
        </w:rPr>
        <w:t xml:space="preserve">This objection is powerful because it is largely correct—for the specific computational task that Pearl’s framework was designed to handle. If your only goal is to compute P(Y | do(X = x)) given a specified causal graph, then you do not need typed edges. The do-calculus is complete for this task (Huang &amp; Valtorta, 2006; Shpitser &amp; Pearl, 2006). No typed-edge machinery will improve on it.</w:t>
      </w:r>
    </w:p>
    <w:p>
      <w:pPr>
        <w:spacing w:before="120" w:after="120" w:line="276"/>
        <w:ind w:firstLine="360"/>
      </w:pPr>
      <w:r>
        <w:rPr>
          <w:rFonts w:ascii="Georgia" w:cs="Georgia" w:eastAsia="Georgia" w:hAnsi="Georgia"/>
          <w:b w:val="false"/>
          <w:bCs w:val="false"/>
          <w:i w:val="false"/>
          <w:iCs w:val="false"/>
          <w:sz w:val="24"/>
          <w:szCs w:val="24"/>
        </w:rPr>
        <w:t xml:space="preserve">But the ATLAS system is not trying to compute causal effects from a given graph. It is trying to do something harder: to construct a graph in a new context from evidence gathered in other contexts. This is the problem of cross-context transfer, and it is where Pearl’s framework, for all its power, has a genuine blind spot.</w:t>
      </w:r>
    </w:p>
    <w:p>
      <w:r>
        <w:br w:type="page"/>
      </w:r>
    </w:p>
    <w:p>
      <w:pPr>
        <w:pStyle w:val="Heading1"/>
        <w:spacing w:before="360" w:after="200"/>
      </w:pPr>
      <w:r>
        <w:rPr>
          <w:rFonts w:ascii="Georgia" w:cs="Georgia" w:eastAsia="Georgia" w:hAnsi="Georgia"/>
          <w:b/>
          <w:bCs/>
          <w:sz w:val="32"/>
          <w:szCs w:val="32"/>
        </w:rPr>
        <w:t xml:space="preserve">3. The Cross-Context Transfer Problem: Where Pearl’s Amnesia Hurts</w:t>
      </w:r>
    </w:p>
    <w:p>
      <w:pPr>
        <w:pStyle w:val="Heading2"/>
        <w:spacing w:before="300" w:after="160"/>
      </w:pPr>
      <w:r>
        <w:rPr>
          <w:rFonts w:ascii="Georgia" w:cs="Georgia" w:eastAsia="Georgia" w:hAnsi="Georgia"/>
          <w:b/>
          <w:bCs/>
          <w:sz w:val="28"/>
          <w:szCs w:val="28"/>
        </w:rPr>
        <w:t xml:space="preserve">3.1 The Problem in a Nutshell</w:t>
      </w:r>
    </w:p>
    <w:p>
      <w:pPr>
        <w:spacing w:before="120" w:after="120" w:line="276"/>
        <w:ind w:firstLine="360"/>
      </w:pPr>
      <w:r>
        <w:rPr>
          <w:rFonts w:ascii="Georgia" w:cs="Georgia" w:eastAsia="Georgia" w:hAnsi="Georgia"/>
          <w:b w:val="false"/>
          <w:bCs w:val="false"/>
          <w:i w:val="false"/>
          <w:iCs w:val="false"/>
          <w:sz w:val="24"/>
          <w:szCs w:val="24"/>
        </w:rPr>
        <w:t xml:space="preserve">Environmental psychology confronts a specific epistemic challenge that most applications of causal inference do not. The typical application of Pearl’s framework proceeds as follows: you have a causal graph for a domain; you have data from that domain; you use the do-calculus to compute causal effects within that domain. The graph and the data inhabit the same context. This is what Pearl calls “identification”—determining whether a causal effect can be computed from available data given the assumed graph.</w:t>
      </w:r>
    </w:p>
    <w:p>
      <w:pPr>
        <w:spacing w:before="120" w:after="120" w:line="276"/>
        <w:ind w:firstLine="360"/>
      </w:pPr>
      <w:r>
        <w:rPr>
          <w:rFonts w:ascii="Georgia" w:cs="Georgia" w:eastAsia="Georgia" w:hAnsi="Georgia"/>
          <w:b w:val="false"/>
          <w:bCs w:val="false"/>
          <w:i w:val="false"/>
          <w:iCs w:val="false"/>
          <w:sz w:val="24"/>
          <w:szCs w:val="24"/>
        </w:rPr>
        <w:t xml:space="preserve">The ATLAS system confronts a different problem. The evidence comes from context A (the laboratory), and the application is in context B (a real building). The causal graph in context A may not hold in context B. A mechanism that operates under laboratory conditions (controlled lighting, uniform populations, short exposure durations) may fail, attenuate, or reverse under real-world conditions (variable lighting, diverse populations, chronic exposure). The central question is not “can we compute the causal effect?” but “should we believe the causal graph transfers?”</w:t>
      </w:r>
    </w:p>
    <w:p>
      <w:pPr>
        <w:spacing w:before="120" w:after="120" w:line="276"/>
        <w:ind w:firstLine="360"/>
      </w:pPr>
      <w:r>
        <w:rPr>
          <w:rFonts w:ascii="Georgia" w:cs="Georgia" w:eastAsia="Georgia" w:hAnsi="Georgia"/>
          <w:b w:val="false"/>
          <w:bCs w:val="false"/>
          <w:i w:val="false"/>
          <w:iCs w:val="false"/>
          <w:sz w:val="24"/>
          <w:szCs w:val="24"/>
        </w:rPr>
        <w:t xml:space="preserve">This is the problem that Pearl’s framework was not designed to solve—and it is precisely the problem where typed edges earn their keep.</w:t>
      </w:r>
    </w:p>
    <w:p>
      <w:pPr>
        <w:pStyle w:val="Heading2"/>
        <w:spacing w:before="300" w:after="160"/>
      </w:pPr>
      <w:r>
        <w:rPr>
          <w:rFonts w:ascii="Georgia" w:cs="Georgia" w:eastAsia="Georgia" w:hAnsi="Georgia"/>
          <w:b/>
          <w:bCs/>
          <w:sz w:val="28"/>
          <w:szCs w:val="28"/>
        </w:rPr>
        <w:t xml:space="preserve">3.2 What Pearl’s Framework Can Say About Transfer</w:t>
      </w:r>
    </w:p>
    <w:p>
      <w:pPr>
        <w:spacing w:before="120" w:after="120" w:line="276"/>
        <w:ind w:firstLine="360"/>
      </w:pPr>
      <w:r>
        <w:rPr>
          <w:rFonts w:ascii="Georgia" w:cs="Georgia" w:eastAsia="Georgia" w:hAnsi="Georgia"/>
          <w:b w:val="false"/>
          <w:bCs w:val="false"/>
          <w:i w:val="false"/>
          <w:iCs w:val="false"/>
          <w:sz w:val="24"/>
          <w:szCs w:val="24"/>
        </w:rPr>
        <w:t xml:space="preserve">Pearl is not unaware of the transfer problem. His work on “transportability” (Pearl &amp; Bareinboim, 2011; Bareinboim &amp; Pearl, 2016) addresses exactly the question of when a causal effect estimated in one context can be validly transported to another. The key insight of transportability theory is that transfer is warranted when the causal mechanisms that differ between contexts can be identified and controlled for. Pearl introduces “selection diagrams”—DAGs with special “S-nodes” that mark where the two contexts differ—and derives conditions under which transport is valid.</w:t>
      </w:r>
    </w:p>
    <w:p>
      <w:pPr>
        <w:spacing w:before="120" w:after="120" w:line="276"/>
        <w:ind w:firstLine="360"/>
      </w:pPr>
      <w:r>
        <w:rPr>
          <w:rFonts w:ascii="Georgia" w:cs="Georgia" w:eastAsia="Georgia" w:hAnsi="Georgia"/>
          <w:b w:val="false"/>
          <w:bCs w:val="false"/>
          <w:i w:val="false"/>
          <w:iCs w:val="false"/>
          <w:sz w:val="24"/>
          <w:szCs w:val="24"/>
        </w:rPr>
        <w:t xml:space="preserve">This is elegant work. But it has a critical limitation: it assumes you know which mechanisms differ between contexts. The S-nodes must be placed by the analyst, based on domain knowledge. Pearl’s framework provides the formal machinery for computing transport given the S-node placement, but it provides no guidance on where to put the S-nodes in the first place.</w:t>
      </w:r>
    </w:p>
    <w:p>
      <w:pPr>
        <w:spacing w:before="120" w:after="120" w:line="276"/>
        <w:ind w:firstLine="360"/>
      </w:pPr>
      <w:r>
        <w:rPr>
          <w:rFonts w:ascii="Georgia" w:cs="Georgia" w:eastAsia="Georgia" w:hAnsi="Georgia"/>
          <w:b w:val="false"/>
          <w:bCs w:val="false"/>
          <w:i w:val="false"/>
          <w:iCs w:val="false"/>
          <w:sz w:val="24"/>
          <w:szCs w:val="24"/>
        </w:rPr>
        <w:t xml:space="preserve">And this is exactly where warrant types become indispensable.</w:t>
      </w:r>
    </w:p>
    <w:p>
      <w:pPr>
        <w:pStyle w:val="Heading2"/>
        <w:spacing w:before="300" w:after="160"/>
      </w:pPr>
      <w:r>
        <w:rPr>
          <w:rFonts w:ascii="Georgia" w:cs="Georgia" w:eastAsia="Georgia" w:hAnsi="Georgia"/>
          <w:b/>
          <w:bCs/>
          <w:sz w:val="28"/>
          <w:szCs w:val="28"/>
        </w:rPr>
        <w:t xml:space="preserve">3.3 What Warrant Types Tell You That Structural Equations Cannot</w:t>
      </w:r>
    </w:p>
    <w:p>
      <w:pPr>
        <w:spacing w:before="120" w:after="120" w:line="276"/>
        <w:ind w:firstLine="360"/>
      </w:pPr>
      <w:r>
        <w:rPr>
          <w:rFonts w:ascii="Georgia" w:cs="Georgia" w:eastAsia="Georgia" w:hAnsi="Georgia"/>
          <w:b w:val="false"/>
          <w:bCs w:val="false"/>
          <w:i w:val="false"/>
          <w:iCs w:val="false"/>
          <w:sz w:val="24"/>
          <w:szCs w:val="24"/>
        </w:rPr>
        <w:t xml:space="preserve">Consider a specific causal claim: “Daylight exposure increases serotonin production.” In Pearl’s framework, this is represented by a structural equation S = f(D, U) and an arrow D → S in the causal graph. Full stop. The structural equation is the same regardless of how we know this.</w:t>
      </w:r>
    </w:p>
    <w:p>
      <w:pPr>
        <w:spacing w:before="120" w:after="120" w:line="276"/>
        <w:ind w:firstLine="360"/>
      </w:pPr>
      <w:r>
        <w:rPr>
          <w:rFonts w:ascii="Georgia" w:cs="Georgia" w:eastAsia="Georgia" w:hAnsi="Georgia"/>
          <w:b w:val="false"/>
          <w:bCs w:val="false"/>
          <w:i w:val="false"/>
          <w:iCs w:val="false"/>
          <w:sz w:val="24"/>
          <w:szCs w:val="24"/>
        </w:rPr>
        <w:t xml:space="preserve">But the warrant type carries information that is critically relevant to transfer. Consider the difference:</w:t>
      </w:r>
    </w:p>
    <w:p>
      <w:pPr>
        <w:spacing w:before="120" w:after="120" w:line="276"/>
      </w:pPr>
      <w:r>
        <w:rPr>
          <w:rFonts w:ascii="Georgia" w:cs="Georgia" w:eastAsia="Georgia" w:hAnsi="Georgia"/>
          <w:b/>
          <w:bCs/>
          <w:sz w:val="24"/>
          <w:szCs w:val="24"/>
        </w:rPr>
        <w:t xml:space="preserve">If the warrant is MECHANISM</w:t>
      </w:r>
      <w:r>
        <w:rPr>
          <w:rFonts w:ascii="Georgia" w:cs="Georgia" w:eastAsia="Georgia" w:hAnsi="Georgia"/>
          <w:sz w:val="24"/>
          <w:szCs w:val="24"/>
        </w:rPr>
        <w:t xml:space="preserve"> (we know the pathway: photons → retinal ganglion cells → raphe nuclei → tryptophan hydroxylase → serotonin), then we know </w:t>
      </w:r>
      <w:r>
        <w:rPr>
          <w:rFonts w:ascii="Georgia" w:cs="Georgia" w:eastAsia="Georgia" w:hAnsi="Georgia"/>
          <w:i/>
          <w:iCs/>
          <w:sz w:val="24"/>
          <w:szCs w:val="24"/>
        </w:rPr>
        <w:t xml:space="preserve">why</w:t>
      </w:r>
      <w:r>
        <w:rPr>
          <w:rFonts w:ascii="Georgia" w:cs="Georgia" w:eastAsia="Georgia" w:hAnsi="Georgia"/>
          <w:sz w:val="24"/>
          <w:szCs w:val="24"/>
        </w:rPr>
        <w:t xml:space="preserve"> the relationship holds. This has three consequences for transfer. First, we can predict when the relationship will fail: it will fail whenever a link in the chain is disrupted (e.g., if the building’s glazing filters out the relevant wavelengths, or if the population includes individuals on SSRIs that block serotonin reuptake). Second, we can predict that the relationship will transfer to any context where the mechanistic chain is intact, even contexts that have never been studied. Third, we know where to place Pearl’s S-nodes in a transportability analysis: they belong on any variable that differs between contexts and that participates in the mechanistic chain.</w:t>
      </w:r>
    </w:p>
    <w:p>
      <w:pPr>
        <w:spacing w:before="120" w:after="120" w:line="276"/>
      </w:pPr>
      <w:r>
        <w:rPr>
          <w:rFonts w:ascii="Georgia" w:cs="Georgia" w:eastAsia="Georgia" w:hAnsi="Georgia"/>
          <w:b/>
          <w:bCs/>
          <w:sz w:val="24"/>
          <w:szCs w:val="24"/>
        </w:rPr>
        <w:t xml:space="preserve">If the warrant is EMPIRICAL_COVARIANCE</w:t>
      </w:r>
      <w:r>
        <w:rPr>
          <w:rFonts w:ascii="Georgia" w:cs="Georgia" w:eastAsia="Georgia" w:hAnsi="Georgia"/>
          <w:sz w:val="24"/>
          <w:szCs w:val="24"/>
        </w:rPr>
        <w:t xml:space="preserve"> (we have replicated correlations between daylight and serotonin, but the pathway is not established), then we cannot make any of these predictions. We cannot say when the relationship will fail, because we do not know what sustains it. We cannot predict transfer to novel contexts, because the covariance may be mediated by confounders that differ across contexts. And we have no principled basis for placing S-nodes, because we do not know which mechanisms to mark as context-sensitive.</w:t>
      </w:r>
    </w:p>
    <w:p>
      <w:pPr>
        <w:spacing w:before="120" w:after="120" w:line="276"/>
      </w:pPr>
      <w:r>
        <w:rPr>
          <w:rFonts w:ascii="Georgia" w:cs="Georgia" w:eastAsia="Georgia" w:hAnsi="Georgia"/>
          <w:b/>
          <w:bCs/>
          <w:sz w:val="24"/>
          <w:szCs w:val="24"/>
        </w:rPr>
        <w:t xml:space="preserve">If the warrant is ANALOGICAL</w:t>
      </w:r>
      <w:r>
        <w:rPr>
          <w:rFonts w:ascii="Georgia" w:cs="Georgia" w:eastAsia="Georgia" w:hAnsi="Georgia"/>
          <w:sz w:val="24"/>
          <w:szCs w:val="24"/>
        </w:rPr>
        <w:t xml:space="preserve"> (we know that daylight affects serotonin in rats, and we are reasoning by analogy to humans), then we face an additional transfer gap: the analogy between rat neurochemistry and human neurochemistry might break down in ways that no amount of rat data can reveal. The S-nodes would need to include every point at which the rat-to-human analogy might fail—but identifying those points requires precisely the kind of cross-species mechanistic knowledge that the analogical warrant does not provide.</w:t>
      </w:r>
    </w:p>
    <w:p>
      <w:pPr>
        <w:spacing w:before="120" w:after="120" w:line="276"/>
      </w:pPr>
      <w:r>
        <w:rPr>
          <w:rFonts w:ascii="Georgia" w:cs="Georgia" w:eastAsia="Georgia" w:hAnsi="Georgia"/>
          <w:b/>
          <w:bCs/>
          <w:sz w:val="24"/>
          <w:szCs w:val="24"/>
        </w:rPr>
        <w:t xml:space="preserve">If the warrant is CAPACITY</w:t>
      </w:r>
      <w:r>
        <w:rPr>
          <w:rFonts w:ascii="Georgia" w:cs="Georgia" w:eastAsia="Georgia" w:hAnsi="Georgia"/>
          <w:sz w:val="24"/>
          <w:szCs w:val="24"/>
        </w:rPr>
        <w:t xml:space="preserve"> (we know the human visual system can detect the relevant wavelengths, and we know the raphe nuclei can synthesize serotonin, but nobody has connected the two in a building context), then we are asserting that the causal mechanism could operate but has not been shown to operate. The transfer is speculative—the system has the hardware but may not be running the software.</w:t>
      </w:r>
    </w:p>
    <w:p>
      <w:pPr>
        <w:spacing w:before="120" w:after="120" w:line="276"/>
        <w:ind w:firstLine="360"/>
      </w:pPr>
      <w:r>
        <w:rPr>
          <w:rFonts w:ascii="Georgia" w:cs="Georgia" w:eastAsia="Georgia" w:hAnsi="Georgia"/>
          <w:b w:val="false"/>
          <w:bCs w:val="false"/>
          <w:i w:val="false"/>
          <w:iCs w:val="false"/>
          <w:sz w:val="24"/>
          <w:szCs w:val="24"/>
        </w:rPr>
        <w:t xml:space="preserve">In every case, the structural equation is the same: S = f(D, U). Pearl’s framework treats all four cases identically. But they are not the same. They differ in their vulnerability to context-dependent failure, in their predictive power for novel contexts, and in the kind of new evidence that would strengthen or weaken them. The warrant type carries information about the robustness of the causal claim to contextual perturbation—information that Pearl’s framework explicitly discards.</w:t>
      </w:r>
    </w:p>
    <w:p>
      <w:r>
        <w:br w:type="page"/>
      </w:r>
    </w:p>
    <w:p>
      <w:pPr>
        <w:pStyle w:val="Heading1"/>
        <w:spacing w:before="360" w:after="200"/>
      </w:pPr>
      <w:r>
        <w:rPr>
          <w:rFonts w:ascii="Georgia" w:cs="Georgia" w:eastAsia="Georgia" w:hAnsi="Georgia"/>
          <w:b/>
          <w:bCs/>
          <w:sz w:val="32"/>
          <w:szCs w:val="32"/>
        </w:rPr>
        <w:t xml:space="preserve">4. The Information-Theoretic Argument: Typed Edges Reduce Posterior Entropy</w:t>
      </w:r>
    </w:p>
    <w:p>
      <w:pPr>
        <w:spacing w:before="120" w:after="120" w:line="276"/>
        <w:ind w:firstLine="360"/>
      </w:pPr>
      <w:r>
        <w:rPr>
          <w:rFonts w:ascii="Georgia" w:cs="Georgia" w:eastAsia="Georgia" w:hAnsi="Georgia"/>
          <w:b w:val="false"/>
          <w:bCs w:val="false"/>
          <w:i w:val="false"/>
          <w:iCs w:val="false"/>
          <w:sz w:val="24"/>
          <w:szCs w:val="24"/>
        </w:rPr>
        <w:t xml:space="preserve">There is a precise information-theoretic way to state why typed edges matter. Pearl’s objection implicitly assumes that the only relevant uncertainty is uncertainty about causal effects: P(Y | do(X)). But the ATLAS system operates in a regime where there is also uncertainty about whether the graph transfers—what we might call “structural uncertainty” or “transportability uncertainty.”</w:t>
      </w:r>
    </w:p>
    <w:p>
      <w:pPr>
        <w:spacing w:before="120" w:after="120" w:line="276"/>
        <w:ind w:firstLine="360"/>
      </w:pPr>
      <w:r>
        <w:rPr>
          <w:rFonts w:ascii="Georgia" w:cs="Georgia" w:eastAsia="Georgia" w:hAnsi="Georgia"/>
          <w:b w:val="false"/>
          <w:bCs w:val="false"/>
          <w:i w:val="false"/>
          <w:iCs w:val="false"/>
          <w:sz w:val="24"/>
          <w:szCs w:val="24"/>
        </w:rPr>
        <w:t xml:space="preserve">Let G_lab be the causal graph established in the laboratory, and let G_building be the (unknown) causal graph that holds in the real building. The question is: how much can we learn about G_building from G_lab? The answer depends on the warrant types.</w:t>
      </w:r>
    </w:p>
    <w:p>
      <w:pPr>
        <w:spacing w:before="120" w:after="120" w:line="276"/>
        <w:ind w:firstLine="360"/>
      </w:pPr>
      <w:r>
        <w:rPr>
          <w:rFonts w:ascii="Georgia" w:cs="Georgia" w:eastAsia="Georgia" w:hAnsi="Georgia"/>
          <w:b w:val="false"/>
          <w:bCs w:val="false"/>
          <w:i w:val="false"/>
          <w:iCs w:val="false"/>
          <w:sz w:val="24"/>
          <w:szCs w:val="24"/>
        </w:rPr>
        <w:t xml:space="preserve">Define the structural uncertainty H(G_building | G_lab, τ) as the entropy of the posterior distribution over possible building graphs, conditional on the lab graph and the warrant types. We claim:</w:t>
      </w:r>
    </w:p>
    <w:p>
      <w:pPr>
        <w:spacing w:before="200" w:after="200" w:line="276"/>
      </w:pPr>
      <w:r>
        <w:rPr>
          <w:rFonts w:ascii="Georgia" w:cs="Georgia" w:eastAsia="Georgia" w:hAnsi="Georgia"/>
          <w:b/>
          <w:bCs/>
          <w:sz w:val="24"/>
          <w:szCs w:val="24"/>
        </w:rPr>
        <w:t xml:space="preserve">Claim: </w:t>
      </w:r>
      <w:r>
        <w:rPr>
          <w:rFonts w:ascii="Georgia" w:cs="Georgia" w:eastAsia="Georgia" w:hAnsi="Georgia"/>
          <w:sz w:val="24"/>
          <w:szCs w:val="24"/>
        </w:rPr>
        <w:t xml:space="preserve">H(G_building | G_lab, τ) &lt; H(G_building | G_lab) for any informative assignment of warrant types. That is, knowing the warrant types reduces structural uncertainty beyond what is achievable from the graph structure alone.</w:t>
      </w:r>
    </w:p>
    <w:p>
      <w:pPr>
        <w:spacing w:before="120" w:after="120" w:line="276"/>
        <w:ind w:firstLine="360"/>
      </w:pPr>
      <w:r>
        <w:rPr>
          <w:rFonts w:ascii="Georgia" w:cs="Georgia" w:eastAsia="Georgia" w:hAnsi="Georgia"/>
          <w:b w:val="false"/>
          <w:bCs w:val="false"/>
          <w:i w:val="false"/>
          <w:iCs w:val="false"/>
          <w:sz w:val="24"/>
          <w:szCs w:val="24"/>
        </w:rPr>
        <w:t xml:space="preserve">The argument is straightforward. Knowing that an edge is supported by MECHANISM evidence tells you that the edge will transfer unless a specific link in the mechanism is disrupted—a low-probability event for well-established mechanisms. Knowing that an edge is supported by EMPIRICAL_COVARIANCE evidence tells you that the edge may fail to transfer whenever the confounding structure changes—a higher-probability event in novel contexts. Knowing that an edge is supported only by THEORETICAL_DEFAULT evidence tells you that the edge is a conjecture with no empirical support—a very high-probability candidate for transfer failure. Each of these probabilities constrains the posterior distribution over G_building, reducing H(G_building | G_lab, τ) below H(G_building | G_lab).</w:t>
      </w:r>
    </w:p>
    <w:p>
      <w:pPr>
        <w:spacing w:before="120" w:after="120" w:line="276"/>
        <w:ind w:firstLine="360"/>
      </w:pPr>
      <w:r>
        <w:rPr>
          <w:rFonts w:ascii="Georgia" w:cs="Georgia" w:eastAsia="Georgia" w:hAnsi="Georgia"/>
          <w:b w:val="false"/>
          <w:bCs w:val="false"/>
          <w:i w:val="false"/>
          <w:iCs w:val="false"/>
          <w:sz w:val="24"/>
          <w:szCs w:val="24"/>
        </w:rPr>
        <w:t xml:space="preserve">This is not merely a philosophical point. It has computational consequences. The discount factors in the projection function π are precisely the system’s encoding of how much structural uncertainty is reduced by each warrant type. A MECHANISM warrant with d = 0.80 transmits 80% of the deviation from ignorance because mechanistic knowledge is robust to contextual perturbation. An ANALOGICAL warrant with d = 0.40 transmits only 40% because analogical knowledge is fragile across contexts. These are not decorations; they are quantitative measures of information content for the cross-context transfer problem.</w:t>
      </w:r>
    </w:p>
    <w:p>
      <w:pPr>
        <w:spacing w:before="120" w:after="120" w:line="276"/>
        <w:ind w:firstLine="360"/>
      </w:pPr>
      <w:r>
        <w:rPr>
          <w:rFonts w:ascii="Georgia" w:cs="Georgia" w:eastAsia="Georgia" w:hAnsi="Georgia"/>
          <w:b w:val="false"/>
          <w:bCs w:val="false"/>
          <w:i w:val="false"/>
          <w:iCs w:val="false"/>
          <w:sz w:val="24"/>
          <w:szCs w:val="24"/>
        </w:rPr>
        <w:t xml:space="preserve">Pearl might respond that this information should be encoded in the confidence one has in the structural equation itself—that instead of typing the edge, one should simply assign a lower probability to the graph containing that edge. This is a reasonable position, but it loses the structure of the uncertainty. Knowing that an edge might fail because the mechanism is disrupted is different from knowing that it might fail because the correlation was confounded, and these two failure modes call for different remedies (new mechanistic studies vs. new observational studies in the target context). Collapsing these distinct failure modes into a single probability over graph structures discards actionable information.</w:t>
      </w:r>
    </w:p>
    <w:p>
      <w:r>
        <w:br w:type="page"/>
      </w:r>
    </w:p>
    <w:p>
      <w:pPr>
        <w:pStyle w:val="Heading1"/>
        <w:spacing w:before="360" w:after="200"/>
      </w:pPr>
      <w:r>
        <w:rPr>
          <w:rFonts w:ascii="Georgia" w:cs="Georgia" w:eastAsia="Georgia" w:hAnsi="Georgia"/>
          <w:b/>
          <w:bCs/>
          <w:sz w:val="32"/>
          <w:szCs w:val="32"/>
        </w:rPr>
        <w:t xml:space="preserve">5. The Pearl Causal Hierarchy and the Orthogonal Axis of Warrant Types</w:t>
      </w:r>
    </w:p>
    <w:p>
      <w:pPr>
        <w:pStyle w:val="Heading2"/>
        <w:spacing w:before="300" w:after="160"/>
      </w:pPr>
      <w:r>
        <w:rPr>
          <w:rFonts w:ascii="Georgia" w:cs="Georgia" w:eastAsia="Georgia" w:hAnsi="Georgia"/>
          <w:b/>
          <w:bCs/>
          <w:sz w:val="28"/>
          <w:szCs w:val="28"/>
        </w:rPr>
        <w:t xml:space="preserve">5.1 Pearl’s Vertical Hierarchy</w:t>
      </w:r>
    </w:p>
    <w:p>
      <w:pPr>
        <w:spacing w:before="120" w:after="120" w:line="276"/>
        <w:ind w:firstLine="360"/>
      </w:pPr>
      <w:r>
        <w:rPr>
          <w:rFonts w:ascii="Georgia" w:cs="Georgia" w:eastAsia="Georgia" w:hAnsi="Georgia"/>
          <w:b w:val="false"/>
          <w:bCs w:val="false"/>
          <w:i w:val="false"/>
          <w:iCs w:val="false"/>
          <w:sz w:val="24"/>
          <w:szCs w:val="24"/>
        </w:rPr>
        <w:t xml:space="preserve">Pearl’s Causal Hierarchy (PCH)—the “ladder of causation” described in Pearl and Mackenzie (2018) and formalized in Bareinboim, Correa, Ibeling, and Icard (2022)—organizes causal reasoning into three levels. Level 1 (Association) concerns observational distributions: P(Y | X). Level 2 (Intervention) concerns interventional distributions: P(Y | do(X)). Level 3 (Counterfactual) concerns hypothetical distributions: P(Y_x | X = x′, Y = y). The Causal Hierarchy Theorem (CHT) proves that these levels almost always separate: observational data alone cannot answer interventional questions, and interventional data alone cannot answer counterfactual questions. Climbing the ladder requires additional causal assumptions.</w:t>
      </w:r>
    </w:p>
    <w:p>
      <w:pPr>
        <w:spacing w:before="120" w:after="120" w:line="276"/>
        <w:ind w:firstLine="360"/>
      </w:pPr>
      <w:r>
        <w:rPr>
          <w:rFonts w:ascii="Georgia" w:cs="Georgia" w:eastAsia="Georgia" w:hAnsi="Georgia"/>
          <w:b w:val="false"/>
          <w:bCs w:val="false"/>
          <w:i w:val="false"/>
          <w:iCs w:val="false"/>
          <w:sz w:val="24"/>
          <w:szCs w:val="24"/>
        </w:rPr>
        <w:t xml:space="preserve">This hierarchy is vertical: it organizes the complexity of the causal question being asked. It says nothing about the evidential basis for the causal assumptions being made. A Level 2 question (“What happens if I install larger windows?”) receives the same treatment in Pearl’s framework regardless of whether the causal assumptions rest on randomized experiments, observational studies, mechanistic models, or theoretical defaults.</w:t>
      </w:r>
    </w:p>
    <w:p>
      <w:pPr>
        <w:pStyle w:val="Heading2"/>
        <w:spacing w:before="300" w:after="160"/>
      </w:pPr>
      <w:r>
        <w:rPr>
          <w:rFonts w:ascii="Georgia" w:cs="Georgia" w:eastAsia="Georgia" w:hAnsi="Georgia"/>
          <w:b/>
          <w:bCs/>
          <w:sz w:val="28"/>
          <w:szCs w:val="28"/>
        </w:rPr>
        <w:t xml:space="preserve">5.2 The EWG’s Horizontal Axis</w:t>
      </w:r>
    </w:p>
    <w:p>
      <w:pPr>
        <w:spacing w:before="120" w:after="120" w:line="276"/>
        <w:ind w:firstLine="360"/>
      </w:pPr>
      <w:r>
        <w:rPr>
          <w:rFonts w:ascii="Georgia" w:cs="Georgia" w:eastAsia="Georgia" w:hAnsi="Georgia"/>
          <w:b w:val="false"/>
          <w:bCs w:val="false"/>
          <w:i w:val="false"/>
          <w:iCs w:val="false"/>
          <w:sz w:val="24"/>
          <w:szCs w:val="24"/>
        </w:rPr>
        <w:t xml:space="preserve">The warrant type system introduces an orthogonal axis—what we might call the evidential provenance axis. This axis does not organize the complexity of the question; it organizes the quality and character of the evidence supporting the causal assumptions. It is horizontal where Pearl’s hierarchy is vertical.</w:t>
      </w:r>
    </w:p>
    <w:p>
      <w:pPr>
        <w:spacing w:before="120" w:after="120" w:line="276"/>
        <w:ind w:firstLine="360"/>
      </w:pPr>
      <w:r>
        <w:rPr>
          <w:rFonts w:ascii="Georgia" w:cs="Georgia" w:eastAsia="Georgia" w:hAnsi="Georgia"/>
          <w:b w:val="false"/>
          <w:bCs w:val="false"/>
          <w:i w:val="false"/>
          <w:iCs w:val="false"/>
          <w:sz w:val="24"/>
          <w:szCs w:val="24"/>
        </w:rPr>
        <w:t xml:space="preserve">The two axes cross-cut each other completely. Any warrant type can support causal assumptions at any level of Pearl’s hierarchy. A MECHANISM warrant can support a Level 1 claim (the mechanism predicts an observed association), a Level 2 claim (the mechanism predicts what will happen under intervention), or a Level 3 claim (the mechanism predicts what would have happened had conditions been different). Similarly, an EMPIRICAL_COVARIANCE warrant supports Level 1 claims directly and Level 2 claims only with additional assumptions (no unmeasured confounders). An ANALOGICAL warrant provides weak support at all three levels.</w:t>
      </w:r>
    </w:p>
    <w:p>
      <w:pPr>
        <w:spacing w:before="120" w:after="120" w:line="276"/>
        <w:ind w:firstLine="360"/>
      </w:pPr>
      <w:r>
        <w:rPr>
          <w:rFonts w:ascii="Georgia" w:cs="Georgia" w:eastAsia="Georgia" w:hAnsi="Georgia"/>
          <w:b w:val="false"/>
          <w:bCs w:val="false"/>
          <w:i w:val="false"/>
          <w:iCs w:val="false"/>
          <w:sz w:val="24"/>
          <w:szCs w:val="24"/>
        </w:rPr>
        <w:t xml:space="preserve">This orthogonality is the key to the argument. The warrant types do not compete with Pearl’s hierarchy; they complement it. Pearl’s hierarchy tells you what kind of question you can answer. The warrant types tell you how much you should trust the answer. Pearl tells you what is computable given your assumptions. The EWG tells you how robust those assumptions are likely to be in a new context.</w:t>
      </w:r>
    </w:p>
    <w:p>
      <w:pPr>
        <w:pStyle w:val="Heading2"/>
        <w:spacing w:before="300" w:after="160"/>
      </w:pPr>
      <w:r>
        <w:rPr>
          <w:rFonts w:ascii="Georgia" w:cs="Georgia" w:eastAsia="Georgia" w:hAnsi="Georgia"/>
          <w:b/>
          <w:bCs/>
          <w:sz w:val="28"/>
          <w:szCs w:val="28"/>
        </w:rPr>
        <w:t xml:space="preserve">5.3 The Interaction: Why the Two Axes Together Are More Than Either Alone</w:t>
      </w:r>
    </w:p>
    <w:p>
      <w:pPr>
        <w:spacing w:before="120" w:after="120" w:line="276"/>
        <w:ind w:firstLine="360"/>
      </w:pPr>
      <w:r>
        <w:rPr>
          <w:rFonts w:ascii="Georgia" w:cs="Georgia" w:eastAsia="Georgia" w:hAnsi="Georgia"/>
          <w:b w:val="false"/>
          <w:bCs w:val="false"/>
          <w:i w:val="false"/>
          <w:iCs w:val="false"/>
          <w:sz w:val="24"/>
          <w:szCs w:val="24"/>
        </w:rPr>
        <w:t xml:space="preserve">The interaction between the two axes produces insights that neither can generate alone. Consider an architect asking: “If I install larger windows in this hospital, will patients recover faster?” This is a Level 2 (interventional) question in Pearl’s hierarchy. Pearl’s framework says: draw the causal graph, specify the structural equations, and compute P(Recovery | do(Windows = large)) using the do-calculus. If the graph is identified, you get a number.</w:t>
      </w:r>
    </w:p>
    <w:p>
      <w:pPr>
        <w:spacing w:before="120" w:after="120" w:line="276"/>
        <w:ind w:firstLine="360"/>
      </w:pPr>
      <w:r>
        <w:rPr>
          <w:rFonts w:ascii="Georgia" w:cs="Georgia" w:eastAsia="Georgia" w:hAnsi="Georgia"/>
          <w:b w:val="false"/>
          <w:bCs w:val="false"/>
          <w:i w:val="false"/>
          <w:iCs w:val="false"/>
          <w:sz w:val="24"/>
          <w:szCs w:val="24"/>
        </w:rPr>
        <w:t xml:space="preserve">But the architect also needs to know: how much should I trust this number? The answer depends on the warrant types supporting the causal graph. If the path from window-size to recovery runs through a MECHANISM warrant (larger windows → more daylight → serotonin → mood → recovery), the architect can have moderate confidence that the effect will replicate in this hospital, because the mechanism is understood and can be checked (Does this building’s glazing transmit the relevant wavelengths? Are there obstructions to direct sunlight?). If the path runs through an EMPIRICAL_COVARIANCE warrant (hospitals with larger windows show faster recovery in observational studies), the architect should be more cautious, because the correlation might be confounded by building age, HVAC quality, or patient socioeconomic status—factors that may differ in this hospital. If the path runs through an ANALOGICAL warrant (larger windows improve worker productivity in offices, and we reason by analogy to patient recovery), the architect should be quite cautious indeed.</w:t>
      </w:r>
    </w:p>
    <w:p>
      <w:pPr>
        <w:spacing w:before="120" w:after="120" w:line="276"/>
        <w:ind w:firstLine="360"/>
      </w:pPr>
      <w:r>
        <w:rPr>
          <w:rFonts w:ascii="Georgia" w:cs="Georgia" w:eastAsia="Georgia" w:hAnsi="Georgia"/>
          <w:b w:val="false"/>
          <w:bCs w:val="false"/>
          <w:i w:val="false"/>
          <w:iCs w:val="false"/>
          <w:sz w:val="24"/>
          <w:szCs w:val="24"/>
        </w:rPr>
        <w:t xml:space="preserve">Pearl’s framework gives the same answer in all three cases—the computed causal effect is determined by the structural equations, not by how those equations were established. The EWG gives different answers, because it tracks the evidential basis and computes transfer reliability accordingly. The architect gets not just a number but a reliability estimate for that number in this specific context, derived from the types of evidence that support it.</w:t>
      </w:r>
    </w:p>
    <w:p>
      <w:r>
        <w:br w:type="page"/>
      </w:r>
    </w:p>
    <w:p>
      <w:pPr>
        <w:pStyle w:val="Heading1"/>
        <w:spacing w:before="360" w:after="200"/>
      </w:pPr>
      <w:r>
        <w:rPr>
          <w:rFonts w:ascii="Georgia" w:cs="Georgia" w:eastAsia="Georgia" w:hAnsi="Georgia"/>
          <w:b/>
          <w:bCs/>
          <w:sz w:val="32"/>
          <w:szCs w:val="32"/>
        </w:rPr>
        <w:t xml:space="preserve">6. Five Things You Cannot Do Without Typed Edges</w:t>
      </w:r>
    </w:p>
    <w:p>
      <w:pPr>
        <w:spacing w:before="120" w:after="120" w:line="276"/>
        <w:ind w:firstLine="360"/>
      </w:pPr>
      <w:r>
        <w:rPr>
          <w:rFonts w:ascii="Georgia" w:cs="Georgia" w:eastAsia="Georgia" w:hAnsi="Georgia"/>
          <w:b w:val="false"/>
          <w:bCs w:val="false"/>
          <w:i w:val="false"/>
          <w:iCs w:val="false"/>
          <w:sz w:val="24"/>
          <w:szCs w:val="24"/>
        </w:rPr>
        <w:t xml:space="preserve">To make the argument concrete, we identify five specific tasks that the ATLAS system performs and that Pearl’s untyped framework cannot support.</w:t>
      </w:r>
    </w:p>
    <w:p>
      <w:pPr>
        <w:pStyle w:val="Heading2"/>
        <w:spacing w:before="300" w:after="160"/>
      </w:pPr>
      <w:r>
        <w:rPr>
          <w:rFonts w:ascii="Georgia" w:cs="Georgia" w:eastAsia="Georgia" w:hAnsi="Georgia"/>
          <w:b/>
          <w:bCs/>
          <w:sz w:val="28"/>
          <w:szCs w:val="28"/>
        </w:rPr>
        <w:t xml:space="preserve">6.1 Targeted Evidence Acquisition</w:t>
      </w:r>
    </w:p>
    <w:p>
      <w:pPr>
        <w:spacing w:before="120" w:after="120" w:line="276"/>
        <w:ind w:firstLine="360"/>
      </w:pPr>
      <w:r>
        <w:rPr>
          <w:rFonts w:ascii="Georgia" w:cs="Georgia" w:eastAsia="Georgia" w:hAnsi="Georgia"/>
          <w:b w:val="false"/>
          <w:bCs w:val="false"/>
          <w:i w:val="false"/>
          <w:iCs w:val="false"/>
          <w:sz w:val="24"/>
          <w:szCs w:val="24"/>
        </w:rPr>
        <w:t xml:space="preserve">When the EWG identifies a claim supported only by weak warrant types (e.g., ANALOGICAL or THEORETICAL_DEFAULT), it generates a specific recommendation for what kind of new evidence would most improve confidence. A claim supported by ANALOGICAL warrant needs a direct empirical study in the target domain (to upgrade the warrant to EMPIRICAL_COVARIANCE or MECHANISM). A claim supported by EMPIRICAL_COVARIANCE needs either a randomized experiment (to address confounding) or a mechanistic study (to upgrade to MECHANISM). A claim supported by CAPACITY needs a bridging experiment showing that the capacity is exercised in practice (to upgrade to FUNCTIONAL or MECHANISM).</w:t>
      </w:r>
    </w:p>
    <w:p>
      <w:pPr>
        <w:spacing w:before="120" w:after="120" w:line="276"/>
        <w:ind w:firstLine="360"/>
      </w:pPr>
      <w:r>
        <w:rPr>
          <w:rFonts w:ascii="Georgia" w:cs="Georgia" w:eastAsia="Georgia" w:hAnsi="Georgia"/>
          <w:b w:val="false"/>
          <w:bCs w:val="false"/>
          <w:i w:val="false"/>
          <w:iCs w:val="false"/>
          <w:sz w:val="24"/>
          <w:szCs w:val="24"/>
        </w:rPr>
        <w:t xml:space="preserve">In Pearl’s framework, all you know is that the structural equation exists. You cannot generate these targeted research recommendations because you do not know what kind of evidence established the equation in the first place. The untyped framework says “get more data”; the typed framework says “get this specific kind of data.”</w:t>
      </w:r>
    </w:p>
    <w:p>
      <w:pPr>
        <w:pStyle w:val="Heading2"/>
        <w:spacing w:before="300" w:after="160"/>
      </w:pPr>
      <w:r>
        <w:rPr>
          <w:rFonts w:ascii="Georgia" w:cs="Georgia" w:eastAsia="Georgia" w:hAnsi="Georgia"/>
          <w:b/>
          <w:bCs/>
          <w:sz w:val="28"/>
          <w:szCs w:val="28"/>
        </w:rPr>
        <w:t xml:space="preserve">6.2 Differential Sensitivity to New Evidence</w:t>
      </w:r>
    </w:p>
    <w:p>
      <w:pPr>
        <w:spacing w:before="120" w:after="120" w:line="276"/>
        <w:ind w:firstLine="360"/>
      </w:pPr>
      <w:r>
        <w:rPr>
          <w:rFonts w:ascii="Georgia" w:cs="Georgia" w:eastAsia="Georgia" w:hAnsi="Georgia"/>
          <w:b w:val="false"/>
          <w:bCs w:val="false"/>
          <w:i w:val="false"/>
          <w:iCs w:val="false"/>
          <w:sz w:val="24"/>
          <w:szCs w:val="24"/>
        </w:rPr>
        <w:t xml:space="preserve">When new evidence arrives, the update to the system should depend on the type of the existing warrant. If you have a MECHANISM warrant and new correlational data confirms the prediction, the update should be modest—the mechanism already explained the correlation. But if you have only an EMPIRICAL_COVARIANCE warrant and new mechanistic evidence identifies the pathway, the update should be substantial—you have gained explanatory depth that increases transfer reliability. In Pearl’s framework, an update to the conditional probability P(Y | X) looks the same regardless of whether the prior was based on mechanism or correlation. The typed system computes different updates depending on the evidential interaction between old and new warrants.</w:t>
      </w:r>
    </w:p>
    <w:p>
      <w:pPr>
        <w:pStyle w:val="Heading2"/>
        <w:spacing w:before="300" w:after="160"/>
      </w:pPr>
      <w:r>
        <w:rPr>
          <w:rFonts w:ascii="Georgia" w:cs="Georgia" w:eastAsia="Georgia" w:hAnsi="Georgia"/>
          <w:b/>
          <w:bCs/>
          <w:sz w:val="28"/>
          <w:szCs w:val="28"/>
        </w:rPr>
        <w:t xml:space="preserve">6.3 Confounding Risk Assessment</w:t>
      </w:r>
    </w:p>
    <w:p>
      <w:pPr>
        <w:spacing w:before="120" w:after="120" w:line="276"/>
        <w:ind w:firstLine="360"/>
      </w:pPr>
      <w:r>
        <w:rPr>
          <w:rFonts w:ascii="Georgia" w:cs="Georgia" w:eastAsia="Georgia" w:hAnsi="Georgia"/>
          <w:b w:val="false"/>
          <w:bCs w:val="false"/>
          <w:i w:val="false"/>
          <w:iCs w:val="false"/>
          <w:sz w:val="24"/>
          <w:szCs w:val="24"/>
        </w:rPr>
        <w:t xml:space="preserve">The warrant types implicitly encode vulnerability to confounding. CONSTITUTIVE warrants are immune to confounding (you cannot confound an identity). MECHANISM warrants are partially protected (the mechanism identifies the causal pathway, making specific confounders identifiable). EMPIRICAL_COVARIANCE warrants are fully vulnerable (any unmeasured common cause could explain the association). In Pearl’s framework, confounding is addressed through the back-door criterion and instrumental variables—but these require knowing the complete causal graph, including unmeasured variables. The warrant types provide a heuristic confounding risk assessment that is available even when the complete graph is not known.</w:t>
      </w:r>
    </w:p>
    <w:p>
      <w:pPr>
        <w:pStyle w:val="Heading2"/>
        <w:spacing w:before="300" w:after="160"/>
      </w:pPr>
      <w:r>
        <w:rPr>
          <w:rFonts w:ascii="Georgia" w:cs="Georgia" w:eastAsia="Georgia" w:hAnsi="Georgia"/>
          <w:b/>
          <w:bCs/>
          <w:sz w:val="28"/>
          <w:szCs w:val="28"/>
        </w:rPr>
        <w:t xml:space="preserve">6.4 Explanation and Audit</w:t>
      </w:r>
    </w:p>
    <w:p>
      <w:pPr>
        <w:spacing w:before="120" w:after="120" w:line="276"/>
        <w:ind w:firstLine="360"/>
      </w:pPr>
      <w:r>
        <w:rPr>
          <w:rFonts w:ascii="Georgia" w:cs="Georgia" w:eastAsia="Georgia" w:hAnsi="Georgia"/>
          <w:b w:val="false"/>
          <w:bCs w:val="false"/>
          <w:i w:val="false"/>
          <w:iCs w:val="false"/>
          <w:sz w:val="24"/>
          <w:szCs w:val="24"/>
        </w:rPr>
        <w:t xml:space="preserve">When an architect asks “Why does the system recommend larger windows?”, the EWG can provide a Toulminian explanation: “The data show that daylight increases serotonin production (MECHANISM warrant, based on Lambert et al., 2002, identifying the retinal-raphe pathway), and that serotonin elevation improves mood (MECHANISM warrant, based on Aan het Rot et al., 2009, identifying the 5-HT receptor pathway). The combined mechanistic chain from daylight to mood has a projected confidence of 0.70.” This explanation traces the claim through specific pieces of evidence of specific types. In Pearl’s framework, the explanation would be: “The structural equation predicts that do(windows = large) increases P(mood = positive) by 0.20.” This is a correct answer to a different question—it tells you what the model predicts but not why you should believe the model.</w:t>
      </w:r>
    </w:p>
    <w:p>
      <w:pPr>
        <w:pStyle w:val="Heading2"/>
        <w:spacing w:before="300" w:after="160"/>
      </w:pPr>
      <w:r>
        <w:rPr>
          <w:rFonts w:ascii="Georgia" w:cs="Georgia" w:eastAsia="Georgia" w:hAnsi="Georgia"/>
          <w:b/>
          <w:bCs/>
          <w:sz w:val="28"/>
          <w:szCs w:val="28"/>
        </w:rPr>
        <w:t xml:space="preserve">6.5 Graceful Degradation Under Evidential Challenge</w:t>
      </w:r>
    </w:p>
    <w:p>
      <w:pPr>
        <w:spacing w:before="120" w:after="120" w:line="276"/>
        <w:ind w:firstLine="360"/>
      </w:pPr>
      <w:r>
        <w:rPr>
          <w:rFonts w:ascii="Georgia" w:cs="Georgia" w:eastAsia="Georgia" w:hAnsi="Georgia"/>
          <w:b w:val="false"/>
          <w:bCs w:val="false"/>
          <w:i w:val="false"/>
          <w:iCs w:val="false"/>
          <w:sz w:val="24"/>
          <w:szCs w:val="24"/>
        </w:rPr>
        <w:t xml:space="preserve">When a key study is retracted or fails to replicate, the system needs to update. In the EWG, the impact of the retraction depends on the warrant type of the affected edge. If a MECHANISM warrant is invalidated (the proposed pathway does not exist), the claim may still be supported by an EMPIRICAL_COVARIANCE warrant (the correlation is still observed), though with reduced confidence and increased vulnerability to confounding. If an EMPIRICAL_COVARIANCE warrant fails (the correlation does not replicate), a MECHANISM warrant may still support the claim (the pathway exists, so the effect should occur even if it was not observed in the failed study—perhaps due to a methodological problem). The system degrades gracefully because different warrant types provide independent lines of evidence.</w:t>
      </w:r>
    </w:p>
    <w:p>
      <w:pPr>
        <w:spacing w:before="120" w:after="120" w:line="276"/>
        <w:ind w:firstLine="360"/>
      </w:pPr>
      <w:r>
        <w:rPr>
          <w:rFonts w:ascii="Georgia" w:cs="Georgia" w:eastAsia="Georgia" w:hAnsi="Georgia"/>
          <w:b w:val="false"/>
          <w:bCs w:val="false"/>
          <w:i w:val="false"/>
          <w:iCs w:val="false"/>
          <w:sz w:val="24"/>
          <w:szCs w:val="24"/>
        </w:rPr>
        <w:t xml:space="preserve">In Pearl’s framework, retracting a study means either removing an edge from the graph (if no other evidence supports it) or leaving it unchanged (if other evidence supports it). But the system cannot distinguish between a claim that lost its mechanistic support but retains correlational support and a claim that lost its correlational support but retains mechanistic support—two situations that call for very different responses.</w:t>
      </w:r>
    </w:p>
    <w:p>
      <w:r>
        <w:br w:type="page"/>
      </w:r>
    </w:p>
    <w:p>
      <w:pPr>
        <w:pStyle w:val="Heading1"/>
        <w:spacing w:before="360" w:after="200"/>
      </w:pPr>
      <w:r>
        <w:rPr>
          <w:rFonts w:ascii="Georgia" w:cs="Georgia" w:eastAsia="Georgia" w:hAnsi="Georgia"/>
          <w:b/>
          <w:bCs/>
          <w:sz w:val="32"/>
          <w:szCs w:val="32"/>
        </w:rPr>
        <w:t xml:space="preserve">7. The Deeper Point: Two Kinds of Uncertainty Require Two Kinds of Structure</w:t>
      </w:r>
    </w:p>
    <w:p>
      <w:pPr>
        <w:spacing w:before="120" w:after="120" w:line="276"/>
        <w:ind w:firstLine="360"/>
      </w:pPr>
      <w:r>
        <w:rPr>
          <w:rFonts w:ascii="Georgia" w:cs="Georgia" w:eastAsia="Georgia" w:hAnsi="Georgia"/>
          <w:b w:val="false"/>
          <w:bCs w:val="false"/>
          <w:i w:val="false"/>
          <w:iCs w:val="false"/>
          <w:sz w:val="24"/>
          <w:szCs w:val="24"/>
        </w:rPr>
        <w:t xml:space="preserve">The deepest response to Pearl is that the ATLAS system is built around a distinction that Pearl’s framework deliberately collapses: the distinction between aleatory and epistemic uncertainty. This distinction, which Der Kiureghian and Ditlevsen (2009) showed is fundamental to engineering reliability, maps directly onto the dual architecture of the system.</w:t>
      </w:r>
    </w:p>
    <w:p>
      <w:pPr>
        <w:spacing w:before="120" w:after="120" w:line="276"/>
        <w:ind w:firstLine="360"/>
      </w:pPr>
      <w:r>
        <w:rPr>
          <w:rFonts w:ascii="Georgia" w:cs="Georgia" w:eastAsia="Georgia" w:hAnsi="Georgia"/>
          <w:b w:val="false"/>
          <w:bCs w:val="false"/>
          <w:i w:val="false"/>
          <w:iCs w:val="false"/>
          <w:sz w:val="24"/>
          <w:szCs w:val="24"/>
        </w:rPr>
        <w:t xml:space="preserve">Aleatory uncertainty concerns the stochastic variability of outcomes—the inherent randomness in how people respond to architectural features. Even in a perfectly understood system, different individuals will respond differently to daylight. This uncertainty is irreducible and is properly represented by probability distributions in a Bayesian Network. Pearl’s framework handles this beautifully.</w:t>
      </w:r>
    </w:p>
    <w:p>
      <w:pPr>
        <w:spacing w:before="120" w:after="120" w:line="276"/>
        <w:ind w:firstLine="360"/>
      </w:pPr>
      <w:r>
        <w:rPr>
          <w:rFonts w:ascii="Georgia" w:cs="Georgia" w:eastAsia="Georgia" w:hAnsi="Georgia"/>
          <w:b w:val="false"/>
          <w:bCs w:val="false"/>
          <w:i w:val="false"/>
          <w:iCs w:val="false"/>
          <w:sz w:val="24"/>
          <w:szCs w:val="24"/>
        </w:rPr>
        <w:t xml:space="preserve">Epistemic uncertainty concerns our ignorance about the causal structure itself—whether the right variables are in the model, whether the structural equations have the right form, whether the relationships will transfer to new contexts. This uncertainty is reducible by gathering new evidence, and its magnitude depends on the quality and character of existing evidence. It is this uncertainty that the warrant types encode.</w:t>
      </w:r>
    </w:p>
    <w:p>
      <w:pPr>
        <w:spacing w:before="120" w:after="120" w:line="276"/>
        <w:ind w:firstLine="360"/>
      </w:pPr>
      <w:r>
        <w:rPr>
          <w:rFonts w:ascii="Georgia" w:cs="Georgia" w:eastAsia="Georgia" w:hAnsi="Georgia"/>
          <w:b w:val="false"/>
          <w:bCs w:val="false"/>
          <w:i w:val="false"/>
          <w:iCs w:val="false"/>
          <w:sz w:val="24"/>
          <w:szCs w:val="24"/>
        </w:rPr>
        <w:t xml:space="preserve">Pearl’s framework collapses these two kinds of uncertainty into one: both are represented as probabilities over model structures (in Bayesian model averaging) or as error terms in structural equations. This collapse is deliberate and, for many purposes, harmless. But for the specific problem of cross-context transfer, it is actively harmful, because it prevents the system from distinguishing between claims that are uncertain because the world is noisy (aleatory) and claims that are uncertain because our evidence is weak (epistemic). The architect needs to know: is this 0.70 probability uncertain because people genuinely vary (in which case, the 0.70 is a reliable estimate of a noisy phenomenon), or is it uncertain because the evidence is analogical rather than mechanistic (in which case, the 0.70 might be wildly wrong in a new context)?</w:t>
      </w:r>
    </w:p>
    <w:p>
      <w:pPr>
        <w:spacing w:before="120" w:after="120" w:line="276"/>
        <w:ind w:firstLine="360"/>
      </w:pPr>
      <w:r>
        <w:rPr>
          <w:rFonts w:ascii="Georgia" w:cs="Georgia" w:eastAsia="Georgia" w:hAnsi="Georgia"/>
          <w:b w:val="false"/>
          <w:bCs w:val="false"/>
          <w:i w:val="false"/>
          <w:iCs w:val="false"/>
          <w:sz w:val="24"/>
          <w:szCs w:val="24"/>
        </w:rPr>
        <w:t xml:space="preserve">The dual architecture of the ATLAS system—the EWG for epistemic uncertainty, the BN for aleatory uncertainty—exists to preserve this distinction. The projection function π is the bridge between the two: it translates epistemic assessments (warrant types, confidence weights) into aleatory parameters (conditional probabilities). The typed edges live in the epistemic layer and carry information that the aleatory layer cannot represent. Removing them—collapsing the dual architecture into a single BN—would destroy the distinction between aleatory and epistemic uncertainty, which is the very distinction that makes responsible evidence-based design possible.</w:t>
      </w:r>
    </w:p>
    <w:p>
      <w:r>
        <w:br w:type="page"/>
      </w:r>
    </w:p>
    <w:p>
      <w:pPr>
        <w:pStyle w:val="Heading1"/>
        <w:spacing w:before="360" w:after="200"/>
      </w:pPr>
      <w:r>
        <w:rPr>
          <w:rFonts w:ascii="Georgia" w:cs="Georgia" w:eastAsia="Georgia" w:hAnsi="Georgia"/>
          <w:b/>
          <w:bCs/>
          <w:sz w:val="32"/>
          <w:szCs w:val="32"/>
        </w:rPr>
        <w:t xml:space="preserve">8. Warrant Types as Operationalizations of Woodward’s Invariance Conditions</w:t>
      </w:r>
    </w:p>
    <w:p>
      <w:pPr>
        <w:pStyle w:val="Heading2"/>
        <w:spacing w:before="300" w:after="160"/>
      </w:pPr>
      <w:r>
        <w:rPr>
          <w:rFonts w:ascii="Georgia" w:cs="Georgia" w:eastAsia="Georgia" w:hAnsi="Georgia"/>
          <w:b/>
          <w:bCs/>
          <w:sz w:val="28"/>
          <w:szCs w:val="28"/>
        </w:rPr>
        <w:t xml:space="preserve">8.1 Woodward’s Key Insight: Not All Causal Relationships Are Equally Stable</w:t>
      </w:r>
    </w:p>
    <w:p>
      <w:pPr>
        <w:spacing w:before="120" w:after="120" w:line="276"/>
        <w:ind w:firstLine="360"/>
      </w:pPr>
      <w:r>
        <w:rPr>
          <w:rFonts w:ascii="Georgia" w:cs="Georgia" w:eastAsia="Georgia" w:hAnsi="Georgia"/>
          <w:b w:val="false"/>
          <w:bCs w:val="false"/>
          <w:i w:val="false"/>
          <w:iCs w:val="false"/>
          <w:sz w:val="24"/>
          <w:szCs w:val="24"/>
        </w:rPr>
        <w:t xml:space="preserve">James Woodward’s interventionist account of causation provides an independent philosophical argument for why typed edges are necessary, one that complements the information-theoretic argument of Section 4 and cuts to the heart of Pearl’s framework from within. Woodward’s central contribution—developed across a series of landmark publications (Woodward, 1997, 2000, 2003, 2010)—is the concept of invariance: a causal generalization is invariant to the extent that it continues to hold under changes in background conditions and interventions on the cause variable.</w:t>
      </w:r>
    </w:p>
    <w:p>
      <w:pPr>
        <w:spacing w:before="120" w:after="120" w:line="276"/>
        <w:ind w:firstLine="360"/>
      </w:pPr>
      <w:r>
        <w:rPr>
          <w:rFonts w:ascii="Georgia" w:cs="Georgia" w:eastAsia="Georgia" w:hAnsi="Georgia"/>
          <w:b w:val="false"/>
          <w:bCs w:val="false"/>
          <w:i w:val="false"/>
          <w:iCs w:val="false"/>
          <w:sz w:val="24"/>
          <w:szCs w:val="24"/>
        </w:rPr>
        <w:t xml:space="preserve">The crucial point is that invariance comes in degrees. Woodward is explicit about this. Some causal relationships are highly invariant: they hold under a wide range of background conditions and survive many kinds of perturbation. The relationship between gravitational force and mass is invariant across virtually all earthly contexts. Other causal relationships are fragile: they hold under narrow conditions and collapse when background factors shift. The relationship between a particular teaching method and student performance may hold in one cultural context and fail in another. Woodward argues that the degree of invariance is not merely an empirical curiosity but a fundamental feature of the causal relationship itself, one that determines its explanatory depth and its usefulness for prediction and control (Woodward, 2000, 2003, 2010).</w:t>
      </w:r>
    </w:p>
    <w:p>
      <w:pPr>
        <w:spacing w:before="120" w:after="120" w:line="276"/>
        <w:ind w:firstLine="360"/>
      </w:pPr>
      <w:r>
        <w:rPr>
          <w:rFonts w:ascii="Georgia" w:cs="Georgia" w:eastAsia="Georgia" w:hAnsi="Georgia"/>
          <w:b w:val="false"/>
          <w:bCs w:val="false"/>
          <w:i w:val="false"/>
          <w:iCs w:val="false"/>
          <w:sz w:val="24"/>
          <w:szCs w:val="24"/>
        </w:rPr>
        <w:t xml:space="preserve">Pearl’s framework represents both relationships identically: as arrows in a DAG with structural equations. The arrow from “mass” to “gravitatonal force” looks the same as the arrow from “teaching method” to “student performance.” The structural equations make no distinction in kind. But Woodward insists that they are different in kind—that the degree of invariance is part of what it means for a relationship to be causal, and that collapsing this distinction loses information that is essential for prediction, explanation, and intervention planning.</w:t>
      </w:r>
    </w:p>
    <w:p>
      <w:pPr>
        <w:pStyle w:val="Heading2"/>
        <w:spacing w:before="300" w:after="160"/>
      </w:pPr>
      <w:r>
        <w:rPr>
          <w:rFonts w:ascii="Georgia" w:cs="Georgia" w:eastAsia="Georgia" w:hAnsi="Georgia"/>
          <w:b/>
          <w:bCs/>
          <w:sz w:val="28"/>
          <w:szCs w:val="28"/>
        </w:rPr>
        <w:t xml:space="preserve">8.2 The EWG Discount Factors Track Woodward’s Invariance Hierarchy</w:t>
      </w:r>
    </w:p>
    <w:p>
      <w:pPr>
        <w:spacing w:before="120" w:after="120" w:line="276"/>
        <w:ind w:firstLine="360"/>
      </w:pPr>
      <w:r>
        <w:rPr>
          <w:rFonts w:ascii="Georgia" w:cs="Georgia" w:eastAsia="Georgia" w:hAnsi="Georgia"/>
          <w:b w:val="false"/>
          <w:bCs w:val="false"/>
          <w:i w:val="false"/>
          <w:iCs w:val="false"/>
          <w:sz w:val="24"/>
          <w:szCs w:val="24"/>
        </w:rPr>
        <w:t xml:space="preserve">Here is the connection to the EWG: the seven warrant types, and their associated discount factors, operationalize Woodward’s invariance conditions for the specific domain of environmental psychology. They encode, in quantitative form, how invariant each evidential bridge is likely to be across contexts.</w:t>
      </w:r>
    </w:p>
    <w:p>
      <w:pPr>
        <w:spacing w:before="120" w:after="120" w:line="276"/>
        <w:ind w:firstLine="360"/>
      </w:pPr>
      <w:r>
        <w:rPr>
          <w:rFonts w:ascii="Georgia" w:cs="Georgia" w:eastAsia="Georgia" w:hAnsi="Georgia"/>
          <w:b w:val="false"/>
          <w:bCs w:val="false"/>
          <w:i w:val="false"/>
          <w:iCs w:val="false"/>
          <w:sz w:val="24"/>
          <w:szCs w:val="24"/>
        </w:rPr>
        <w:t xml:space="preserve">Consider the ordering:</w:t>
      </w:r>
    </w:p>
    <w:p>
      <w:pPr>
        <w:spacing w:before="120" w:after="120" w:line="276"/>
      </w:pPr>
      <w:r>
        <w:rPr>
          <w:rFonts w:ascii="Georgia" w:cs="Georgia" w:eastAsia="Georgia" w:hAnsi="Georgia"/>
          <w:b/>
          <w:bCs/>
          <w:sz w:val="24"/>
          <w:szCs w:val="24"/>
        </w:rPr>
        <w:t xml:space="preserve">CONSTITUTIVE (d = 0.95)</w:t>
      </w:r>
      <w:r>
        <w:rPr>
          <w:rFonts w:ascii="Georgia" w:cs="Georgia" w:eastAsia="Georgia" w:hAnsi="Georgia"/>
          <w:sz w:val="24"/>
          <w:szCs w:val="24"/>
        </w:rPr>
        <w:t xml:space="preserve"> represents maximal invariance. If ceiling height </w:t>
      </w:r>
      <w:r>
        <w:rPr>
          <w:rFonts w:ascii="Georgia" w:cs="Georgia" w:eastAsia="Georgia" w:hAnsi="Georgia"/>
          <w:i/>
          <w:iCs/>
          <w:sz w:val="24"/>
          <w:szCs w:val="24"/>
        </w:rPr>
        <w:t xml:space="preserve">is</w:t>
      </w:r>
      <w:r>
        <w:rPr>
          <w:rFonts w:ascii="Georgia" w:cs="Georgia" w:eastAsia="Georgia" w:hAnsi="Georgia"/>
          <w:sz w:val="24"/>
          <w:szCs w:val="24"/>
        </w:rPr>
        <w:t xml:space="preserve"> room volume divided by floor area, this identity holds in every context, under every intervention, in every culture. It is as invariant as a relationship can be. In Woodward’s terms, it would survive any intervention on any background variable—because it is not a causal relationship at all but a definitional one, and definitional relationships are trivially invariant.</w:t>
      </w:r>
    </w:p>
    <w:p>
      <w:pPr>
        <w:spacing w:before="120" w:after="120" w:line="276"/>
      </w:pPr>
      <w:r>
        <w:rPr>
          <w:rFonts w:ascii="Georgia" w:cs="Georgia" w:eastAsia="Georgia" w:hAnsi="Georgia"/>
          <w:b/>
          <w:bCs/>
          <w:sz w:val="24"/>
          <w:szCs w:val="24"/>
        </w:rPr>
        <w:t xml:space="preserve">MECHANISM (d = 0.80)</w:t>
      </w:r>
      <w:r>
        <w:rPr>
          <w:rFonts w:ascii="Georgia" w:cs="Georgia" w:eastAsia="Georgia" w:hAnsi="Georgia"/>
          <w:sz w:val="24"/>
          <w:szCs w:val="24"/>
        </w:rPr>
        <w:t xml:space="preserve"> represents high invariance. If we know the mechanistic pathway from daylight to serotonin, we know the specific conditions under which the relationship holds (the relevant wavelengths must reach the retina, the raphe nuclei must be functional). The relationship is invariant under all interventions that preserve the mechanism—a wide range of contexts—and fails only when a specific link in the chain is disrupted. Woodward’s stability, proportionality, and specificity conditions (Woodward, 2010) are all addressed: we know how fine-grained the mapping between cause and effect is, and under what perturbations it holds.</w:t>
      </w:r>
    </w:p>
    <w:p>
      <w:pPr>
        <w:spacing w:before="120" w:after="120" w:line="276"/>
      </w:pPr>
      <w:r>
        <w:rPr>
          <w:rFonts w:ascii="Georgia" w:cs="Georgia" w:eastAsia="Georgia" w:hAnsi="Georgia"/>
          <w:b/>
          <w:bCs/>
          <w:sz w:val="24"/>
          <w:szCs w:val="24"/>
        </w:rPr>
        <w:t xml:space="preserve">EMPIRICAL_COVARIANCE (d = 0.80)</w:t>
      </w:r>
      <w:r>
        <w:rPr>
          <w:rFonts w:ascii="Georgia" w:cs="Georgia" w:eastAsia="Georgia" w:hAnsi="Georgia"/>
          <w:sz w:val="24"/>
          <w:szCs w:val="24"/>
        </w:rPr>
        <w:t xml:space="preserve"> represents moderate invariance with a specific vulnerability. The replicated correlation may be robust across many observed contexts, but because the mechanism is unknown, we cannot predict which background changes will disrupt it. The invariance range is empirically bounded by the contexts in which the correlation has been observed—but it could collapse in any novel context that introduces a confounding shift. Woodward himself notes that generalizations supported only by observed covariance have less explanatory depth than those supported by mechanistic understanding, precisely because their invariance range is harder to characterize (Woodward, 2003, Ch. 5).</w:t>
      </w:r>
    </w:p>
    <w:p>
      <w:pPr>
        <w:spacing w:before="120" w:after="120" w:line="276"/>
      </w:pPr>
      <w:r>
        <w:rPr>
          <w:rFonts w:ascii="Georgia" w:cs="Georgia" w:eastAsia="Georgia" w:hAnsi="Georgia"/>
          <w:b/>
          <w:bCs/>
          <w:sz w:val="24"/>
          <w:szCs w:val="24"/>
        </w:rPr>
        <w:t xml:space="preserve">ANALOGICAL (d = 0.40)</w:t>
      </w:r>
      <w:r>
        <w:rPr>
          <w:rFonts w:ascii="Georgia" w:cs="Georgia" w:eastAsia="Georgia" w:hAnsi="Georgia"/>
          <w:sz w:val="24"/>
          <w:szCs w:val="24"/>
        </w:rPr>
        <w:t xml:space="preserve"> represents low invariance. The relationship holds in a different domain and is being extended by structural similarity. But analogical transfer is notoriously sensitive to surface features that mask deep structural differences (Holyoak &amp; Thagard, 1995). The invariance range is the set of contexts that share the relevant structural features with the source domain—a set that is itself uncertain. This is why the discount is severe: the relationship might be invariant across contexts, or it might not, and we lack the domain-specific knowledge to tell.</w:t>
      </w:r>
    </w:p>
    <w:p>
      <w:pPr>
        <w:spacing w:before="120" w:after="120" w:line="276"/>
      </w:pPr>
      <w:r>
        <w:rPr>
          <w:rFonts w:ascii="Georgia" w:cs="Georgia" w:eastAsia="Georgia" w:hAnsi="Georgia"/>
          <w:b/>
          <w:bCs/>
          <w:sz w:val="24"/>
          <w:szCs w:val="24"/>
        </w:rPr>
        <w:t xml:space="preserve">THEORETICAL_DEFAULT (d = 0.25)</w:t>
      </w:r>
      <w:r>
        <w:rPr>
          <w:rFonts w:ascii="Georgia" w:cs="Georgia" w:eastAsia="Georgia" w:hAnsi="Georgia"/>
          <w:sz w:val="24"/>
          <w:szCs w:val="24"/>
        </w:rPr>
        <w:t xml:space="preserve"> represents minimal invariance. The relationship is conjectured on theoretical grounds without empirical testing. Its invariance range is entirely speculative. The discount reflects the historical base rate at which theoretically plausible causal claims turn out to be empirically supported—a sobering fraction, as the replication crisis in psychology has demonstrated (Open Science Collaboration, 2015).</w:t>
      </w:r>
    </w:p>
    <w:p>
      <w:pPr>
        <w:spacing w:before="120" w:after="120" w:line="276"/>
        <w:ind w:firstLine="360"/>
      </w:pPr>
      <w:r>
        <w:rPr>
          <w:rFonts w:ascii="Georgia" w:cs="Georgia" w:eastAsia="Georgia" w:hAnsi="Georgia"/>
          <w:b w:val="false"/>
          <w:bCs w:val="false"/>
          <w:i w:val="false"/>
          <w:iCs w:val="false"/>
          <w:sz w:val="24"/>
          <w:szCs w:val="24"/>
        </w:rPr>
        <w:t xml:space="preserve">The discount ordering is thus not arbitrary. It tracks the expected invariance range of each warrant type, from definitional (maximally invariant) through mechanistic (invariant across mechanism-preserving contexts) through correlational (invariant across observed contexts) through analogical (invariant across structurally similar contexts) to theoretical (invariance unknown). Woodward’s concept of invariance provides the philosophical justification; the discount factors provide the quantitative implementation.</w:t>
      </w:r>
    </w:p>
    <w:p>
      <w:pPr>
        <w:pStyle w:val="Heading2"/>
        <w:spacing w:before="300" w:after="160"/>
      </w:pPr>
      <w:r>
        <w:rPr>
          <w:rFonts w:ascii="Georgia" w:cs="Georgia" w:eastAsia="Georgia" w:hAnsi="Georgia"/>
          <w:b/>
          <w:bCs/>
          <w:sz w:val="28"/>
          <w:szCs w:val="28"/>
        </w:rPr>
        <w:t xml:space="preserve">8.3 The Argument Pearl Cannot Make: Invariance Requires Provenance</w:t>
      </w:r>
    </w:p>
    <w:p>
      <w:pPr>
        <w:spacing w:before="120" w:after="120" w:line="276"/>
        <w:ind w:firstLine="360"/>
      </w:pPr>
      <w:r>
        <w:rPr>
          <w:rFonts w:ascii="Georgia" w:cs="Georgia" w:eastAsia="Georgia" w:hAnsi="Georgia"/>
          <w:b w:val="false"/>
          <w:bCs w:val="false"/>
          <w:i w:val="false"/>
          <w:iCs w:val="false"/>
          <w:sz w:val="24"/>
          <w:szCs w:val="24"/>
        </w:rPr>
        <w:t xml:space="preserve">This is where the argument bites. Pearl can represent the existence of a causal relationship. He can represent its strength (the structural equation specifies the function). He can even, through the transportability framework, represent that a relationship may differ between contexts (the S-nodes). But he cannot represent the invariance range of a causal relationship, because the invariance range depends on why the relationship holds—the very information that the structural equation discards.</w:t>
      </w:r>
    </w:p>
    <w:p>
      <w:pPr>
        <w:spacing w:before="120" w:after="120" w:line="276"/>
        <w:ind w:firstLine="360"/>
      </w:pPr>
      <w:r>
        <w:rPr>
          <w:rFonts w:ascii="Georgia" w:cs="Georgia" w:eastAsia="Georgia" w:hAnsi="Georgia"/>
          <w:b w:val="false"/>
          <w:bCs w:val="false"/>
          <w:i w:val="false"/>
          <w:iCs w:val="false"/>
          <w:sz w:val="24"/>
          <w:szCs w:val="24"/>
        </w:rPr>
        <w:t xml:space="preserve">Woodward’s invariance is inherently provenance-dependent. To assess whether a generalization is invariant under a class of perturbations, you need to know what sustains the generalization. Is it sustained by a mechanism? Then it is invariant under perturbations that preserve the mechanism. Is it sustained by a confounded correlation? Then it is invariant under perturbations that preserve the confounding structure—but fragile otherwise. Is it sustained by analogy? Then it is invariant to the extent that the analogy holds. Each answer requires knowing the evidential basis—the warrant type—of the causal claim.</w:t>
      </w:r>
    </w:p>
    <w:p>
      <w:pPr>
        <w:spacing w:before="120" w:after="120" w:line="276"/>
        <w:ind w:firstLine="360"/>
      </w:pPr>
      <w:r>
        <w:rPr>
          <w:rFonts w:ascii="Georgia" w:cs="Georgia" w:eastAsia="Georgia" w:hAnsi="Georgia"/>
          <w:b w:val="false"/>
          <w:bCs w:val="false"/>
          <w:i w:val="false"/>
          <w:iCs w:val="false"/>
          <w:sz w:val="24"/>
          <w:szCs w:val="24"/>
        </w:rPr>
        <w:t xml:space="preserve">Pearl might respond that invariance should be encoded directly in the structural equations—that f should be specified as a function not just of X and U but of the background conditions B, so that the equation Y = f(X, B, U) explicitly represents the dependence on context. This is formally possible, but it begs the question. To specify how Y depends on B, you need to know the mechanism by which X affects Y, which is precisely the information that the warrant type provides. The typed edge is not an alternative to the structural equation; it is the metadata that tells you how to construct the structural equation for a new context.</w:t>
      </w:r>
    </w:p>
    <w:p>
      <w:r>
        <w:br w:type="page"/>
      </w:r>
    </w:p>
    <w:p>
      <w:pPr>
        <w:pStyle w:val="Heading1"/>
        <w:spacing w:before="360" w:after="200"/>
      </w:pPr>
      <w:r>
        <w:rPr>
          <w:rFonts w:ascii="Georgia" w:cs="Georgia" w:eastAsia="Georgia" w:hAnsi="Georgia"/>
          <w:b/>
          <w:bCs/>
          <w:sz w:val="32"/>
          <w:szCs w:val="32"/>
        </w:rPr>
        <w:t xml:space="preserve">9. A Formal Worked Example: Daylight, Mood, and Hospital Recovery</w:t>
      </w:r>
    </w:p>
    <w:p>
      <w:pPr>
        <w:spacing w:before="120" w:after="120" w:line="276"/>
        <w:ind w:firstLine="360"/>
      </w:pPr>
      <w:r>
        <w:rPr>
          <w:rFonts w:ascii="Georgia" w:cs="Georgia" w:eastAsia="Georgia" w:hAnsi="Georgia"/>
          <w:b w:val="false"/>
          <w:bCs w:val="false"/>
          <w:i w:val="false"/>
          <w:iCs w:val="false"/>
          <w:sz w:val="24"/>
          <w:szCs w:val="24"/>
        </w:rPr>
        <w:t xml:space="preserve">Abstract arguments have their virtues, but they also have limitations. To make the case concrete, we trace a single architectural claim through both Pearl’s framework and the EWG, showing exactly where the typed edges produce different and more informative outputs.</w:t>
      </w:r>
    </w:p>
    <w:p>
      <w:pPr>
        <w:pStyle w:val="Heading2"/>
        <w:spacing w:before="300" w:after="160"/>
      </w:pPr>
      <w:r>
        <w:rPr>
          <w:rFonts w:ascii="Georgia" w:cs="Georgia" w:eastAsia="Georgia" w:hAnsi="Georgia"/>
          <w:b/>
          <w:bCs/>
          <w:sz w:val="28"/>
          <w:szCs w:val="28"/>
        </w:rPr>
        <w:t xml:space="preserve">9.1 The Claim</w:t>
      </w:r>
    </w:p>
    <w:p>
      <w:pPr>
        <w:spacing w:before="120" w:after="120" w:line="276"/>
        <w:ind w:firstLine="360"/>
      </w:pPr>
      <w:r>
        <w:rPr>
          <w:rFonts w:ascii="Georgia" w:cs="Georgia" w:eastAsia="Georgia" w:hAnsi="Georgia"/>
          <w:b w:val="false"/>
          <w:bCs w:val="false"/>
          <w:i w:val="false"/>
          <w:iCs w:val="false"/>
          <w:sz w:val="24"/>
          <w:szCs w:val="24"/>
        </w:rPr>
        <w:t xml:space="preserve">The claim is: “Increasing the window-to-wall ratio in hospital patient rooms will reduce average length of stay by 0.7 days.” This is a real claim with empirical support (Beauchemin &amp; Hays, 1996; Walch et al., 2005) that an evidence-based design system like ATLAS would need to evaluate for a specific new hospital project.</w:t>
      </w:r>
    </w:p>
    <w:p>
      <w:pPr>
        <w:pStyle w:val="Heading2"/>
        <w:spacing w:before="300" w:after="160"/>
      </w:pPr>
      <w:r>
        <w:rPr>
          <w:rFonts w:ascii="Georgia" w:cs="Georgia" w:eastAsia="Georgia" w:hAnsi="Georgia"/>
          <w:b/>
          <w:bCs/>
          <w:sz w:val="28"/>
          <w:szCs w:val="28"/>
        </w:rPr>
        <w:t xml:space="preserve">9.2 Pearl’s Representation</w:t>
      </w:r>
    </w:p>
    <w:p>
      <w:pPr>
        <w:spacing w:before="120" w:after="120" w:line="276"/>
        <w:ind w:firstLine="360"/>
      </w:pPr>
      <w:r>
        <w:rPr>
          <w:rFonts w:ascii="Georgia" w:cs="Georgia" w:eastAsia="Georgia" w:hAnsi="Georgia"/>
          <w:b w:val="false"/>
          <w:bCs w:val="false"/>
          <w:i w:val="false"/>
          <w:iCs w:val="false"/>
          <w:sz w:val="24"/>
          <w:szCs w:val="24"/>
        </w:rPr>
        <w:t xml:space="preserve">In Pearl’s framework, the claim is represented by a causal path:</w:t>
      </w:r>
    </w:p>
    <w:p>
      <w:pPr>
        <w:spacing w:before="200" w:after="200" w:line="276"/>
        <w:jc w:val="center"/>
      </w:pPr>
      <w:r>
        <w:rPr>
          <w:rFonts w:ascii="Georgia" w:cs="Georgia" w:eastAsia="Georgia" w:hAnsi="Georgia"/>
          <w:b/>
          <w:bCs/>
          <w:i w:val="false"/>
          <w:iCs w:val="false"/>
          <w:sz w:val="24"/>
          <w:szCs w:val="24"/>
        </w:rPr>
        <w:t xml:space="preserve">W → D → S → M → R</w:t>
      </w:r>
    </w:p>
    <w:p>
      <w:pPr>
        <w:spacing w:before="120" w:after="120" w:line="276"/>
        <w:ind w:firstLine="360"/>
      </w:pPr>
      <w:r>
        <w:rPr>
          <w:rFonts w:ascii="Georgia" w:cs="Georgia" w:eastAsia="Georgia" w:hAnsi="Georgia"/>
          <w:b w:val="false"/>
          <w:bCs w:val="false"/>
          <w:i w:val="false"/>
          <w:iCs w:val="false"/>
          <w:sz w:val="24"/>
          <w:szCs w:val="24"/>
        </w:rPr>
        <w:t xml:space="preserve">where W = window-to-wall ratio, D = daylight exposure, S = serotonin levels, M = mood state, and R = recovery time. Each arrow corresponds to a structural equation. The do-calculus can compute P(R | do(W = w)) if the graph is identified and the structural equations are specified.</w:t>
      </w:r>
    </w:p>
    <w:p>
      <w:pPr>
        <w:spacing w:before="120" w:after="120" w:line="276"/>
        <w:ind w:firstLine="360"/>
      </w:pPr>
      <w:r>
        <w:rPr>
          <w:rFonts w:ascii="Georgia" w:cs="Georgia" w:eastAsia="Georgia" w:hAnsi="Georgia"/>
          <w:b w:val="false"/>
          <w:bCs w:val="false"/>
          <w:i w:val="false"/>
          <w:iCs w:val="false"/>
          <w:sz w:val="24"/>
          <w:szCs w:val="24"/>
        </w:rPr>
        <w:t xml:space="preserve">The output is a single number: the expected change in R under the intervention do(W = w). For a specified graph, this is a definitive answer. Pearl’s framework is entirely correct in its computation.</w:t>
      </w:r>
    </w:p>
    <w:p>
      <w:pPr>
        <w:pStyle w:val="Heading2"/>
        <w:spacing w:before="300" w:after="160"/>
      </w:pPr>
      <w:r>
        <w:rPr>
          <w:rFonts w:ascii="Georgia" w:cs="Georgia" w:eastAsia="Georgia" w:hAnsi="Georgia"/>
          <w:b/>
          <w:bCs/>
          <w:sz w:val="28"/>
          <w:szCs w:val="28"/>
        </w:rPr>
        <w:t xml:space="preserve">9.3 The EWG Representation</w:t>
      </w:r>
    </w:p>
    <w:p>
      <w:pPr>
        <w:spacing w:before="120" w:after="120" w:line="276"/>
        <w:ind w:firstLine="360"/>
      </w:pPr>
      <w:r>
        <w:rPr>
          <w:rFonts w:ascii="Georgia" w:cs="Georgia" w:eastAsia="Georgia" w:hAnsi="Georgia"/>
          <w:b w:val="false"/>
          <w:bCs w:val="false"/>
          <w:i w:val="false"/>
          <w:iCs w:val="false"/>
          <w:sz w:val="24"/>
          <w:szCs w:val="24"/>
        </w:rPr>
        <w:t xml:space="preserve">In the EWG, the same causal path is represented, but each edge carries a warrant type and confidence weight:</w:t>
      </w:r>
    </w:p>
    <w:p>
      <w:pPr>
        <w:spacing w:before="160" w:after="120" w:line="276"/>
      </w:pPr>
      <w:r>
        <w:rPr>
          <w:rFonts w:ascii="Georgia" w:cs="Georgia" w:eastAsia="Georgia" w:hAnsi="Georgia"/>
          <w:b/>
          <w:bCs/>
          <w:sz w:val="24"/>
          <w:szCs w:val="24"/>
        </w:rPr>
        <w:t xml:space="preserve">W → D: </w:t>
      </w:r>
      <w:r>
        <w:rPr>
          <w:rFonts w:ascii="Georgia" w:cs="Georgia" w:eastAsia="Georgia" w:hAnsi="Georgia"/>
          <w:sz w:val="24"/>
          <w:szCs w:val="24"/>
        </w:rPr>
        <w:t xml:space="preserve">CONSTITUTIVE (τ = CONSTITUTIVE, d = 0.95, ω = 0.95). Larger windows admit more daylight by the definition of fenestration. This is an identity, not a causal claim. It transfers to any building with transparent glazing.</w:t>
      </w:r>
    </w:p>
    <w:p>
      <w:pPr>
        <w:spacing w:before="160" w:after="120" w:line="276"/>
      </w:pPr>
      <w:r>
        <w:rPr>
          <w:rFonts w:ascii="Georgia" w:cs="Georgia" w:eastAsia="Georgia" w:hAnsi="Georgia"/>
          <w:b/>
          <w:bCs/>
          <w:sz w:val="24"/>
          <w:szCs w:val="24"/>
        </w:rPr>
        <w:t xml:space="preserve">D → S: </w:t>
      </w:r>
      <w:r>
        <w:rPr>
          <w:rFonts w:ascii="Georgia" w:cs="Georgia" w:eastAsia="Georgia" w:hAnsi="Georgia"/>
          <w:sz w:val="24"/>
          <w:szCs w:val="24"/>
        </w:rPr>
        <w:t xml:space="preserve">MECHANISM (τ = MECHANISM, d = 0.80, ω = 0.85). Lambert et al. (2002) identified the specific neurochemical pathway: bright light stimulates retinal ganglion cells, which project to the raphe nuclei via the retinohypothalamic tract, increasing tryptophan hydroxylase activity and serotonin turnover. The mechanism is established in controlled conditions.</w:t>
      </w:r>
    </w:p>
    <w:p>
      <w:pPr>
        <w:spacing w:before="160" w:after="120" w:line="276"/>
      </w:pPr>
      <w:r>
        <w:rPr>
          <w:rFonts w:ascii="Georgia" w:cs="Georgia" w:eastAsia="Georgia" w:hAnsi="Georgia"/>
          <w:b/>
          <w:bCs/>
          <w:sz w:val="24"/>
          <w:szCs w:val="24"/>
        </w:rPr>
        <w:t xml:space="preserve">S → M: </w:t>
      </w:r>
      <w:r>
        <w:rPr>
          <w:rFonts w:ascii="Georgia" w:cs="Georgia" w:eastAsia="Georgia" w:hAnsi="Georgia"/>
          <w:sz w:val="24"/>
          <w:szCs w:val="24"/>
        </w:rPr>
        <w:t xml:space="preserve">MECHANISM (τ = MECHANISM, d = 0.80, ω = 0.80). The serotonergic system’s role in mood regulation is well-established through the pharmacological literature (Aan het Rot et al., 2009). SSRIs work by increasing serotonin availability. The 5-HT receptor pathway is characterized.</w:t>
      </w:r>
    </w:p>
    <w:p>
      <w:pPr>
        <w:spacing w:before="160" w:after="120" w:line="276"/>
      </w:pPr>
      <w:r>
        <w:rPr>
          <w:rFonts w:ascii="Georgia" w:cs="Georgia" w:eastAsia="Georgia" w:hAnsi="Georgia"/>
          <w:b/>
          <w:bCs/>
          <w:sz w:val="24"/>
          <w:szCs w:val="24"/>
        </w:rPr>
        <w:t xml:space="preserve">M → R: </w:t>
      </w:r>
      <w:r>
        <w:rPr>
          <w:rFonts w:ascii="Georgia" w:cs="Georgia" w:eastAsia="Georgia" w:hAnsi="Georgia"/>
          <w:sz w:val="24"/>
          <w:szCs w:val="24"/>
        </w:rPr>
        <w:t xml:space="preserve">EMPIRICAL_COVARIANCE (τ = EMPIRICAL_COVARIANCE, d = 0.80, ω = 0.65). Multiple observational studies show that depressed patients have longer hospital stays (Saravay et al., 2004). But the mechanism is unclear—does mood affect recovery directly (e.g., through immune function), or is the correlation confounded by treatment adherence, social support, or disease severity? The covariance is robust but the pathway is unresolved.</w:t>
      </w:r>
    </w:p>
    <w:p>
      <w:pPr>
        <w:pStyle w:val="Heading2"/>
        <w:spacing w:before="300" w:after="160"/>
      </w:pPr>
      <w:r>
        <w:rPr>
          <w:rFonts w:ascii="Georgia" w:cs="Georgia" w:eastAsia="Georgia" w:hAnsi="Georgia"/>
          <w:b/>
          <w:bCs/>
          <w:sz w:val="28"/>
          <w:szCs w:val="28"/>
        </w:rPr>
        <w:t xml:space="preserve">9.4 What the EWG Reveals That Pearl’s Framework Does Not</w:t>
      </w:r>
    </w:p>
    <w:p>
      <w:pPr>
        <w:spacing w:before="120" w:after="120" w:line="276"/>
      </w:pPr>
      <w:r>
        <w:rPr>
          <w:rFonts w:ascii="Georgia" w:cs="Georgia" w:eastAsia="Georgia" w:hAnsi="Georgia"/>
          <w:b/>
          <w:bCs/>
          <w:sz w:val="24"/>
          <w:szCs w:val="24"/>
        </w:rPr>
        <w:t xml:space="preserve">The weakest link. </w:t>
      </w:r>
      <w:r>
        <w:rPr>
          <w:rFonts w:ascii="Georgia" w:cs="Georgia" w:eastAsia="Georgia" w:hAnsi="Georgia"/>
          <w:sz w:val="24"/>
          <w:szCs w:val="24"/>
        </w:rPr>
        <w:t xml:space="preserve">The minimum-discount composition principle (from the parent paper’s Section 5) tells us that the effective discount for the full path is d_eff = min(0.95, 0.80, 0.80, 0.80) = 0.80, but this is misleading because the final link (M → R) is of a different and weaker warrant type than the mechanistic links. The system flags that although the first three links form a robust mechanistic chain, the final link—the one that connects the proximate cognitive outcome (mood) to the distal practical outcome (recovery)—rests on correlational evidence vulnerable to confounding.</w:t>
      </w:r>
    </w:p>
    <w:p>
      <w:pPr>
        <w:spacing w:before="120" w:after="120" w:line="276"/>
      </w:pPr>
      <w:r>
        <w:rPr>
          <w:rFonts w:ascii="Georgia" w:cs="Georgia" w:eastAsia="Georgia" w:hAnsi="Georgia"/>
          <w:b/>
          <w:bCs/>
          <w:sz w:val="24"/>
          <w:szCs w:val="24"/>
        </w:rPr>
        <w:t xml:space="preserve">The specific vulnerability. </w:t>
      </w:r>
      <w:r>
        <w:rPr>
          <w:rFonts w:ascii="Georgia" w:cs="Georgia" w:eastAsia="Georgia" w:hAnsi="Georgia"/>
          <w:sz w:val="24"/>
          <w:szCs w:val="24"/>
        </w:rPr>
        <w:t xml:space="preserve">Because M → R is EMPIRICAL_COVARIANCE, the system can identify exactly where transfer risk is highest. The mechanistic chain W → D → S → M will transfer to any hospital where the glazing transmits relevant wavelengths and the patient population has functional serotonergic systems. But the M → R link could fail to transfer if the correlation between mood and recovery is confounded by factors that differ between the study hospitals and the target hospital—for example, if the study hospitals served populations with different socioeconomic profiles, comorbidity burdens, or care protocols.</w:t>
      </w:r>
    </w:p>
    <w:p>
      <w:pPr>
        <w:spacing w:before="120" w:after="120" w:line="276"/>
      </w:pPr>
      <w:r>
        <w:rPr>
          <w:rFonts w:ascii="Georgia" w:cs="Georgia" w:eastAsia="Georgia" w:hAnsi="Georgia"/>
          <w:b/>
          <w:bCs/>
          <w:sz w:val="24"/>
          <w:szCs w:val="24"/>
        </w:rPr>
        <w:t xml:space="preserve">The targeted research recommendation. </w:t>
      </w:r>
      <w:r>
        <w:rPr>
          <w:rFonts w:ascii="Georgia" w:cs="Georgia" w:eastAsia="Georgia" w:hAnsi="Georgia"/>
          <w:sz w:val="24"/>
          <w:szCs w:val="24"/>
        </w:rPr>
        <w:t xml:space="preserve">The EWG generates a specific recommendation: to strengthen this claim for the target hospital, the highest-value investment is a study investigating the mechanism by which mood affects recovery—for example, testing whether mood influences immune function (Kiecolt-Glaser et al., 2002) or treatment adherence (DiMatteo et al., 2000). This would upgrade M → R from EMPIRICAL_COVARIANCE to MECHANISM, increasing the effective discount of the final link and reducing vulnerability to confounding. Pearl’s framework cannot generate this recommendation because it does not know that M → R’s structural equation was established by correlation rather than mechanism.</w:t>
      </w:r>
    </w:p>
    <w:p>
      <w:pPr>
        <w:spacing w:before="120" w:after="120" w:line="276"/>
      </w:pPr>
      <w:r>
        <w:rPr>
          <w:rFonts w:ascii="Georgia" w:cs="Georgia" w:eastAsia="Georgia" w:hAnsi="Georgia"/>
          <w:b/>
          <w:bCs/>
          <w:sz w:val="24"/>
          <w:szCs w:val="24"/>
        </w:rPr>
        <w:t xml:space="preserve">The S-node placement. </w:t>
      </w:r>
      <w:r>
        <w:rPr>
          <w:rFonts w:ascii="Georgia" w:cs="Georgia" w:eastAsia="Georgia" w:hAnsi="Georgia"/>
          <w:sz w:val="24"/>
          <w:szCs w:val="24"/>
        </w:rPr>
        <w:t xml:space="preserve">For Pearl’s own transportability analysis, the EWG tells the analyst where to place S-nodes. The mechanistic links (D → S, S → M) need S-nodes only on variables that could disrupt the specific mechanism (wavelength spectrum, serotonergic function). The correlational link (M → R) needs S-nodes on every potential confounder of the mood-recovery association—a much larger and less well-defined set. The warrant types thus directly inform the transportability analysis, generating different S-node placements for different links based on the character of the evidence.</w:t>
      </w:r>
    </w:p>
    <w:p>
      <w:pPr>
        <w:pStyle w:val="Heading2"/>
        <w:spacing w:before="300" w:after="160"/>
      </w:pPr>
      <w:r>
        <w:rPr>
          <w:rFonts w:ascii="Georgia" w:cs="Georgia" w:eastAsia="Georgia" w:hAnsi="Georgia"/>
          <w:b/>
          <w:bCs/>
          <w:sz w:val="28"/>
          <w:szCs w:val="28"/>
        </w:rPr>
        <w:t xml:space="preserve">9.5 The Quantitative Difference</w:t>
      </w:r>
    </w:p>
    <w:p>
      <w:pPr>
        <w:spacing w:before="120" w:after="120" w:line="276"/>
        <w:ind w:firstLine="360"/>
      </w:pPr>
      <w:r>
        <w:rPr>
          <w:rFonts w:ascii="Georgia" w:cs="Georgia" w:eastAsia="Georgia" w:hAnsi="Georgia"/>
          <w:b w:val="false"/>
          <w:bCs w:val="false"/>
          <w:i w:val="false"/>
          <w:iCs w:val="false"/>
          <w:sz w:val="24"/>
          <w:szCs w:val="24"/>
        </w:rPr>
        <w:t xml:space="preserve">To make this difference numerically concrete, consider two scenarios for the target hospital:</w:t>
      </w:r>
    </w:p>
    <w:p>
      <w:pPr>
        <w:spacing w:before="120" w:after="120" w:line="276"/>
      </w:pPr>
      <w:r>
        <w:rPr>
          <w:rFonts w:ascii="Georgia" w:cs="Georgia" w:eastAsia="Georgia" w:hAnsi="Georgia"/>
          <w:b/>
          <w:bCs/>
          <w:sz w:val="24"/>
          <w:szCs w:val="24"/>
        </w:rPr>
        <w:t xml:space="preserve">Scenario A: </w:t>
      </w:r>
      <w:r>
        <w:rPr>
          <w:rFonts w:ascii="Georgia" w:cs="Georgia" w:eastAsia="Georgia" w:hAnsi="Georgia"/>
          <w:sz w:val="24"/>
          <w:szCs w:val="24"/>
        </w:rPr>
        <w:t xml:space="preserve">The target hospital serves a similar population to the study hospitals (similar socioeconomic profile, similar comorbidity burden). In this case, the confounders that might mediate the M → R correlation are likely preserved, and the full path can be projected with moderate confidence. The BN computed by π will show a meaningful effect of window-to-wall ratio on recovery time.</w:t>
      </w:r>
    </w:p>
    <w:p>
      <w:pPr>
        <w:spacing w:before="120" w:after="120" w:line="276"/>
      </w:pPr>
      <w:r>
        <w:rPr>
          <w:rFonts w:ascii="Georgia" w:cs="Georgia" w:eastAsia="Georgia" w:hAnsi="Georgia"/>
          <w:b/>
          <w:bCs/>
          <w:sz w:val="24"/>
          <w:szCs w:val="24"/>
        </w:rPr>
        <w:t xml:space="preserve">Scenario B: </w:t>
      </w:r>
      <w:r>
        <w:rPr>
          <w:rFonts w:ascii="Georgia" w:cs="Georgia" w:eastAsia="Georgia" w:hAnsi="Georgia"/>
          <w:sz w:val="24"/>
          <w:szCs w:val="24"/>
        </w:rPr>
        <w:t xml:space="preserve">The target hospital is a psychiatric facility with a very different patient population (different comorbidities, different treatment protocols, different socioeconomic profile). Now the confounders of M → R are likely different, and the EMPIRICAL_COVARIANCE warrant for that link is less trustworthy. The EWG system attenuates the projected confidence for this link specifically, while preserving the full confidence in the mechanistic chain W → D → S → M. The BN still shows a confident effect of windows on mood but a reduced and uncertain effect of mood on recovery.</w:t>
      </w:r>
    </w:p>
    <w:p>
      <w:pPr>
        <w:spacing w:before="120" w:after="120" w:line="276"/>
        <w:ind w:firstLine="360"/>
      </w:pPr>
      <w:r>
        <w:rPr>
          <w:rFonts w:ascii="Georgia" w:cs="Georgia" w:eastAsia="Georgia" w:hAnsi="Georgia"/>
          <w:b w:val="false"/>
          <w:bCs w:val="false"/>
          <w:i w:val="false"/>
          <w:iCs w:val="false"/>
          <w:sz w:val="24"/>
          <w:szCs w:val="24"/>
        </w:rPr>
        <w:t xml:space="preserve">In Pearl’s framework, both scenarios produce the same output: the structural equation for M → R is the same in both cases, and the computed P(R | do(W = w)) does not change unless the analyst manually adjusts the structural equations. The EWG system automatically produces different outputs for different target contexts, because the typed edges carry information about which links are context-sensitive and which are not.</w:t>
      </w:r>
    </w:p>
    <w:p>
      <w:r>
        <w:br w:type="page"/>
      </w:r>
    </w:p>
    <w:p>
      <w:pPr>
        <w:pStyle w:val="Heading1"/>
        <w:spacing w:before="360" w:after="200"/>
      </w:pPr>
      <w:r>
        <w:rPr>
          <w:rFonts w:ascii="Georgia" w:cs="Georgia" w:eastAsia="Georgia" w:hAnsi="Georgia"/>
          <w:b/>
          <w:bCs/>
          <w:sz w:val="32"/>
          <w:szCs w:val="32"/>
        </w:rPr>
        <w:t xml:space="preserve">10. What the Causal Hierarchy Theorem Itself Implies for Typed Edges</w:t>
      </w:r>
    </w:p>
    <w:p>
      <w:pPr>
        <w:spacing w:before="120" w:after="120" w:line="276"/>
        <w:ind w:firstLine="360"/>
      </w:pPr>
      <w:r>
        <w:rPr>
          <w:rFonts w:ascii="Georgia" w:cs="Georgia" w:eastAsia="Georgia" w:hAnsi="Georgia"/>
          <w:b w:val="false"/>
          <w:bCs w:val="false"/>
          <w:i w:val="false"/>
          <w:iCs w:val="false"/>
          <w:sz w:val="24"/>
          <w:szCs w:val="24"/>
        </w:rPr>
        <w:t xml:space="preserve">There is a delicious irony in the relationship between the Causal Hierarchy Theorem (CHT) and the case for typed edges. The CHT is Pearl’s strongest formal result, and it actually supports the EWG’s architecture.</w:t>
      </w:r>
    </w:p>
    <w:p>
      <w:pPr>
        <w:spacing w:before="120" w:after="120" w:line="276"/>
        <w:ind w:firstLine="360"/>
      </w:pPr>
      <w:r>
        <w:rPr>
          <w:rFonts w:ascii="Georgia" w:cs="Georgia" w:eastAsia="Georgia" w:hAnsi="Georgia"/>
          <w:b w:val="false"/>
          <w:bCs w:val="false"/>
          <w:i w:val="false"/>
          <w:iCs w:val="false"/>
          <w:sz w:val="24"/>
          <w:szCs w:val="24"/>
        </w:rPr>
        <w:t xml:space="preserve">The CHT (Bareinboim et al., 2022) proves that the three levels of the Pearl Causal Hierarchy almost always separate: knowledge at Level i is insufficient to answer questions at Level i+1. Observational data cannot, in general, answer interventional questions. Interventional data cannot, in general, answer counterfactual questions. Climbing the ladder requires additional causal assumptions.</w:t>
      </w:r>
    </w:p>
    <w:p>
      <w:pPr>
        <w:spacing w:before="120" w:after="120" w:line="276"/>
        <w:ind w:firstLine="360"/>
      </w:pPr>
      <w:r>
        <w:rPr>
          <w:rFonts w:ascii="Georgia" w:cs="Georgia" w:eastAsia="Georgia" w:hAnsi="Georgia"/>
          <w:b w:val="false"/>
          <w:bCs w:val="false"/>
          <w:i w:val="false"/>
          <w:iCs w:val="false"/>
          <w:sz w:val="24"/>
          <w:szCs w:val="24"/>
        </w:rPr>
        <w:t xml:space="preserve">Now observe: the CHT says that climbing the ladder requires assumptions, but it says nothing about where those assumptions come from or how confident we should be in them. The theorem is about the logical structure of causal reasoning, not about the epistemology of causal belief. It tells you that you need to assume an SCM to go from Level 1 to Level 2, but it does not tell you whether your assumed SCM is any good.</w:t>
      </w:r>
    </w:p>
    <w:p>
      <w:pPr>
        <w:spacing w:before="120" w:after="120" w:line="276"/>
        <w:ind w:firstLine="360"/>
      </w:pPr>
      <w:r>
        <w:rPr>
          <w:rFonts w:ascii="Georgia" w:cs="Georgia" w:eastAsia="Georgia" w:hAnsi="Georgia"/>
          <w:b w:val="false"/>
          <w:bCs w:val="false"/>
          <w:i w:val="false"/>
          <w:iCs w:val="false"/>
          <w:sz w:val="24"/>
          <w:szCs w:val="24"/>
        </w:rPr>
        <w:t xml:space="preserve">This is precisely the gap that the EWG fills. The CHT establishes that every Level 2 or Level 3 analysis rests on causal assumptions that go beyond the data. The EWG provides a principled account of how confident we should be in those assumptions, based on the type and quality of evidence that supports them. A Level 2 analysis grounded in MECHANISM warrants rests on assumptions that are well-supported by evidence of the right kind. A Level 2 analysis grounded in THEORETICAL_DEFAULT warrants rests on assumptions that are, by the CHT’s own logic, almost entirely unsupported—the analyst has assumed an SCM without providing evidence that it is the right one.</w:t>
      </w:r>
    </w:p>
    <w:p>
      <w:pPr>
        <w:spacing w:before="120" w:after="120" w:line="276"/>
        <w:ind w:firstLine="360"/>
      </w:pPr>
      <w:r>
        <w:rPr>
          <w:rFonts w:ascii="Georgia" w:cs="Georgia" w:eastAsia="Georgia" w:hAnsi="Georgia"/>
          <w:b w:val="false"/>
          <w:bCs w:val="false"/>
          <w:i w:val="false"/>
          <w:iCs w:val="false"/>
          <w:sz w:val="24"/>
          <w:szCs w:val="24"/>
        </w:rPr>
        <w:t xml:space="preserve">Pearl might object that the quality of assumptions is the analyst’s problem, not the framework’s. This is true in one sense—the do-calculus is correct given any consistent SCM. But it is false in another: a framework that provides no tools for assessing the quality of its own inputs is incomplete for practical use. The EWG provides those tools. It is, in a precise sense, the epistemological complement to Pearl’s computational framework: where the CHT proves that assumptions are needed, the EWG evaluates whether the assumptions are warranted.</w:t>
      </w:r>
    </w:p>
    <w:p>
      <w:pPr>
        <w:spacing w:before="120" w:after="120" w:line="276"/>
        <w:ind w:firstLine="360"/>
      </w:pPr>
      <w:r>
        <w:rPr>
          <w:rFonts w:ascii="Georgia" w:cs="Georgia" w:eastAsia="Georgia" w:hAnsi="Georgia"/>
          <w:b w:val="false"/>
          <w:bCs w:val="false"/>
          <w:i w:val="false"/>
          <w:iCs w:val="false"/>
          <w:sz w:val="24"/>
          <w:szCs w:val="24"/>
        </w:rPr>
        <w:t xml:space="preserve">To put this in terms Pearl himself would appreciate: the CHT proves that you cannot get something (Level 2 knowledge) from nothing (Level 1 data alone). The EWG asks: but exactly how much of something do you have? The answer is the discount factor.</w:t>
      </w:r>
    </w:p>
    <w:p>
      <w:r>
        <w:br w:type="page"/>
      </w:r>
    </w:p>
    <w:p>
      <w:pPr>
        <w:pStyle w:val="Heading1"/>
        <w:spacing w:before="360" w:after="200"/>
      </w:pPr>
      <w:r>
        <w:rPr>
          <w:rFonts w:ascii="Georgia" w:cs="Georgia" w:eastAsia="Georgia" w:hAnsi="Georgia"/>
          <w:b/>
          <w:bCs/>
          <w:sz w:val="32"/>
          <w:szCs w:val="32"/>
        </w:rPr>
        <w:t xml:space="preserve">11. Anticipating the Counter: “Encode It in the Structural Equations”</w:t>
      </w:r>
    </w:p>
    <w:p>
      <w:pPr>
        <w:pStyle w:val="Heading2"/>
        <w:spacing w:before="300" w:after="160"/>
      </w:pPr>
      <w:r>
        <w:rPr>
          <w:rFonts w:ascii="Georgia" w:cs="Georgia" w:eastAsia="Georgia" w:hAnsi="Georgia"/>
          <w:b/>
          <w:bCs/>
          <w:sz w:val="28"/>
          <w:szCs w:val="28"/>
        </w:rPr>
        <w:t xml:space="preserve">11.1 The Objection</w:t>
      </w:r>
    </w:p>
    <w:p>
      <w:pPr>
        <w:spacing w:before="120" w:after="120" w:line="276"/>
        <w:ind w:firstLine="360"/>
      </w:pPr>
      <w:r>
        <w:rPr>
          <w:rFonts w:ascii="Georgia" w:cs="Georgia" w:eastAsia="Georgia" w:hAnsi="Georgia"/>
          <w:b w:val="false"/>
          <w:bCs w:val="false"/>
          <w:i w:val="false"/>
          <w:iCs w:val="false"/>
          <w:sz w:val="24"/>
          <w:szCs w:val="24"/>
        </w:rPr>
        <w:t xml:space="preserve">The most sophisticated version of Pearl’s objection would not deny that provenance information is valuable. Instead, it would argue that provenance information should be encoded within the SCM framework itself, not in a parallel data structure. The argument would run: “If you know that a relationship is mechanistic, encode the mechanism as intermediate variables in the structural equations. If you know that a relationship is correlational, leave the intermediate variables unspecified and add appropriate error terms. If you know that a relationship is analogical, add a selection variable representing the domain of the analogy. Every piece of information your warrant types carry can be represented as structural equations over an expanded variable set. Your typed edges are just a shorthand for a richer SCM.”</w:t>
      </w:r>
    </w:p>
    <w:p>
      <w:pPr>
        <w:pStyle w:val="Heading2"/>
        <w:spacing w:before="300" w:after="160"/>
      </w:pPr>
      <w:r>
        <w:rPr>
          <w:rFonts w:ascii="Georgia" w:cs="Georgia" w:eastAsia="Georgia" w:hAnsi="Georgia"/>
          <w:b/>
          <w:bCs/>
          <w:sz w:val="28"/>
          <w:szCs w:val="28"/>
        </w:rPr>
        <w:t xml:space="preserve">11.2 Why This Fails: The Representation Theorem</w:t>
      </w:r>
    </w:p>
    <w:p>
      <w:pPr>
        <w:spacing w:before="120" w:after="120" w:line="276"/>
        <w:ind w:firstLine="360"/>
      </w:pPr>
      <w:r>
        <w:rPr>
          <w:rFonts w:ascii="Georgia" w:cs="Georgia" w:eastAsia="Georgia" w:hAnsi="Georgia"/>
          <w:b w:val="false"/>
          <w:bCs w:val="false"/>
          <w:i w:val="false"/>
          <w:iCs w:val="false"/>
          <w:sz w:val="24"/>
          <w:szCs w:val="24"/>
        </w:rPr>
        <w:t xml:space="preserve">This objection fails for three reasons, each of which is fatal.</w:t>
      </w:r>
    </w:p>
    <w:p>
      <w:pPr>
        <w:spacing w:before="120" w:after="120" w:line="276"/>
      </w:pPr>
      <w:r>
        <w:rPr>
          <w:rFonts w:ascii="Georgia" w:cs="Georgia" w:eastAsia="Georgia" w:hAnsi="Georgia"/>
          <w:b/>
          <w:bCs/>
          <w:sz w:val="24"/>
          <w:szCs w:val="24"/>
        </w:rPr>
        <w:t xml:space="preserve">First: the expansion is unbounded. </w:t>
      </w:r>
      <w:r>
        <w:rPr>
          <w:rFonts w:ascii="Georgia" w:cs="Georgia" w:eastAsia="Georgia" w:hAnsi="Georgia"/>
          <w:sz w:val="24"/>
          <w:szCs w:val="24"/>
        </w:rPr>
        <w:t xml:space="preserve">To encode the mechanistic pathway from daylight to serotonin as explicit intermediate variables, you need to include every component of the mechanism (retinal ganglion cells, retinohypothalamic tract, raphe nuclei, tryptophan hydroxylase). For N mechanisms in the graph, each with M intermediate variables, the SCM grows from the original variable set to a variable set of size N × M. In the ATLAS domain, where the EWG may contain hundreds of edges, each supported by evidence from different experimental paradigms, the expanded SCM would be enormous and practically unmanageable. The EWG’s type annotations achieve the same informational work with a seven-element label on each edge—a constant-size annotation regardless of the underlying complexity.</w:t>
      </w:r>
    </w:p>
    <w:p>
      <w:pPr>
        <w:spacing w:before="120" w:after="120" w:line="276"/>
      </w:pPr>
      <w:r>
        <w:rPr>
          <w:rFonts w:ascii="Georgia" w:cs="Georgia" w:eastAsia="Georgia" w:hAnsi="Georgia"/>
          <w:b/>
          <w:bCs/>
          <w:sz w:val="24"/>
          <w:szCs w:val="24"/>
        </w:rPr>
        <w:t xml:space="preserve">Second: the expansion presupposes the knowledge it is supposed to replace. </w:t>
      </w:r>
      <w:r>
        <w:rPr>
          <w:rFonts w:ascii="Georgia" w:cs="Georgia" w:eastAsia="Georgia" w:hAnsi="Georgia"/>
          <w:sz w:val="24"/>
          <w:szCs w:val="24"/>
        </w:rPr>
        <w:t xml:space="preserve">To expand a MECHANISM edge into an explicit mechanistic chain, you must already know the mechanism. But knowing the mechanism is exactly what the MECHANISM warrant type asserts. The expansion is circular: it replaces a warrant type annotation with an expanded graph that can only be constructed if you have the information that the annotation carries. For an EMPIRICAL_COVARIANCE edge, the whole point is that the intermediate variables are unknown—you cannot expand them into explicit structural equations because you do not know what they are. The warrant type is not a shorthand for a richer SCM; it is a description of the epistemic state of the analyst regarding a structural equation whose internal structure is partially or wholly unknown.</w:t>
      </w:r>
    </w:p>
    <w:p>
      <w:pPr>
        <w:spacing w:before="120" w:after="120" w:line="276"/>
      </w:pPr>
      <w:r>
        <w:rPr>
          <w:rFonts w:ascii="Georgia" w:cs="Georgia" w:eastAsia="Georgia" w:hAnsi="Georgia"/>
          <w:b/>
          <w:bCs/>
          <w:sz w:val="24"/>
          <w:szCs w:val="24"/>
        </w:rPr>
        <w:t xml:space="preserve">Third: the expansion loses the categorical distinction between warrant types. </w:t>
      </w:r>
      <w:r>
        <w:rPr>
          <w:rFonts w:ascii="Georgia" w:cs="Georgia" w:eastAsia="Georgia" w:hAnsi="Georgia"/>
          <w:sz w:val="24"/>
          <w:szCs w:val="24"/>
        </w:rPr>
        <w:t xml:space="preserve">In an expanded SCM, all relationships are represented as structural equations. A mechanistic chain and an unexpanded correlational edge are both just arrows with equations. The categorical information—that one relationship is understood mechanistically and the other is not—is lost in the expansion. You would need a meta-annotation on the structural equations to indicate which ones represent fully specified mechanisms and which represent placeholders for unknown mechanisms. But this meta-annotation is precisely the warrant type. The expansion has not eliminated the need for typed edges; it has merely moved the type labels to a different location in the representation.</w:t>
      </w:r>
    </w:p>
    <w:p>
      <w:pPr>
        <w:pStyle w:val="Heading2"/>
        <w:spacing w:before="300" w:after="160"/>
      </w:pPr>
      <w:r>
        <w:rPr>
          <w:rFonts w:ascii="Georgia" w:cs="Georgia" w:eastAsia="Georgia" w:hAnsi="Georgia"/>
          <w:b/>
          <w:bCs/>
          <w:sz w:val="28"/>
          <w:szCs w:val="28"/>
        </w:rPr>
        <w:t xml:space="preserve">11.3 The Deeper Issue: Pearl’s Framework Is a Theory of Causal Computation, Not Causal Epistemology</w:t>
      </w:r>
    </w:p>
    <w:p>
      <w:pPr>
        <w:spacing w:before="120" w:after="120" w:line="276"/>
        <w:ind w:firstLine="360"/>
      </w:pPr>
      <w:r>
        <w:rPr>
          <w:rFonts w:ascii="Georgia" w:cs="Georgia" w:eastAsia="Georgia" w:hAnsi="Georgia"/>
          <w:b w:val="false"/>
          <w:bCs w:val="false"/>
          <w:i w:val="false"/>
          <w:iCs w:val="false"/>
          <w:sz w:val="24"/>
          <w:szCs w:val="24"/>
        </w:rPr>
        <w:t xml:space="preserve">The fundamental issue is that Pearl’s SCM framework is a theory of causal computation: given a causal model, it computes causal effects. It is not a theory of causal epistemology: it does not address how to assess the credibility of a causal model or how to construct a causal model for a new context from evidence gathered elsewhere.</w:t>
      </w:r>
    </w:p>
    <w:p>
      <w:pPr>
        <w:spacing w:before="120" w:after="120" w:line="276"/>
        <w:ind w:firstLine="360"/>
      </w:pPr>
      <w:r>
        <w:rPr>
          <w:rFonts w:ascii="Georgia" w:cs="Georgia" w:eastAsia="Georgia" w:hAnsi="Georgia"/>
          <w:b w:val="false"/>
          <w:bCs w:val="false"/>
          <w:i w:val="false"/>
          <w:iCs w:val="false"/>
          <w:sz w:val="24"/>
          <w:szCs w:val="24"/>
        </w:rPr>
        <w:t xml:space="preserve">This is not a criticism. It is a description of scope. Newton’s mechanics tells you how to compute trajectories given forces and masses; it does not tell you how to measure forces and masses. Maxwell’s equations tell you how to compute electromagnetic fields given charge distributions; they do not tell you how to determine charge distributions in a new system. In each case, the computational theory is incomplete without an epistemological theory that specifies how its inputs are to be determined.</w:t>
      </w:r>
    </w:p>
    <w:p>
      <w:pPr>
        <w:spacing w:before="120" w:after="120" w:line="276"/>
        <w:ind w:firstLine="360"/>
      </w:pPr>
      <w:r>
        <w:rPr>
          <w:rFonts w:ascii="Georgia" w:cs="Georgia" w:eastAsia="Georgia" w:hAnsi="Georgia"/>
          <w:b w:val="false"/>
          <w:bCs w:val="false"/>
          <w:i w:val="false"/>
          <w:iCs w:val="false"/>
          <w:sz w:val="24"/>
          <w:szCs w:val="24"/>
        </w:rPr>
        <w:t xml:space="preserve">The EWG is the epistemological theory that Pearl’s computational theory needs. It specifies how to assess the credibility of each causal assumption (through warrant types and confidence weights), how to aggregate multiple lines of evidence (through the multi-edge log-odds combination), and how to translate epistemic assessments into computational inputs (through the projection function π). It does not replace Pearl’s framework. It completes it.</w:t>
      </w:r>
    </w:p>
    <w:p>
      <w:pPr>
        <w:spacing w:before="120" w:after="120" w:line="276"/>
        <w:ind w:firstLine="360"/>
      </w:pPr>
      <w:r>
        <w:rPr>
          <w:rFonts w:ascii="Georgia" w:cs="Georgia" w:eastAsia="Georgia" w:hAnsi="Georgia"/>
          <w:b w:val="false"/>
          <w:bCs w:val="false"/>
          <w:i w:val="false"/>
          <w:iCs w:val="false"/>
          <w:sz w:val="24"/>
          <w:szCs w:val="24"/>
        </w:rPr>
        <w:t xml:space="preserve">Or, to put this in a phrase that a theorist of Pearl’s sophistication would appreciate: the EWG is the model of model uncertainty. Pearl’s framework assumes a model and computes. The EWG evaluates how well the model is warranted and computes the consequences for trust in the computation’s outputs. Both are necessary for any system that must act on evidence rather than certainty—which is to say, for any system that operates in the real world.</w:t>
      </w:r>
    </w:p>
    <w:p>
      <w:r>
        <w:br w:type="page"/>
      </w:r>
    </w:p>
    <w:p>
      <w:pPr>
        <w:pStyle w:val="Heading1"/>
        <w:spacing w:before="360" w:after="200"/>
      </w:pPr>
      <w:r>
        <w:rPr>
          <w:rFonts w:ascii="Georgia" w:cs="Georgia" w:eastAsia="Georgia" w:hAnsi="Georgia"/>
          <w:b/>
          <w:bCs/>
          <w:sz w:val="32"/>
          <w:szCs w:val="32"/>
        </w:rPr>
        <w:t xml:space="preserve">12. A Concession, a Challenge, and a Synthesis</w:t>
      </w:r>
    </w:p>
    <w:p>
      <w:pPr>
        <w:pStyle w:val="Heading2"/>
        <w:spacing w:before="300" w:after="160"/>
      </w:pPr>
      <w:r>
        <w:rPr>
          <w:rFonts w:ascii="Georgia" w:cs="Georgia" w:eastAsia="Georgia" w:hAnsi="Georgia"/>
          <w:b/>
          <w:bCs/>
          <w:sz w:val="28"/>
          <w:szCs w:val="28"/>
        </w:rPr>
        <w:t xml:space="preserve">12.1 The Concession</w:t>
      </w:r>
    </w:p>
    <w:p>
      <w:pPr>
        <w:spacing w:before="120" w:after="120" w:line="276"/>
        <w:ind w:firstLine="360"/>
      </w:pPr>
      <w:r>
        <w:rPr>
          <w:rFonts w:ascii="Georgia" w:cs="Georgia" w:eastAsia="Georgia" w:hAnsi="Georgia"/>
          <w:b w:val="false"/>
          <w:bCs w:val="false"/>
          <w:i w:val="false"/>
          <w:iCs w:val="false"/>
          <w:sz w:val="24"/>
          <w:szCs w:val="24"/>
        </w:rPr>
        <w:t xml:space="preserve">Pearl is right that, once the projection is complete and the BN is specified, his do-calculus is the correct tool for computing causal effects. The EWG does not improve on the do-calculus for computational purposes. It does not provide a more efficient algorithm for causal inference. It does not extend the class of identifiable causal effects. Pearl’s computational machinery is, within its domain, complete and optimal.</w:t>
      </w:r>
    </w:p>
    <w:p>
      <w:pPr>
        <w:spacing w:before="120" w:after="120" w:line="276"/>
        <w:ind w:firstLine="360"/>
      </w:pPr>
      <w:r>
        <w:rPr>
          <w:rFonts w:ascii="Georgia" w:cs="Georgia" w:eastAsia="Georgia" w:hAnsi="Georgia"/>
          <w:b w:val="false"/>
          <w:bCs w:val="false"/>
          <w:i w:val="false"/>
          <w:iCs w:val="false"/>
          <w:sz w:val="24"/>
          <w:szCs w:val="24"/>
        </w:rPr>
        <w:t xml:space="preserve">Pearl is also right that adding complexity to a formal system requires justification. The seven warrant types, the discount factors, the projection function—these are substantial additions to the conceptual and computational apparatus. If they did not carry information that the simpler framework cannot represent, Occam’s razor would favor Pearl’s leaner system.</w:t>
      </w:r>
    </w:p>
    <w:p>
      <w:pPr>
        <w:pStyle w:val="Heading2"/>
        <w:spacing w:before="300" w:after="160"/>
      </w:pPr>
      <w:r>
        <w:rPr>
          <w:rFonts w:ascii="Georgia" w:cs="Georgia" w:eastAsia="Georgia" w:hAnsi="Georgia"/>
          <w:b/>
          <w:bCs/>
          <w:sz w:val="28"/>
          <w:szCs w:val="28"/>
        </w:rPr>
        <w:t xml:space="preserve">12.2 The Challenge</w:t>
      </w:r>
    </w:p>
    <w:p>
      <w:pPr>
        <w:spacing w:before="120" w:after="120" w:line="276"/>
        <w:ind w:firstLine="360"/>
      </w:pPr>
      <w:r>
        <w:rPr>
          <w:rFonts w:ascii="Georgia" w:cs="Georgia" w:eastAsia="Georgia" w:hAnsi="Georgia"/>
          <w:b w:val="false"/>
          <w:bCs w:val="false"/>
          <w:i w:val="false"/>
          <w:iCs w:val="false"/>
          <w:sz w:val="24"/>
          <w:szCs w:val="24"/>
        </w:rPr>
        <w:t xml:space="preserve">But the challenge to Pearl is equally direct: show us how to solve the cross-context transfer problem without provenance information. Show us how an untyped structural equation, stripped of its evidential history, can generate the five capabilities described in Section 6: targeted evidence acquisition, differential sensitivity to new evidence, confounding risk assessment, explanation and audit, and graceful degradation under evidential challenge.</w:t>
      </w:r>
    </w:p>
    <w:p>
      <w:pPr>
        <w:spacing w:before="120" w:after="120" w:line="276"/>
        <w:ind w:firstLine="360"/>
      </w:pPr>
      <w:r>
        <w:rPr>
          <w:rFonts w:ascii="Georgia" w:cs="Georgia" w:eastAsia="Georgia" w:hAnsi="Georgia"/>
          <w:b w:val="false"/>
          <w:bCs w:val="false"/>
          <w:i w:val="false"/>
          <w:iCs w:val="false"/>
          <w:sz w:val="24"/>
          <w:szCs w:val="24"/>
        </w:rPr>
        <w:t xml:space="preserve">The transportability framework (Pearl &amp; Bareinboim, 2011) is the closest Pearl’s framework comes, but it presupposes knowledge of where contexts differ (the S-node placement). In the ATLAS domain—where the “source context” is a laboratory and the “target context” is a building that has not yet been built—the S-node placement is itself uncertain and depends on the warrant types. MECHANISM warrants reduce S-node uncertainty (because knowing the mechanism tells you where context-sensitivity can enter). EMPIRICAL_COVARIANCE warrants leave S-node uncertainty high (because the mediating pathway is unknown, so context-sensitivity could enter anywhere). The typed edges are not decorating the graph; they are informing the transportability analysis that Pearl’s own framework requires.</w:t>
      </w:r>
    </w:p>
    <w:p>
      <w:pPr>
        <w:pStyle w:val="Heading2"/>
        <w:spacing w:before="300" w:after="160"/>
      </w:pPr>
      <w:r>
        <w:rPr>
          <w:rFonts w:ascii="Georgia" w:cs="Georgia" w:eastAsia="Georgia" w:hAnsi="Georgia"/>
          <w:b/>
          <w:bCs/>
          <w:sz w:val="28"/>
          <w:szCs w:val="28"/>
        </w:rPr>
        <w:t xml:space="preserve">12.3 The Synthesis: Division of Labor</w:t>
      </w:r>
    </w:p>
    <w:p>
      <w:pPr>
        <w:spacing w:before="120" w:after="120" w:line="276"/>
        <w:ind w:firstLine="360"/>
      </w:pPr>
      <w:r>
        <w:rPr>
          <w:rFonts w:ascii="Georgia" w:cs="Georgia" w:eastAsia="Georgia" w:hAnsi="Georgia"/>
          <w:b w:val="false"/>
          <w:bCs w:val="false"/>
          <w:i w:val="false"/>
          <w:iCs w:val="false"/>
          <w:sz w:val="24"/>
          <w:szCs w:val="24"/>
        </w:rPr>
        <w:t xml:space="preserve">We can now state the relationship between the EWG and Pearl’s SCM framework with full precision:</w:t>
      </w:r>
    </w:p>
    <w:p>
      <w:pPr>
        <w:spacing w:before="160" w:after="120" w:line="276"/>
      </w:pPr>
      <w:r>
        <w:rPr>
          <w:rFonts w:ascii="Georgia" w:cs="Georgia" w:eastAsia="Georgia" w:hAnsi="Georgia"/>
          <w:b/>
          <w:bCs/>
          <w:sz w:val="24"/>
          <w:szCs w:val="24"/>
        </w:rPr>
        <w:t xml:space="preserve">Pearl’s framework answers: </w:t>
      </w:r>
      <w:r>
        <w:rPr>
          <w:rFonts w:ascii="Georgia" w:cs="Georgia" w:eastAsia="Georgia" w:hAnsi="Georgia"/>
          <w:sz w:val="24"/>
          <w:szCs w:val="24"/>
        </w:rPr>
        <w:t xml:space="preserve">Given a causal graph, what are the causal effects? (The do-calculus.)</w:t>
      </w:r>
    </w:p>
    <w:p>
      <w:pPr>
        <w:spacing w:before="120" w:after="120" w:line="276"/>
      </w:pPr>
      <w:r>
        <w:rPr>
          <w:rFonts w:ascii="Georgia" w:cs="Georgia" w:eastAsia="Georgia" w:hAnsi="Georgia"/>
          <w:b/>
          <w:bCs/>
          <w:sz w:val="24"/>
          <w:szCs w:val="24"/>
        </w:rPr>
        <w:t xml:space="preserve">Pearl’s framework also answers: </w:t>
      </w:r>
      <w:r>
        <w:rPr>
          <w:rFonts w:ascii="Georgia" w:cs="Georgia" w:eastAsia="Georgia" w:hAnsi="Georgia"/>
          <w:sz w:val="24"/>
          <w:szCs w:val="24"/>
        </w:rPr>
        <w:t xml:space="preserve">Given two contexts with known differences, when does a causal effect transport? (Transportability theory.)</w:t>
      </w:r>
    </w:p>
    <w:p>
      <w:pPr>
        <w:spacing w:before="120" w:after="120" w:line="276"/>
      </w:pPr>
      <w:r>
        <w:rPr>
          <w:rFonts w:ascii="Georgia" w:cs="Georgia" w:eastAsia="Georgia" w:hAnsi="Georgia"/>
          <w:b/>
          <w:bCs/>
          <w:sz w:val="24"/>
          <w:szCs w:val="24"/>
        </w:rPr>
        <w:t xml:space="preserve">The EWG answers: </w:t>
      </w:r>
      <w:r>
        <w:rPr>
          <w:rFonts w:ascii="Georgia" w:cs="Georgia" w:eastAsia="Georgia" w:hAnsi="Georgia"/>
          <w:sz w:val="24"/>
          <w:szCs w:val="24"/>
        </w:rPr>
        <w:t xml:space="preserve">Where does the causal graph come from? How trustworthy is each edge? What kind of evidence supports it? How will it behave in a new context? Where should the S-nodes go?</w:t>
      </w:r>
    </w:p>
    <w:p>
      <w:pPr>
        <w:spacing w:before="120" w:after="120" w:line="276"/>
      </w:pPr>
      <w:r>
        <w:rPr>
          <w:rFonts w:ascii="Georgia" w:cs="Georgia" w:eastAsia="Georgia" w:hAnsi="Georgia"/>
          <w:b/>
          <w:bCs/>
          <w:sz w:val="24"/>
          <w:szCs w:val="24"/>
        </w:rPr>
        <w:t xml:space="preserve">Woodward’s invariance provides: </w:t>
      </w:r>
      <w:r>
        <w:rPr>
          <w:rFonts w:ascii="Georgia" w:cs="Georgia" w:eastAsia="Georgia" w:hAnsi="Georgia"/>
          <w:sz w:val="24"/>
          <w:szCs w:val="24"/>
        </w:rPr>
        <w:t xml:space="preserve">The philosophical justification for why different warrant types yield different transfer reliabilities. Invariance range depends on evidential provenance.</w:t>
      </w:r>
    </w:p>
    <w:p>
      <w:pPr>
        <w:spacing w:before="120" w:after="120" w:line="276"/>
      </w:pPr>
      <w:r>
        <w:rPr>
          <w:rFonts w:ascii="Georgia" w:cs="Georgia" w:eastAsia="Georgia" w:hAnsi="Georgia"/>
          <w:b/>
          <w:bCs/>
          <w:sz w:val="24"/>
          <w:szCs w:val="24"/>
        </w:rPr>
        <w:t xml:space="preserve">The projection function π answers: </w:t>
      </w:r>
      <w:r>
        <w:rPr>
          <w:rFonts w:ascii="Georgia" w:cs="Georgia" w:eastAsia="Georgia" w:hAnsi="Georgia"/>
          <w:sz w:val="24"/>
          <w:szCs w:val="24"/>
        </w:rPr>
        <w:t xml:space="preserve">How should the epistemic assessments in the EWG be translated into the aleatory parameters that Pearl’s framework needs?</w:t>
      </w:r>
    </w:p>
    <w:p>
      <w:pPr>
        <w:spacing w:before="120" w:after="120" w:line="276"/>
      </w:pPr>
      <w:r>
        <w:rPr>
          <w:rFonts w:ascii="Georgia" w:cs="Georgia" w:eastAsia="Georgia" w:hAnsi="Georgia"/>
          <w:b/>
          <w:bCs/>
          <w:sz w:val="24"/>
          <w:szCs w:val="24"/>
        </w:rPr>
        <w:t xml:space="preserve">The CHT itself implies: </w:t>
      </w:r>
      <w:r>
        <w:rPr>
          <w:rFonts w:ascii="Georgia" w:cs="Georgia" w:eastAsia="Georgia" w:hAnsi="Georgia"/>
          <w:sz w:val="24"/>
          <w:szCs w:val="24"/>
        </w:rPr>
        <w:t xml:space="preserve">That the assumptions feeding the do-calculus cannot be derived from data alone—they require justification, and the EWG provides the accounting system for that justification.</w:t>
      </w:r>
    </w:p>
    <w:p>
      <w:pPr>
        <w:spacing w:before="120" w:after="120" w:line="276"/>
        <w:ind w:firstLine="360"/>
      </w:pPr>
      <w:r>
        <w:rPr>
          <w:rFonts w:ascii="Georgia" w:cs="Georgia" w:eastAsia="Georgia" w:hAnsi="Georgia"/>
          <w:b w:val="false"/>
          <w:bCs w:val="false"/>
          <w:i w:val="false"/>
          <w:iCs w:val="false"/>
          <w:sz w:val="24"/>
          <w:szCs w:val="24"/>
        </w:rPr>
        <w:t xml:space="preserve">This is a division of labor, not a competition. The EWG and the SCM framework operate at different levels of the epistemological stack. The SCM operates at the level of causal computation: given structure, compute effects. The EWG operates at the level of evidential assessment: given evidence, assess structure. The projection function π is the interface between the two levels.</w:t>
      </w:r>
    </w:p>
    <w:p>
      <w:pPr>
        <w:spacing w:before="120" w:after="120" w:line="276"/>
        <w:ind w:firstLine="360"/>
      </w:pPr>
      <w:r>
        <w:rPr>
          <w:rFonts w:ascii="Georgia" w:cs="Georgia" w:eastAsia="Georgia" w:hAnsi="Georgia"/>
          <w:b w:val="false"/>
          <w:bCs w:val="false"/>
          <w:i w:val="false"/>
          <w:iCs w:val="false"/>
          <w:sz w:val="24"/>
          <w:szCs w:val="24"/>
        </w:rPr>
        <w:t xml:space="preserve">Pearl’s likely objection—that typed edges add complexity without adding computational power—is correct about computational power narrowly construed (computing P(Y | do(X)) within a given graph). But it overlooks the problem that the ATLAS system was built to solve: constructing trustworthy causal models for architectural contexts that have never been studied, using evidence gathered in laboratory contexts that may differ in unknown ways. For this problem, the typed edges are not ornamental. They are the primary data structure.</w:t>
      </w:r>
    </w:p>
    <w:p>
      <w:pPr>
        <w:spacing w:before="120" w:after="120" w:line="276"/>
        <w:ind w:firstLine="360"/>
      </w:pPr>
      <w:r>
        <w:rPr>
          <w:rFonts w:ascii="Georgia" w:cs="Georgia" w:eastAsia="Georgia" w:hAnsi="Georgia"/>
          <w:b w:val="false"/>
          <w:bCs w:val="false"/>
          <w:i w:val="false"/>
          <w:iCs w:val="false"/>
          <w:sz w:val="24"/>
          <w:szCs w:val="24"/>
        </w:rPr>
        <w:t xml:space="preserve">To put it in a phrase that Pearl himself might appreciate: the EWG is to the SCM what the specification of the structural equations is to the computation of the do-calculus. The do-calculus tells you what follows from the structural equations. The EWG tells you how much to believe the structural equations. Both are necessary. Neither is sufficient alone.</w:t>
      </w:r>
    </w:p>
    <w:p>
      <w:r>
        <w:br w:type="page"/>
      </w:r>
    </w:p>
    <w:p>
      <w:pPr>
        <w:pStyle w:val="Heading1"/>
        <w:spacing w:before="360" w:after="200"/>
      </w:pPr>
      <w:r>
        <w:rPr>
          <w:rFonts w:ascii="Georgia" w:cs="Georgia" w:eastAsia="Georgia" w:hAnsi="Georgia"/>
          <w:b/>
          <w:bCs/>
          <w:sz w:val="32"/>
          <w:szCs w:val="32"/>
        </w:rPr>
        <w:t xml:space="preserve">13. References</w:t>
      </w:r>
    </w:p>
    <w:p>
      <w:pPr>
        <w:spacing w:before="60" w:after="60" w:line="276"/>
        <w:ind w:left="720" w:hanging="720"/>
      </w:pPr>
      <w:r>
        <w:rPr>
          <w:rFonts w:ascii="Georgia" w:cs="Georgia" w:eastAsia="Georgia" w:hAnsi="Georgia"/>
          <w:sz w:val="22"/>
          <w:szCs w:val="22"/>
        </w:rPr>
        <w:t xml:space="preserve">Aan het Rot, M., Mathew, S. J., &amp; Bhagwagar, Z. (2009). Neurobiological mechanisms in major depressive disorder. CMAJ, 180(3), 305–313. https://doi.org/10.1503/cmaj.080697</w:t>
      </w:r>
    </w:p>
    <w:p>
      <w:pPr>
        <w:spacing w:before="60" w:after="60" w:line="276"/>
        <w:ind w:left="720" w:hanging="720"/>
      </w:pPr>
      <w:r>
        <w:rPr>
          <w:rFonts w:ascii="Georgia" w:cs="Georgia" w:eastAsia="Georgia" w:hAnsi="Georgia"/>
          <w:sz w:val="22"/>
          <w:szCs w:val="22"/>
        </w:rPr>
        <w:t xml:space="preserve">Bareinboim, E., Correa, J., Ibeling, D., &amp; Icard, T. (2022). On Pearl’s hierarchy and the foundations of causal inference. In H. Geffner, R. Dechter, &amp; J. Halpern (Eds.), Probabilistic and causal inference: The works of Judea Pearl (pp. 507–556). ACM Books.</w:t>
      </w:r>
    </w:p>
    <w:p>
      <w:pPr>
        <w:spacing w:before="60" w:after="60" w:line="276"/>
        <w:ind w:left="720" w:hanging="720"/>
      </w:pPr>
      <w:r>
        <w:rPr>
          <w:rFonts w:ascii="Georgia" w:cs="Georgia" w:eastAsia="Georgia" w:hAnsi="Georgia"/>
          <w:sz w:val="22"/>
          <w:szCs w:val="22"/>
        </w:rPr>
        <w:t xml:space="preserve">Bareinboim, E., &amp; Pearl, J. (2016). Causal inference and the data-fusion problem. Proceedings of the National Academy of Sciences, 113(27), 7345–7352. https://doi.org/10.1073/pnas.1510507113</w:t>
      </w:r>
    </w:p>
    <w:p>
      <w:pPr>
        <w:spacing w:before="60" w:after="60" w:line="276"/>
        <w:ind w:left="720" w:hanging="720"/>
      </w:pPr>
      <w:r>
        <w:rPr>
          <w:rFonts w:ascii="Georgia" w:cs="Georgia" w:eastAsia="Georgia" w:hAnsi="Georgia"/>
          <w:sz w:val="22"/>
          <w:szCs w:val="22"/>
        </w:rPr>
        <w:t xml:space="preserve">Beauchemin, K. M., &amp; Hays, P. (1996). Sunny hospital rooms expedite recovery from severe and refractory depressions. Journal of Affective Disorders, 40(1–2), 49–51. https://doi.org/10.1016/0165-0327(96)00040-7</w:t>
      </w:r>
    </w:p>
    <w:p>
      <w:pPr>
        <w:spacing w:before="60" w:after="60" w:line="276"/>
        <w:ind w:left="720" w:hanging="720"/>
      </w:pPr>
      <w:r>
        <w:rPr>
          <w:rFonts w:ascii="Georgia" w:cs="Georgia" w:eastAsia="Georgia" w:hAnsi="Georgia"/>
          <w:sz w:val="22"/>
          <w:szCs w:val="22"/>
        </w:rPr>
        <w:t xml:space="preserve">Cartwright, N. (1989). Nature’s capacities and their measurement. Oxford University Press.</w:t>
      </w:r>
    </w:p>
    <w:p>
      <w:pPr>
        <w:spacing w:before="60" w:after="60" w:line="276"/>
        <w:ind w:left="720" w:hanging="720"/>
      </w:pPr>
      <w:r>
        <w:rPr>
          <w:rFonts w:ascii="Georgia" w:cs="Georgia" w:eastAsia="Georgia" w:hAnsi="Georgia"/>
          <w:sz w:val="22"/>
          <w:szCs w:val="22"/>
        </w:rPr>
        <w:t xml:space="preserve">Craver, C. F. (2007). Explaining the brain: Mechanisms and the mosaic unity of neuroscience. Oxford University Press.</w:t>
      </w:r>
    </w:p>
    <w:p>
      <w:pPr>
        <w:spacing w:before="60" w:after="60" w:line="276"/>
        <w:ind w:left="720" w:hanging="720"/>
      </w:pPr>
      <w:r>
        <w:rPr>
          <w:rFonts w:ascii="Georgia" w:cs="Georgia" w:eastAsia="Georgia" w:hAnsi="Georgia"/>
          <w:sz w:val="22"/>
          <w:szCs w:val="22"/>
        </w:rPr>
        <w:t xml:space="preserve">Der Kiureghian, A., &amp; Ditlevsen, O. (2009). Aleatory or epistemic? Does it matter? Structural Safety, 31(2), 105–112. https://doi.org/10.1016/j.strusafe.2008.06.020</w:t>
      </w:r>
    </w:p>
    <w:p>
      <w:pPr>
        <w:spacing w:before="60" w:after="60" w:line="276"/>
        <w:ind w:left="720" w:hanging="720"/>
      </w:pPr>
      <w:r>
        <w:rPr>
          <w:rFonts w:ascii="Georgia" w:cs="Georgia" w:eastAsia="Georgia" w:hAnsi="Georgia"/>
          <w:sz w:val="22"/>
          <w:szCs w:val="22"/>
        </w:rPr>
        <w:t xml:space="preserve">DiMatteo, M. R., Lepper, H. S., &amp; Croghan, T. W. (2000). Depression is a risk factor for noncompliance with medical treatment: Meta-analysis of the effects of anxiety and depression on patient adherence. Archives of Internal Medicine, 160(14), 2101–2107. https://doi.org/10.1001/archinte.160.14.2101</w:t>
      </w:r>
    </w:p>
    <w:p>
      <w:pPr>
        <w:spacing w:before="60" w:after="60" w:line="276"/>
        <w:ind w:left="720" w:hanging="720"/>
      </w:pPr>
      <w:r>
        <w:rPr>
          <w:rFonts w:ascii="Georgia" w:cs="Georgia" w:eastAsia="Georgia" w:hAnsi="Georgia"/>
          <w:sz w:val="22"/>
          <w:szCs w:val="22"/>
        </w:rPr>
        <w:t xml:space="preserve">Holyoak, K. J., &amp; Thagard, P. (1995). Mental leaps: Analogy in creative thought. MIT Press.</w:t>
      </w:r>
    </w:p>
    <w:p>
      <w:pPr>
        <w:spacing w:before="60" w:after="60" w:line="276"/>
        <w:ind w:left="720" w:hanging="720"/>
      </w:pPr>
      <w:r>
        <w:rPr>
          <w:rFonts w:ascii="Georgia" w:cs="Georgia" w:eastAsia="Georgia" w:hAnsi="Georgia"/>
          <w:sz w:val="22"/>
          <w:szCs w:val="22"/>
        </w:rPr>
        <w:t xml:space="preserve">Huang, Y., &amp; Valtorta, M. (2006). Pearl’s calculus of intervention is complete. In Proceedings of the 22nd Conference on Uncertainty in Artificial Intelligence (pp. 217–224). AUAI Press.</w:t>
      </w:r>
    </w:p>
    <w:p>
      <w:pPr>
        <w:spacing w:before="60" w:after="60" w:line="276"/>
        <w:ind w:left="720" w:hanging="720"/>
      </w:pPr>
      <w:r>
        <w:rPr>
          <w:rFonts w:ascii="Georgia" w:cs="Georgia" w:eastAsia="Georgia" w:hAnsi="Georgia"/>
          <w:sz w:val="22"/>
          <w:szCs w:val="22"/>
        </w:rPr>
        <w:t xml:space="preserve">Kiecolt-Glaser, J. K., McGuire, L., Robles, T. F., &amp; Glaser, R. (2002). Emotions, morbidity, and mortality: New perspectives from psychoneuroimmunology. Annual Review of Psychology, 53, 83–107. https://doi.org/10.1146/annurev.psych.53.100901.135217</w:t>
      </w:r>
    </w:p>
    <w:p>
      <w:pPr>
        <w:spacing w:before="60" w:after="60" w:line="276"/>
        <w:ind w:left="720" w:hanging="720"/>
      </w:pPr>
      <w:r>
        <w:rPr>
          <w:rFonts w:ascii="Georgia" w:cs="Georgia" w:eastAsia="Georgia" w:hAnsi="Georgia"/>
          <w:sz w:val="22"/>
          <w:szCs w:val="22"/>
        </w:rPr>
        <w:t xml:space="preserve">Lambert, G. W., Reid, C., Kaye, D. M., Jennings, G. L., &amp; Esler, M. D. (2002). Effect of sunlight and season on serotonin turnover in the brain. The Lancet, 360(9348), 1840–1842. https://doi.org/10.1016/S0140-6736(02)11737-5</w:t>
      </w:r>
    </w:p>
    <w:p>
      <w:pPr>
        <w:spacing w:before="60" w:after="60" w:line="276"/>
        <w:ind w:left="720" w:hanging="720"/>
      </w:pPr>
      <w:r>
        <w:rPr>
          <w:rFonts w:ascii="Georgia" w:cs="Georgia" w:eastAsia="Georgia" w:hAnsi="Georgia"/>
          <w:sz w:val="22"/>
          <w:szCs w:val="22"/>
        </w:rPr>
        <w:t xml:space="preserve">Machamer, P., Darden, L., &amp; Craver, C. F. (2000). Thinking about mechanisms. Philosophy of Science, 67(1), 1–25. https://doi.org/10.1086/392759</w:t>
      </w:r>
    </w:p>
    <w:p>
      <w:pPr>
        <w:spacing w:before="60" w:after="60" w:line="276"/>
        <w:ind w:left="720" w:hanging="720"/>
      </w:pPr>
      <w:r>
        <w:rPr>
          <w:rFonts w:ascii="Georgia" w:cs="Georgia" w:eastAsia="Georgia" w:hAnsi="Georgia"/>
          <w:sz w:val="22"/>
          <w:szCs w:val="22"/>
        </w:rPr>
        <w:t xml:space="preserve">Open Science Collaboration. (2015). Estimating the reproducibility of psychological science. Science, 349(6251), aac4716. https://doi.org/10.1126/science.aac4716</w:t>
      </w:r>
    </w:p>
    <w:p>
      <w:pPr>
        <w:spacing w:before="60" w:after="60" w:line="276"/>
        <w:ind w:left="720" w:hanging="720"/>
      </w:pPr>
      <w:r>
        <w:rPr>
          <w:rFonts w:ascii="Georgia" w:cs="Georgia" w:eastAsia="Georgia" w:hAnsi="Georgia"/>
          <w:sz w:val="22"/>
          <w:szCs w:val="22"/>
        </w:rPr>
        <w:t xml:space="preserve">Pearl, J. (1988). Probabilistic reasoning in intelligent systems: Networks of plausible inference. Morgan Kaufmann.</w:t>
      </w:r>
    </w:p>
    <w:p>
      <w:pPr>
        <w:spacing w:before="60" w:after="60" w:line="276"/>
        <w:ind w:left="720" w:hanging="720"/>
      </w:pPr>
      <w:r>
        <w:rPr>
          <w:rFonts w:ascii="Georgia" w:cs="Georgia" w:eastAsia="Georgia" w:hAnsi="Georgia"/>
          <w:sz w:val="22"/>
          <w:szCs w:val="22"/>
        </w:rPr>
        <w:t xml:space="preserve">Pearl, J. (2009). Causality: Models, reasoning, and inference (2nd ed.). Cambridge University Press.</w:t>
      </w:r>
    </w:p>
    <w:p>
      <w:pPr>
        <w:spacing w:before="60" w:after="60" w:line="276"/>
        <w:ind w:left="720" w:hanging="720"/>
      </w:pPr>
      <w:r>
        <w:rPr>
          <w:rFonts w:ascii="Georgia" w:cs="Georgia" w:eastAsia="Georgia" w:hAnsi="Georgia"/>
          <w:sz w:val="22"/>
          <w:szCs w:val="22"/>
        </w:rPr>
        <w:t xml:space="preserve">Pearl, J., &amp; Bareinboim, E. (2011). Transportability of causal and statistical relations: A formal approach. In Proceedings of the 25th AAAI Conference on Artificial Intelligence (pp. 247–254). AAAI Press.</w:t>
      </w:r>
    </w:p>
    <w:p>
      <w:pPr>
        <w:spacing w:before="60" w:after="60" w:line="276"/>
        <w:ind w:left="720" w:hanging="720"/>
      </w:pPr>
      <w:r>
        <w:rPr>
          <w:rFonts w:ascii="Georgia" w:cs="Georgia" w:eastAsia="Georgia" w:hAnsi="Georgia"/>
          <w:sz w:val="22"/>
          <w:szCs w:val="22"/>
        </w:rPr>
        <w:t xml:space="preserve">Pearl, J., &amp; Mackenzie, D. (2018). The book of why: The new science of cause and effect. Basic Books.</w:t>
      </w:r>
    </w:p>
    <w:p>
      <w:pPr>
        <w:spacing w:before="60" w:after="60" w:line="276"/>
        <w:ind w:left="720" w:hanging="720"/>
      </w:pPr>
      <w:r>
        <w:rPr>
          <w:rFonts w:ascii="Georgia" w:cs="Georgia" w:eastAsia="Georgia" w:hAnsi="Georgia"/>
          <w:sz w:val="22"/>
          <w:szCs w:val="22"/>
        </w:rPr>
        <w:t xml:space="preserve">Saravay, S. M., Pollack, S., Steinberg, M. D., Weinschel, B., &amp; Habert, M. (2004). Four-year follow-up of the influence of psychological comorbidity on medical rehospitalization. American Journal of Psychiatry, 153(3), 397–403. https://doi.org/10.1176/ajp.153.3.397</w:t>
      </w:r>
    </w:p>
    <w:p>
      <w:pPr>
        <w:spacing w:before="60" w:after="60" w:line="276"/>
        <w:ind w:left="720" w:hanging="720"/>
      </w:pPr>
      <w:r>
        <w:rPr>
          <w:rFonts w:ascii="Georgia" w:cs="Georgia" w:eastAsia="Georgia" w:hAnsi="Georgia"/>
          <w:sz w:val="22"/>
          <w:szCs w:val="22"/>
        </w:rPr>
        <w:t xml:space="preserve">Shpitser, I., &amp; Pearl, J. (2006). Identification of joint interventional distributions in recursive semi-Markovian causal models. In Proceedings of the 21st National Conference on Artificial Intelligence (pp. 1219–1226). AAAI Press.</w:t>
      </w:r>
    </w:p>
    <w:p>
      <w:pPr>
        <w:spacing w:before="60" w:after="60" w:line="276"/>
        <w:ind w:left="720" w:hanging="720"/>
      </w:pPr>
      <w:r>
        <w:rPr>
          <w:rFonts w:ascii="Georgia" w:cs="Georgia" w:eastAsia="Georgia" w:hAnsi="Georgia"/>
          <w:sz w:val="22"/>
          <w:szCs w:val="22"/>
        </w:rPr>
        <w:t xml:space="preserve">Toulmin, S. E. (1958). The uses of argument. Cambridge University Press.</w:t>
      </w:r>
    </w:p>
    <w:p>
      <w:pPr>
        <w:spacing w:before="60" w:after="60" w:line="276"/>
        <w:ind w:left="720" w:hanging="720"/>
      </w:pPr>
      <w:r>
        <w:rPr>
          <w:rFonts w:ascii="Georgia" w:cs="Georgia" w:eastAsia="Georgia" w:hAnsi="Georgia"/>
          <w:sz w:val="22"/>
          <w:szCs w:val="22"/>
        </w:rPr>
        <w:t xml:space="preserve">Walch, J. M., Rabin, B. S., Day, R., Williams, J. N., Choi, K., &amp; Kang, J. D. (2005). The effect of sunlight on postoperative analgesic medication use: A prospective study of patients undergoing spinal surgery. Psychosomatic Medicine, 67(1), 156–163. https://doi.org/10.1097/01.psy.0000149258.42508.70</w:t>
      </w:r>
    </w:p>
    <w:p>
      <w:pPr>
        <w:spacing w:before="60" w:after="60" w:line="276"/>
        <w:ind w:left="720" w:hanging="720"/>
      </w:pPr>
      <w:r>
        <w:rPr>
          <w:rFonts w:ascii="Georgia" w:cs="Georgia" w:eastAsia="Georgia" w:hAnsi="Georgia"/>
          <w:sz w:val="22"/>
          <w:szCs w:val="22"/>
        </w:rPr>
        <w:t xml:space="preserve">Woodward, J. (1997). Explanation, invariance, and intervention. Philosophy of Science, 64(Supplement), S26–S41.</w:t>
      </w:r>
    </w:p>
    <w:p>
      <w:pPr>
        <w:spacing w:before="60" w:after="60" w:line="276"/>
        <w:ind w:left="720" w:hanging="720"/>
      </w:pPr>
      <w:r>
        <w:rPr>
          <w:rFonts w:ascii="Georgia" w:cs="Georgia" w:eastAsia="Georgia" w:hAnsi="Georgia"/>
          <w:sz w:val="22"/>
          <w:szCs w:val="22"/>
        </w:rPr>
        <w:t xml:space="preserve">Woodward, J. (2000). Explanation and invariance in the special sciences. The British Journal for the Philosophy of Science, 51(2), 197–254. https://doi.org/10.1093/bjps/51.2.197</w:t>
      </w:r>
    </w:p>
    <w:p>
      <w:pPr>
        <w:spacing w:before="60" w:after="60" w:line="276"/>
        <w:ind w:left="720" w:hanging="720"/>
      </w:pPr>
      <w:r>
        <w:rPr>
          <w:rFonts w:ascii="Georgia" w:cs="Georgia" w:eastAsia="Georgia" w:hAnsi="Georgia"/>
          <w:sz w:val="22"/>
          <w:szCs w:val="22"/>
        </w:rPr>
        <w:t xml:space="preserve">Woodward, J. (2003). Making things happen: A theory of causal explanation. Oxford University Press.</w:t>
      </w:r>
    </w:p>
    <w:p>
      <w:pPr>
        <w:spacing w:before="60" w:after="60" w:line="276"/>
        <w:ind w:left="720" w:hanging="720"/>
      </w:pPr>
      <w:r>
        <w:rPr>
          <w:rFonts w:ascii="Georgia" w:cs="Georgia" w:eastAsia="Georgia" w:hAnsi="Georgia"/>
          <w:sz w:val="22"/>
          <w:szCs w:val="22"/>
        </w:rPr>
        <w:t xml:space="preserve">Woodward, J. (2010). Causation in biology: Stability, specificity, and the choice of levels of explanation. Biology &amp; Philosophy, 25(3), 287–318. https://doi.org/10.1007/s10539-010-9200-z</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300" w:after="160"/>
      <w:outlineLvl w:val="1"/>
    </w:pPr>
    <w:rPr>
      <w:rFonts w:ascii="Georgia" w:cs="Georgia" w:eastAsia="Georgia" w:hAnsi="Georgia"/>
      <w:b/>
      <w:b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2026-02-27T03:23:52.205Z</dcterms:created>
  <dcterms:modified xsi:type="dcterms:W3CDTF">2026-02-27T03:23:52.206Z</dcterms:modified>
</cp:coreProperties>
</file>

<file path=docProps/custom.xml><?xml version="1.0" encoding="utf-8"?>
<Properties xmlns="http://schemas.openxmlformats.org/officeDocument/2006/custom-properties" xmlns:vt="http://schemas.openxmlformats.org/officeDocument/2006/docPropsVTypes"/>
</file>