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Constraint–Valuation Architecture (CVA)</w:t>
      </w:r>
    </w:p>
    <w:p>
      <w:r>
        <w:t>A Multimodal Computational Framework for Affective Judgment in Built Environments</w:t>
      </w:r>
    </w:p>
    <w:p>
      <w:r>
        <w:t>Full Expert Panel Dossier – Extended Technical Edition</w:t>
      </w:r>
    </w:p>
    <w:p>
      <w:r>
        <w:br w:type="page"/>
      </w:r>
    </w:p>
    <w:p>
      <w:pPr>
        <w:pStyle w:val="Heading1"/>
      </w:pPr>
      <w:r>
        <w:t>1. Executive Rationale</w:t>
      </w:r>
    </w:p>
    <w:p>
      <w:r>
        <w:t>This document presents a fully articulated defense of the Constraint–Valuation Architecture (CVA). The goal is not conceptual novelty for its own sake, but structural clarification, modeling integrity, and theoretical convergence across architectural cognition, affective neuroscience, appraisal theory, predictive processing, and Bayesian modeling.</w:t>
      </w:r>
    </w:p>
    <w:p>
      <w:r>
        <w:t>The central claim is that architectural affect is best modeled as a three-layer process: (1) constrained inference over multimodal environmental features; (2) goal-relative valuation of those inferred states; (3) policy selection and behavioral regulation. This separation is not terminological but causal.</w:t>
      </w:r>
    </w:p>
    <w:p>
      <w:pPr>
        <w:pStyle w:val="Heading1"/>
      </w:pPr>
      <w:r>
        <w:t>2. Theoretical Foundations</w:t>
      </w:r>
    </w:p>
    <w:p>
      <w:r>
        <w:t>The framework integrates three major theoretical traditions:</w:t>
      </w:r>
    </w:p>
    <w:p>
      <w:r>
        <w:t>Appraisal Theory: Structured evaluation checks determine goal relevance, coping potential, and normative significance. CVA treats valuation nodes as structured goal-relative computations.</w:t>
      </w:r>
    </w:p>
    <w:p>
      <w:r>
        <w:t>Core Affect / Constructionism: Valence and arousal emerge from integrated valuation vectors. Beauty is treated as a linguistic compression over these vectors.</w:t>
      </w:r>
    </w:p>
    <w:p>
      <w:r>
        <w:t>Active Inference: Constraint variables correspond to belief updating under generative models; valuation influences policy precision and action selection.</w:t>
      </w:r>
    </w:p>
    <w:p>
      <w:pPr>
        <w:pStyle w:val="Heading1"/>
      </w:pPr>
      <w:r>
        <w:t>3. Formal Architecture</w:t>
      </w:r>
    </w:p>
    <w:p>
      <w:r>
        <w:t>Let x represent multimodal feature vectors.</w:t>
      </w:r>
    </w:p>
    <w:p>
      <w:r>
        <w:t>Constraint Layer: c = f(x; θ_infer)</w:t>
      </w:r>
    </w:p>
    <w:p>
      <w:r>
        <w:t>Valuation Layer: v_i = V_i(c; g, τ, κ)</w:t>
      </w:r>
    </w:p>
    <w:p>
      <w:r>
        <w:t>Policy Layer: b = π(v, c; precision)</w:t>
      </w:r>
    </w:p>
    <w:p>
      <w:r>
        <w:t>Where g represents activity goals, τ trait parameters, and κ cultural/identity priors.</w:t>
      </w:r>
    </w:p>
    <w:p>
      <w:r>
        <w:t>Beauty_report = L(v; instruction), where L is a context-sensitive linguistic mapping.</w:t>
      </w:r>
    </w:p>
    <w:p>
      <w:pPr>
        <w:pStyle w:val="Heading1"/>
      </w:pPr>
      <w:r>
        <w:t>4. Multimodal Mechanisms</w:t>
      </w:r>
    </w:p>
    <w:p>
      <w:r>
        <w:t>Vision contributes layout topology, boundary structure, material cues, clutter density, monumentality perception, and social density estimation.</w:t>
      </w:r>
    </w:p>
    <w:p>
      <w:r>
        <w:t>Audition contributes unpredictability, enclosure inference via reverberation, social presence detection, and arousal modulation.</w:t>
      </w:r>
    </w:p>
    <w:p>
      <w:r>
        <w:t>Interoception contributes fatigue estimation, stress load, and regulation capacity.</w:t>
      </w:r>
    </w:p>
    <w:p>
      <w:r>
        <w:t>Olfaction contributes contamination inference and episodic memory linkage.</w:t>
      </w:r>
    </w:p>
    <w:p>
      <w:r>
        <w:t>Thermal and tactile cues contribute comfort estimation and agency inference.</w:t>
      </w:r>
    </w:p>
    <w:p>
      <w:r>
        <w:t>The constraint layer must be defined over joint multimodal space. Cross-modal coherence is treated as an independent constraint variable.</w:t>
      </w:r>
    </w:p>
    <w:p>
      <w:pPr>
        <w:pStyle w:val="Heading1"/>
      </w:pPr>
      <w:r>
        <w:t>5. Identity, Place, and Belonging</w:t>
      </w:r>
    </w:p>
    <w:p>
      <w:r>
        <w:t>Place is modeled as geometry + memory + narrative continuity + identity alignment. This introduces valuation axes such as BelongingValue, IdentityCongruenceValue, AutonomySupportValue, CompetenceSupportValue, and RelatednessSupportValue.</w:t>
      </w:r>
    </w:p>
    <w:p>
      <w:r>
        <w:t>These axes are grounded in sociometer theory, identity-based motivation, and self-determination theory. Their inclusion significantly expands explanatory power.</w:t>
      </w:r>
    </w:p>
    <w:p>
      <w:pPr>
        <w:pStyle w:val="Heading1"/>
      </w:pPr>
      <w:r>
        <w:t>6. Activity Frame as Master Moderator</w:t>
      </w:r>
    </w:p>
    <w:p>
      <w:r>
        <w:t>ActivityFrame modulates valuation weights. The same constraint state can produce divergent valuation outcomes under different activity contexts (e.g., studying vs performing).</w:t>
      </w:r>
    </w:p>
    <w:p>
      <w:r>
        <w:t>This operationalizes activity space computationally and explains conditional findings.</w:t>
      </w:r>
    </w:p>
    <w:p>
      <w:pPr>
        <w:pStyle w:val="Heading1"/>
      </w:pPr>
      <w:r>
        <w:t>7. Falsifiability Conditions</w:t>
      </w:r>
    </w:p>
    <w:p>
      <w:r>
        <w:t>The architecture is falsifiable under the following conditions:</w:t>
      </w:r>
    </w:p>
    <w:p>
      <w:r>
        <w:t>1. Failure of constraint–valuation dissociation under goal manipulation.</w:t>
      </w:r>
    </w:p>
    <w:p>
      <w:r>
        <w:t>2. Beauty ratings that cannot be predicted from valuation vectors.</w:t>
      </w:r>
    </w:p>
    <w:p>
      <w:r>
        <w:t>3. Identity reversals that cannot be captured by moderator weights.</w:t>
      </w:r>
    </w:p>
    <w:p>
      <w:r>
        <w:t>4. Multimodal perturbations that contradict model predictions.</w:t>
      </w:r>
    </w:p>
    <w:p>
      <w:pPr>
        <w:pStyle w:val="Heading1"/>
      </w:pPr>
      <w:r>
        <w:t>8. Risks and Limitations</w:t>
      </w:r>
    </w:p>
    <w:p>
      <w:r>
        <w:t>Potential weaknesses include over-separation of intertwined processes, valence embedded in fluency, narrative meaning requiring additional layers, and cultural variability exceeding parameterization.</w:t>
      </w:r>
    </w:p>
    <w:p>
      <w:pPr>
        <w:pStyle w:val="Heading1"/>
      </w:pPr>
      <w:r>
        <w:t>9. Strategic Importance</w:t>
      </w:r>
    </w:p>
    <w:p>
      <w:r>
        <w:t>The CVA strengthens causal clarity in Bayesian modeling, improves ontology governance, aligns architectural affect modeling with modern cognitive science, and enables multimodal simulation of affective judgment.</w:t>
      </w:r>
    </w:p>
    <w:p>
      <w:r>
        <w:t>It is ambitious enough to fail, and therefore worthy of serious expert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