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Constraint–Valuation Architecture (CVA)</w:t>
      </w:r>
    </w:p>
    <w:p>
      <w:pPr>
        <w:pStyle w:val="Heading2"/>
      </w:pPr>
      <w:r>
        <w:t>A Multimodal Computational Framework for Affective Judgment in Built Environments</w:t>
      </w:r>
    </w:p>
    <w:p>
      <w:r>
        <w:t>This memorandum proposes a structural reframing of affective modeling in architectural environments. It separates constrained inference from goal-relative valuation and policy selection, integrates multimodal processing, and embeds identity, place, and activity framing as first-class moderators.</w:t>
      </w:r>
    </w:p>
    <w:p>
      <w:pPr>
        <w:pStyle w:val="Heading2"/>
      </w:pPr>
      <w:r>
        <w:t>1. Formal Architecture</w:t>
      </w:r>
    </w:p>
    <w:p>
      <w:r>
        <w:t>Let x be measurable multimodal feature vectors.</w:t>
      </w:r>
    </w:p>
    <w:p>
      <w:r>
        <w:t>Constraint Layer: c = f(x; θ_infer)</w:t>
      </w:r>
    </w:p>
    <w:p>
      <w:r>
        <w:t>Valuation Layer: v_i = V_i(c; g, τ, κ)</w:t>
      </w:r>
    </w:p>
    <w:p>
      <w:r>
        <w:t>Policy Layer: b = π(v, c; precision parameters)</w:t>
      </w:r>
    </w:p>
    <w:p>
      <w:pPr>
        <w:pStyle w:val="Heading2"/>
      </w:pPr>
      <w:r>
        <w:t>2. Constraint Variables (CIL)</w:t>
      </w:r>
    </w:p>
    <w:p>
      <w:r>
        <w:t>• ProcessingCost</w:t>
      </w:r>
    </w:p>
    <w:p>
      <w:r>
        <w:t>• LoadRate</w:t>
      </w:r>
    </w:p>
    <w:p>
      <w:r>
        <w:t>• PredictionError</w:t>
      </w:r>
    </w:p>
    <w:p>
      <w:r>
        <w:t>• ControlEfficacy</w:t>
      </w:r>
    </w:p>
    <w:p>
      <w:r>
        <w:t>• ActionFeasibility</w:t>
      </w:r>
    </w:p>
    <w:p>
      <w:r>
        <w:t>• SocialCueDensity</w:t>
      </w:r>
    </w:p>
    <w:p>
      <w:r>
        <w:t>• MultisensoryCoherence</w:t>
      </w:r>
    </w:p>
    <w:p>
      <w:r>
        <w:t>• NarrativeCoherence (candidate)</w:t>
      </w:r>
    </w:p>
    <w:p>
      <w:r>
        <w:t>• JudgmentExposureIndex (candidate)</w:t>
      </w:r>
    </w:p>
    <w:p>
      <w:pPr>
        <w:pStyle w:val="Heading2"/>
      </w:pPr>
      <w:r>
        <w:t>3. Valuation Axes (VL)</w:t>
      </w:r>
    </w:p>
    <w:p>
      <w:r>
        <w:t>• SafetyValue</w:t>
      </w:r>
    </w:p>
    <w:p>
      <w:r>
        <w:t>• InterestValue</w:t>
      </w:r>
    </w:p>
    <w:p>
      <w:r>
        <w:t>• RestorationValue</w:t>
      </w:r>
    </w:p>
    <w:p>
      <w:r>
        <w:t>• StatusValue</w:t>
      </w:r>
    </w:p>
    <w:p>
      <w:r>
        <w:t>• BelongingValue</w:t>
      </w:r>
    </w:p>
    <w:p>
      <w:r>
        <w:t>• IdentityCongruenceValue</w:t>
      </w:r>
    </w:p>
    <w:p>
      <w:r>
        <w:t>• AutonomySupportValue</w:t>
      </w:r>
    </w:p>
    <w:p>
      <w:r>
        <w:t>• CompetenceSupportValue</w:t>
      </w:r>
    </w:p>
    <w:p>
      <w:r>
        <w:t>• RelatednessSupportValue</w:t>
      </w:r>
    </w:p>
    <w:p>
      <w:r>
        <w:t>Beauty is treated as a report-level compression over valuation vectors rather than a primitive evaluative state.</w:t>
      </w:r>
    </w:p>
    <w:p>
      <w:pPr>
        <w:pStyle w:val="Heading2"/>
      </w:pPr>
      <w:r>
        <w:t>4. Multimodal Integration</w:t>
      </w:r>
    </w:p>
    <w:p>
      <w:r>
        <w:t>Architectural affect must be modeled over joint multimodal feature space: vision, audition, interoception, olfaction, thermal, and proprioceptive signals. Constraint inference is multimodal; valuation integrates across modalities.</w:t>
      </w:r>
    </w:p>
    <w:p>
      <w:pPr>
        <w:pStyle w:val="Heading2"/>
      </w:pPr>
      <w:r>
        <w:t>5. Activity Frame as Moderator</w:t>
      </w:r>
    </w:p>
    <w:p>
      <w:r>
        <w:t>ActivityFrame (A) modulates valuation weights. Identical constraint states may yield divergent valuations under different activity contexts.</w:t>
      </w:r>
    </w:p>
    <w:p>
      <w:pPr>
        <w:pStyle w:val="Heading2"/>
      </w:pPr>
      <w:r>
        <w:t>6. Place and Identity Integration</w:t>
      </w:r>
    </w:p>
    <w:p>
      <w:r>
        <w:t>Place introduces memory, narrative continuity, belonging, identity alignment, and ritual meaning. These are modeled as valuation axes and moderators informed by sociometer theory, identity-based motivation, and self-determination theory.</w:t>
      </w:r>
    </w:p>
    <w:p>
      <w:pPr>
        <w:pStyle w:val="Heading2"/>
      </w:pPr>
      <w:r>
        <w:t>7. Falsifiability and Risk</w:t>
      </w:r>
    </w:p>
    <w:p>
      <w:r>
        <w:t>Key stress tests include constraint–valuation dissociation, goal reversals, multimodal perturbations, and beauty compression testing.</w:t>
      </w:r>
    </w:p>
    <w:p>
      <w:r>
        <w:t>Failure of dissociation would collapse the proposed architecture.</w:t>
      </w:r>
    </w:p>
    <w:p>
      <w:pPr>
        <w:pStyle w:val="Heading2"/>
      </w:pPr>
      <w:r>
        <w:t>8. Strategic Questions for Panel</w:t>
      </w:r>
    </w:p>
    <w:p>
      <w:r>
        <w:t>1. Is constraint–valuation separation neurally plausible?</w:t>
      </w:r>
    </w:p>
    <w:p>
      <w:r>
        <w:t>2. Which valuation axes should be elevated to Tier-1?</w:t>
      </w:r>
    </w:p>
    <w:p>
      <w:r>
        <w:t>3. How should multimodal coherence be parameterized?</w:t>
      </w:r>
    </w:p>
    <w:p>
      <w:r>
        <w:t>4. Should activity framing enter as moderator or generative prior?</w:t>
      </w:r>
    </w:p>
    <w:p>
      <w:r>
        <w:t>5. Can beauty be eliminated without explanatory remainder?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