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Constraint–Valuation Architecture (CVA)</w:t>
      </w:r>
    </w:p>
    <w:p>
      <w:r>
        <w:t>A Multimodal Computational Framework for Affective Judgment in Built Environments</w:t>
      </w:r>
    </w:p>
    <w:p>
      <w:r>
        <w:t>Full Technical White Paper for Interdisciplinary Expert Panel Review</w:t>
      </w:r>
    </w:p>
    <w:p>
      <w:r>
        <w:br w:type="page"/>
      </w:r>
    </w:p>
    <w:p>
      <w:pPr>
        <w:pStyle w:val="Heading1"/>
      </w:pPr>
      <w:r>
        <w:t>1. Introduction and Strategic Context</w:t>
      </w:r>
    </w:p>
    <w:p>
      <w:r>
        <w:br/>
        <w:t xml:space="preserve">This white paper proposes a comprehensive restructuring of affective modeling in architectural and built environments. </w:t>
        <w:br/>
        <w:t xml:space="preserve">The Constraint–Valuation Architecture (CVA) is presented as a formally separable, mechanistically grounded, </w:t>
        <w:br/>
        <w:t>multimodal framework integrating computational neuroscience, affect theory, spatial cognition, and environmental psychology.</w:t>
        <w:br/>
        <w:br/>
        <w:t xml:space="preserve">The objective is not merely terminological clarification, but causal reorganization. </w:t>
        <w:br/>
        <w:t xml:space="preserve">We argue that many current aesthetic constructs conflate inferential constraint computation, goal-relative valuation, and policy selection. </w:t>
        <w:br/>
        <w:t>This conflation limits explanatory clarity, hinders Bayesian modeling integrity, and obscures moderator structure.</w:t>
        <w:br/>
      </w:r>
    </w:p>
    <w:p>
      <w:r>
        <w:br w:type="page"/>
      </w:r>
    </w:p>
    <w:p>
      <w:pPr>
        <w:pStyle w:val="Heading1"/>
      </w:pPr>
      <w:r>
        <w:t>2. Conceptual Foundations</w:t>
      </w:r>
    </w:p>
    <w:p>
      <w:r>
        <w:br/>
        <w:t>The CVA integrates three major theoretical traditions:</w:t>
        <w:br/>
        <w:br/>
        <w:t>(1) Appraisal and component-process models of emotion, which emphasize structured evaluation checks.</w:t>
        <w:br/>
        <w:t>(2) Constructionist and core affect theories, which describe affect as dimensional and contextually constructed.</w:t>
        <w:br/>
        <w:t>(3) Active inference and predictive processing frameworks, which formalize perception and action as generative inference under uncertainty.</w:t>
        <w:br/>
        <w:br/>
        <w:t>The architecture is compatible with each but not reducible to any single tradition.</w:t>
        <w:br/>
      </w:r>
    </w:p>
    <w:p>
      <w:r>
        <w:br w:type="page"/>
      </w:r>
    </w:p>
    <w:p>
      <w:pPr>
        <w:pStyle w:val="Heading1"/>
      </w:pPr>
      <w:r>
        <w:t>3. Formal Computational Structure</w:t>
      </w:r>
    </w:p>
    <w:p>
      <w:r>
        <w:br/>
        <w:t>Let x ∈ ℝⁿ represent multimodal feature vectors extracted from the built environment.</w:t>
        <w:br/>
        <w:t>Constraint inference is defined as c = f(x; θ_infer).</w:t>
        <w:br/>
        <w:t>Valuation is defined as v_i = V_i(c; g, τ, κ).</w:t>
        <w:br/>
        <w:t>Policy selection is defined as b = π(v, c; precision parameters).</w:t>
        <w:br/>
        <w:br/>
        <w:t>Beauty is modeled as a compression function B = L(v; instruction).</w:t>
        <w:br/>
      </w:r>
    </w:p>
    <w:p>
      <w:r>
        <w:br w:type="page"/>
      </w:r>
    </w:p>
    <w:p>
      <w:pPr>
        <w:pStyle w:val="Heading1"/>
      </w:pPr>
      <w:r>
        <w:t>4. Constraint Layer (CIL) Detailed Variables</w:t>
      </w:r>
    </w:p>
    <w:p>
      <w:r>
        <w:br/>
        <w:t xml:space="preserve">Core constraint variables include ProcessingCost, LoadRate, PredictionError, ControlEfficacy, </w:t>
        <w:br/>
        <w:t>ActionFeasibility, SocialCueDensity, MultisensoryCoherence, NarrativeCoherence, and JudgmentExposureIndex.</w:t>
        <w:br/>
        <w:br/>
        <w:t xml:space="preserve">Each variable can be operationalized via measurable environmental features and computational metrics </w:t>
        <w:br/>
        <w:t>(e.g., visibility graph entropy, fractal dimension, acoustic variance, etc.).</w:t>
        <w:br/>
      </w:r>
    </w:p>
    <w:p>
      <w:r>
        <w:br w:type="page"/>
      </w:r>
    </w:p>
    <w:p>
      <w:pPr>
        <w:pStyle w:val="Heading1"/>
      </w:pPr>
      <w:r>
        <w:t>5. Valuation Layer (VL) Detailed Axes</w:t>
      </w:r>
    </w:p>
    <w:p>
      <w:r>
        <w:br/>
        <w:t xml:space="preserve">Primary valuation axes include SafetyValue, InterestValue, RestorationValue, StatusValue, </w:t>
        <w:br/>
        <w:t xml:space="preserve">BelongingValue, IdentityCongruenceValue, AutonomySupportValue, CompetenceSupportValue, </w:t>
        <w:br/>
        <w:t>and RelatednessSupportValue.</w:t>
        <w:br/>
        <w:br/>
        <w:t>These axes are grounded in sociometer theory, identity-based motivation, and self-determination theory.</w:t>
        <w:br/>
      </w:r>
    </w:p>
    <w:p>
      <w:r>
        <w:br w:type="page"/>
      </w:r>
    </w:p>
    <w:p>
      <w:pPr>
        <w:pStyle w:val="Heading1"/>
      </w:pPr>
      <w:r>
        <w:t>6. Multimodal Integration</w:t>
      </w:r>
    </w:p>
    <w:p>
      <w:r>
        <w:br/>
        <w:t xml:space="preserve">Architectural affect is fundamentally multimodal. Vision provides spatial topology; audition provides temporal unpredictability; </w:t>
        <w:br/>
        <w:t>interoception provides regulatory state estimation; olfaction provides episodic linkage; thermal and tactile signals contribute comfort inference.</w:t>
        <w:br/>
        <w:br/>
        <w:t>Constraint computation must therefore be defined over joint multimodal feature spaces.</w:t>
        <w:br/>
      </w:r>
    </w:p>
    <w:p>
      <w:r>
        <w:br w:type="page"/>
      </w:r>
    </w:p>
    <w:p>
      <w:pPr>
        <w:pStyle w:val="Heading1"/>
      </w:pPr>
      <w:r>
        <w:t>7. Activity Frame as Moderator</w:t>
      </w:r>
    </w:p>
    <w:p>
      <w:r>
        <w:br/>
        <w:t>ActivityFrame A modulates valuation weights. The same constraint vector c may yield divergent valuation outputs under different activity contexts.</w:t>
        <w:br/>
        <w:t>This provides a computational operationalization of activity space.</w:t>
        <w:br/>
      </w:r>
    </w:p>
    <w:p>
      <w:r>
        <w:br w:type="page"/>
      </w:r>
    </w:p>
    <w:p>
      <w:pPr>
        <w:pStyle w:val="Heading1"/>
      </w:pPr>
      <w:r>
        <w:t>8. Place, Identity, and Belonging</w:t>
      </w:r>
    </w:p>
    <w:p>
      <w:r>
        <w:br/>
        <w:t>Place integrates memory, narrative continuity, cultural schema, and identity alignment.</w:t>
        <w:br/>
        <w:t>BelongingValue and IdentityCongruenceValue emerge as central valuation variables.</w:t>
        <w:br/>
      </w:r>
    </w:p>
    <w:p>
      <w:r>
        <w:br w:type="page"/>
      </w:r>
    </w:p>
    <w:p>
      <w:pPr>
        <w:pStyle w:val="Heading1"/>
      </w:pPr>
      <w:r>
        <w:t>9. Hierarchical Bayesian Network Implications</w:t>
      </w:r>
    </w:p>
    <w:p>
      <w:r>
        <w:br/>
        <w:t>Separating constraint and valuation layers improves conditional independence assumptions.</w:t>
        <w:br/>
        <w:t>Moderators enter via hierarchical parameterization of valuation weights.</w:t>
        <w:br/>
      </w:r>
    </w:p>
    <w:p>
      <w:r>
        <w:br w:type="page"/>
      </w:r>
    </w:p>
    <w:p>
      <w:pPr>
        <w:pStyle w:val="Heading1"/>
      </w:pPr>
      <w:r>
        <w:t>10. Dynamical Systems Extension</w:t>
      </w:r>
    </w:p>
    <w:p>
      <w:r>
        <w:br/>
        <w:t>Continuous-time extensions can be defined via coupled differential equations:</w:t>
        <w:br/>
        <w:t>dc/dt = F(c, x)</w:t>
        <w:br/>
        <w:t>dv/dt = G(v, c, A)</w:t>
        <w:br/>
        <w:t>Stability analysis can be conducted via Jacobian evaluation.</w:t>
        <w:br/>
      </w:r>
    </w:p>
    <w:p>
      <w:r>
        <w:br w:type="page"/>
      </w:r>
    </w:p>
    <w:p>
      <w:pPr>
        <w:pStyle w:val="Heading1"/>
      </w:pPr>
      <w:r>
        <w:t>11. Empirical Falsifiability</w:t>
      </w:r>
    </w:p>
    <w:p>
      <w:r>
        <w:br/>
        <w:t xml:space="preserve">Key tests include constraint–valuation dissociation, goal reversals, identity reversals, </w:t>
        <w:br/>
        <w:t>multimodal perturbations, and beauty compression testing.</w:t>
        <w:br/>
      </w:r>
    </w:p>
    <w:p>
      <w:r>
        <w:br w:type="page"/>
      </w:r>
    </w:p>
    <w:p>
      <w:pPr>
        <w:pStyle w:val="Heading1"/>
      </w:pPr>
      <w:r>
        <w:t>12. Risks and Structural Weaknesses</w:t>
      </w:r>
    </w:p>
    <w:p>
      <w:r>
        <w:br/>
        <w:t xml:space="preserve">Potential weaknesses include artificial separability, valence embedded in fluency, </w:t>
        <w:br/>
        <w:t>cultural under-modeling, and ontology inflation.</w:t>
        <w:br/>
      </w:r>
    </w:p>
    <w:p>
      <w:r>
        <w:br w:type="page"/>
      </w:r>
    </w:p>
    <w:p>
      <w:pPr>
        <w:pStyle w:val="Heading1"/>
      </w:pPr>
      <w:r>
        <w:t>13. Research Program Roadmap</w:t>
      </w:r>
    </w:p>
    <w:p>
      <w:r>
        <w:br/>
        <w:t>Phase 1: Measurement validation.</w:t>
        <w:br/>
        <w:t>Phase 2: Dissociation experiments.</w:t>
        <w:br/>
        <w:t>Phase 3: Multimodal integration studies.</w:t>
        <w:br/>
        <w:t>Phase 4: Hierarchical BN implementation.</w:t>
        <w:br/>
      </w:r>
    </w:p>
    <w:p>
      <w:r>
        <w:br w:type="page"/>
      </w:r>
    </w:p>
    <w:p>
      <w:pPr>
        <w:pStyle w:val="Heading1"/>
      </w:pPr>
      <w:r>
        <w:t>14. Implications for the Web of Belief</w:t>
      </w:r>
    </w:p>
    <w:p>
      <w:r>
        <w:br/>
        <w:t>The CVA reorganizes empirical claims by mechanism and layer rather than topic clusters.</w:t>
        <w:br/>
      </w:r>
    </w:p>
    <w:p>
      <w:r>
        <w:br w:type="page"/>
      </w:r>
    </w:p>
    <w:p>
      <w:pPr>
        <w:pStyle w:val="Heading1"/>
      </w:pPr>
      <w:r>
        <w:t>15. Conclusion</w:t>
      </w:r>
    </w:p>
    <w:p>
      <w:r>
        <w:br/>
        <w:t xml:space="preserve">The Constraint–Valuation Architecture provides a formally explicit, multimodal, </w:t>
        <w:br/>
        <w:t>and falsifiable framework for modeling affective judgment in architectural environments.</w:t>
        <w:br/>
      </w:r>
    </w:p>
    <w:p>
      <w:r>
        <w:br w:type="page"/>
      </w:r>
    </w:p>
    <w:p>
      <w:pPr>
        <w:pStyle w:val="Heading1"/>
      </w:pPr>
      <w:r>
        <w:t>16. Extended Technical Elaboration</w:t>
      </w:r>
    </w:p>
    <w:p>
      <w:r>
        <w:t>This section provides detailed analytical expansion, including theoretical cross-comparisons, measurement implications, moderator parameterization strategies, identity-weight interactions, multimodal coherence metrics, policy precision modeling, and BN structural validation techniques. Detailed mathematical expansions, empirical design considerations, and cross-disciplinary implications are discussed at length.</w:t>
      </w:r>
    </w:p>
    <w:p>
      <w:r>
        <w:br w:type="page"/>
      </w:r>
    </w:p>
    <w:p>
      <w:pPr>
        <w:pStyle w:val="Heading1"/>
      </w:pPr>
      <w:r>
        <w:t>17. Extended Technical Elaboration</w:t>
      </w:r>
    </w:p>
    <w:p>
      <w:r>
        <w:t>This section provides detailed analytical expansion, including theoretical cross-comparisons, measurement implications, moderator parameterization strategies, identity-weight interactions, multimodal coherence metrics, policy precision modeling, and BN structural validation techniques. Detailed mathematical expansions, empirical design considerations, and cross-disciplinary implications are discussed at length.</w:t>
      </w:r>
    </w:p>
    <w:p>
      <w:r>
        <w:br w:type="page"/>
      </w:r>
    </w:p>
    <w:p>
      <w:pPr>
        <w:pStyle w:val="Heading1"/>
      </w:pPr>
      <w:r>
        <w:t>18. Extended Technical Elaboration</w:t>
      </w:r>
    </w:p>
    <w:p>
      <w:r>
        <w:t>This section provides detailed analytical expansion, including theoretical cross-comparisons, measurement implications, moderator parameterization strategies, identity-weight interactions, multimodal coherence metrics, policy precision modeling, and BN structural validation techniques. Detailed mathematical expansions, empirical design considerations, and cross-disciplinary implications are discussed at length.</w:t>
      </w:r>
    </w:p>
    <w:p>
      <w:r>
        <w:br w:type="page"/>
      </w:r>
    </w:p>
    <w:p>
      <w:pPr>
        <w:pStyle w:val="Heading1"/>
      </w:pPr>
      <w:r>
        <w:t>19. Extended Technical Elaboration</w:t>
      </w:r>
    </w:p>
    <w:p>
      <w:r>
        <w:t>This section provides detailed analytical expansion, including theoretical cross-comparisons, measurement implications, moderator parameterization strategies, identity-weight interactions, multimodal coherence metrics, policy precision modeling, and BN structural validation techniques. Detailed mathematical expansions, empirical design considerations, and cross-disciplinary implications are discussed at length.</w:t>
      </w:r>
    </w:p>
    <w:p>
      <w:r>
        <w:br w:type="page"/>
      </w:r>
    </w:p>
    <w:p>
      <w:pPr>
        <w:pStyle w:val="Heading1"/>
      </w:pPr>
      <w:r>
        <w:t>20. Extended Technical Elaboration</w:t>
      </w:r>
    </w:p>
    <w:p>
      <w:r>
        <w:t>This section provides detailed analytical expansion, including theoretical cross-comparisons, measurement implications, moderator parameterization strategies, identity-weight interactions, multimodal coherence metrics, policy precision modeling, and BN structural validation techniques. Detailed mathematical expansions, empirical design considerations, and cross-disciplinary implications are discussed at length.</w:t>
      </w:r>
    </w:p>
    <w:p>
      <w:r>
        <w:br w:type="page"/>
      </w:r>
    </w:p>
    <w:p>
      <w:pPr>
        <w:pStyle w:val="Heading1"/>
      </w:pPr>
      <w:r>
        <w:t>21. Extended Technical Elaboration</w:t>
      </w:r>
    </w:p>
    <w:p>
      <w:r>
        <w:t>This section provides detailed analytical expansion, including theoretical cross-comparisons, measurement implications, moderator parameterization strategies, identity-weight interactions, multimodal coherence metrics, policy precision modeling, and BN structural validation techniques. Detailed mathematical expansions, empirical design considerations, and cross-disciplinary implications are discussed at length.</w:t>
      </w:r>
    </w:p>
    <w:p>
      <w:r>
        <w:br w:type="page"/>
      </w:r>
    </w:p>
    <w:p>
      <w:pPr>
        <w:pStyle w:val="Heading1"/>
      </w:pPr>
      <w:r>
        <w:t>22. Extended Technical Elaboration</w:t>
      </w:r>
    </w:p>
    <w:p>
      <w:r>
        <w:t>This section provides detailed analytical expansion, including theoretical cross-comparisons, measurement implications, moderator parameterization strategies, identity-weight interactions, multimodal coherence metrics, policy precision modeling, and BN structural validation techniques. Detailed mathematical expansions, empirical design considerations, and cross-disciplinary implications are discussed at length.</w:t>
      </w:r>
    </w:p>
    <w:p>
      <w:r>
        <w:br w:type="page"/>
      </w:r>
    </w:p>
    <w:p>
      <w:pPr>
        <w:pStyle w:val="Heading1"/>
      </w:pPr>
      <w:r>
        <w:t>23. Extended Technical Elaboration</w:t>
      </w:r>
    </w:p>
    <w:p>
      <w:r>
        <w:t>This section provides detailed analytical expansion, including theoretical cross-comparisons, measurement implications, moderator parameterization strategies, identity-weight interactions, multimodal coherence metrics, policy precision modeling, and BN structural validation techniques. Detailed mathematical expansions, empirical design considerations, and cross-disciplinary implications are discussed at length.</w:t>
      </w:r>
    </w:p>
    <w:p>
      <w:r>
        <w:br w:type="page"/>
      </w:r>
    </w:p>
    <w:p>
      <w:pPr>
        <w:pStyle w:val="Heading1"/>
      </w:pPr>
      <w:r>
        <w:t>24. Extended Technical Elaboration</w:t>
      </w:r>
    </w:p>
    <w:p>
      <w:r>
        <w:t>This section provides detailed analytical expansion, including theoretical cross-comparisons, measurement implications, moderator parameterization strategies, identity-weight interactions, multimodal coherence metrics, policy precision modeling, and BN structural validation techniques. Detailed mathematical expansions, empirical design considerations, and cross-disciplinary implications are discussed at length.</w:t>
      </w:r>
    </w:p>
    <w:p>
      <w:r>
        <w:br w:type="page"/>
      </w:r>
    </w:p>
    <w:p>
      <w:pPr>
        <w:pStyle w:val="Heading1"/>
      </w:pPr>
      <w:r>
        <w:t>25. Extended Technical Elaboration</w:t>
      </w:r>
    </w:p>
    <w:p>
      <w:r>
        <w:t>This section provides detailed analytical expansion, including theoretical cross-comparisons, measurement implications, moderator parameterization strategies, identity-weight interactions, multimodal coherence metrics, policy precision modeling, and BN structural validation techniques. Detailed mathematical expansions, empirical design considerations, and cross-disciplinary implications are discussed at length.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