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Constraint–Valuation Architecture (CVA)</w:t>
      </w:r>
    </w:p>
    <w:p>
      <w:r>
        <w:t>A Multimodal Computational Framework for Affective Judgment in Built Environments</w:t>
      </w:r>
    </w:p>
    <w:p>
      <w:r>
        <w:t>Full Technical White Paper for Interdisciplinary Expert Panel Review</w:t>
      </w:r>
    </w:p>
    <w:p>
      <w:r>
        <w:br w:type="page"/>
      </w:r>
    </w:p>
    <w:p>
      <w:pPr>
        <w:pStyle w:val="Heading1"/>
      </w:pPr>
      <w:r>
        <w:t>1. Introduction</w:t>
      </w:r>
    </w:p>
    <w:p>
      <w:r>
        <w:t>This white paper proposes a structural reorganization of affective modeling in architectural environments. We introduce a Constraint–Valuation Architecture (CVA) that separates (1) constrained multimodal inference, (2) goal-relative valuation, and (3) policy selection. The objective is to increase causal clarity, improve hierarchical Bayesian modeling integrity, and provide an empirically testable framework for understanding aesthetic and affective judgment.</w:t>
      </w:r>
    </w:p>
    <w:p>
      <w:r>
        <w:t>Unlike traditional aesthetic models that treat 'beauty' or 'preference' as primary outcomes directly influenced by environmental features, CVA decomposes these judgments into inferential constraint variables and valuation mappings. This separation allows identity, activity, culture, and motivational state to enter formally as moderators.</w:t>
      </w:r>
    </w:p>
    <w:p>
      <w:r>
        <w:br w:type="page"/>
      </w:r>
    </w:p>
    <w:p>
      <w:pPr>
        <w:pStyle w:val="Heading1"/>
      </w:pPr>
      <w:r>
        <w:t>2. Theoretical Foundations</w:t>
      </w:r>
    </w:p>
    <w:p>
      <w:r>
        <w:t>CVA integrates three established traditions in affect and cognition:</w:t>
      </w:r>
    </w:p>
    <w:p>
      <w:r>
        <w:t>Appraisal Theory (Scherer, 2001, 2009): emotions emerge from structured evaluation checks assessing goal relevance, coping potential, and normative significance.</w:t>
      </w:r>
    </w:p>
    <w:p>
      <w:r>
        <w:t>Core Affect and Constructionism (Russell, 2003; Barrett, 2017): valence and arousal form low-dimensional affective states constructed from distributed signals.</w:t>
      </w:r>
    </w:p>
    <w:p>
      <w:r>
        <w:t>Active Inference and Predictive Processing (Friston, 2010; Seth &amp; Friston, 2016): perception and action are generative inference processes under uncertainty; valuation modulates policy precision.</w:t>
      </w:r>
    </w:p>
    <w:p>
      <w:r>
        <w:t>In environmental psychology, related frameworks include Kaplan &amp; Kaplan’s (1989) restorative model, Ulrich’s (1984) stress recovery theory, Berlyne’s (1971) arousal theory of aesthetic preference, and Leder et al.’s (2004) model of aesthetic processing.</w:t>
      </w:r>
    </w:p>
    <w:p>
      <w:r>
        <w:br w:type="page"/>
      </w:r>
    </w:p>
    <w:p>
      <w:pPr>
        <w:pStyle w:val="Heading1"/>
      </w:pPr>
      <w:r>
        <w:t>3. Formal Architecture</w:t>
      </w:r>
    </w:p>
    <w:p>
      <w:r>
        <w:t>Let x ∈ ℝⁿ denote measurable multimodal environmental features.</w:t>
      </w:r>
    </w:p>
    <w:p>
      <w:r>
        <w:t>Constraint inference: c = f(x; θ_infer)</w:t>
      </w:r>
    </w:p>
    <w:p>
      <w:r>
        <w:t>Valuation: v_i = V_i(c; g, τ, κ)</w:t>
      </w:r>
    </w:p>
    <w:p>
      <w:r>
        <w:t>Policy: b = π(v, c; precision)</w:t>
      </w:r>
    </w:p>
    <w:p>
      <w:r>
        <w:t>Beauty compression hypothesis: B = L(v)</w:t>
      </w:r>
    </w:p>
    <w:p>
      <w:r>
        <w:t>Constraint variables (c) are descriptive and include ProcessingCost, LoadRate, PredictionError, ControlEfficacy, AffordanceDensity, SocialCueDensity, MultisensoryCoherence, and NarrativeCoherence.</w:t>
      </w:r>
    </w:p>
    <w:p>
      <w:r>
        <w:t>Valuation variables (v) include SafetyValue, InterestValue, RestorationValue, StatusValue, BelongingValue, IdentityCongruenceValue, AutonomySupportValue, CompetenceSupportValue, and RelatednessSupportValue.</w:t>
      </w:r>
    </w:p>
    <w:p>
      <w:r>
        <w:br w:type="page"/>
      </w:r>
    </w:p>
    <w:p>
      <w:pPr>
        <w:pStyle w:val="Heading1"/>
      </w:pPr>
      <w:r>
        <w:t>4. Fully Worked ATLAS Examples</w:t>
      </w:r>
    </w:p>
    <w:p>
      <w:pPr>
        <w:pStyle w:val="Heading2"/>
      </w:pPr>
      <w:r>
        <w:t>Example 1: VIEW1 – Nature View Convergence</w:t>
      </w:r>
    </w:p>
    <w:p>
      <w:r>
        <w:t>Traditional model: NatureView → Preference. CVA model: NatureView alters LoadRate, SoftFascinationProxy, and ControlEfficacy. These constraint shifts increase RestorationValue and SafetyValue, which in turn increase preference probability.</w:t>
      </w:r>
    </w:p>
    <w:p>
      <w:pPr>
        <w:pStyle w:val="Heading2"/>
      </w:pPr>
      <w:r>
        <w:t>Example 2: Ceiling Height and Abstract Thinking</w:t>
      </w:r>
    </w:p>
    <w:p>
      <w:r>
        <w:t>Vartanian et al. (2013) show ceiling height affects aesthetic judgment. In CVA, ceiling height influences SpatialScaleVariance and FreedomAffordance (constraint variables), which increase AutonomySupportValue and InterestValue under exploration goals.</w:t>
      </w:r>
    </w:p>
    <w:p>
      <w:pPr>
        <w:pStyle w:val="Heading2"/>
      </w:pPr>
      <w:r>
        <w:t>Example 3: Prospect–Refuge</w:t>
      </w:r>
    </w:p>
    <w:p>
      <w:r>
        <w:t>Visibility graph metrics (Dosen &amp; Ostwald, 2013) quantify prospect–refuge structure. These map to ControlEfficacy and OcclusionDensity constraints. SafetyValue increases when high prospect combines with moderate refuge.</w:t>
      </w:r>
    </w:p>
    <w:p>
      <w:pPr>
        <w:pStyle w:val="Heading2"/>
      </w:pPr>
      <w:r>
        <w:t>Example 4: Curvature Preference</w:t>
      </w:r>
    </w:p>
    <w:p>
      <w:r>
        <w:t>Vartanian et al. (2013) show curved forms preferred over angular. Curvature reduces ProcessingCost and ThreatSignal; valuation effect depends on context.</w:t>
      </w:r>
    </w:p>
    <w:p>
      <w:r>
        <w:br w:type="page"/>
      </w:r>
    </w:p>
    <w:p>
      <w:pPr>
        <w:pStyle w:val="Heading1"/>
      </w:pPr>
      <w:r>
        <w:t>5. Template Classification (20 Examples)</w:t>
      </w:r>
    </w:p>
    <w:tbl>
      <w:tblPr>
        <w:tblW w:type="auto" w:w="0"/>
        <w:tblLook w:firstColumn="1" w:firstRow="1" w:lastColumn="0" w:lastRow="0" w:noHBand="0" w:noVBand="1" w:val="04A0"/>
      </w:tblPr>
      <w:tblGrid>
        <w:gridCol w:w="2880"/>
        <w:gridCol w:w="2880"/>
        <w:gridCol w:w="2880"/>
      </w:tblGrid>
      <w:tr>
        <w:tc>
          <w:tcPr>
            <w:tcW w:type="dxa" w:w="2880"/>
          </w:tcPr>
          <w:p>
            <w:r>
              <w:t>Template</w:t>
            </w:r>
          </w:p>
        </w:tc>
        <w:tc>
          <w:tcPr>
            <w:tcW w:type="dxa" w:w="2880"/>
          </w:tcPr>
          <w:p>
            <w:r>
              <w:t>Constraint Layer</w:t>
            </w:r>
          </w:p>
        </w:tc>
        <w:tc>
          <w:tcPr>
            <w:tcW w:type="dxa" w:w="2880"/>
          </w:tcPr>
          <w:p>
            <w:r>
              <w:t>Valuation Layer</w:t>
            </w:r>
          </w:p>
        </w:tc>
      </w:tr>
      <w:tr>
        <w:tc>
          <w:tcPr>
            <w:tcW w:type="dxa" w:w="2880"/>
          </w:tcPr>
          <w:p>
            <w:r>
              <w:t>Clutter</w:t>
            </w:r>
          </w:p>
        </w:tc>
        <w:tc>
          <w:tcPr>
            <w:tcW w:type="dxa" w:w="2880"/>
          </w:tcPr>
          <w:p>
            <w:r>
              <w:t>LoadRate</w:t>
            </w:r>
          </w:p>
        </w:tc>
        <w:tc>
          <w:tcPr>
            <w:tcW w:type="dxa" w:w="2880"/>
          </w:tcPr>
          <w:p>
            <w:r>
              <w:t>SafetyValue</w:t>
            </w:r>
          </w:p>
        </w:tc>
      </w:tr>
      <w:tr>
        <w:tc>
          <w:tcPr>
            <w:tcW w:type="dxa" w:w="2880"/>
          </w:tcPr>
          <w:p>
            <w:r>
              <w:t>Fractals</w:t>
            </w:r>
          </w:p>
        </w:tc>
        <w:tc>
          <w:tcPr>
            <w:tcW w:type="dxa" w:w="2880"/>
          </w:tcPr>
          <w:p>
            <w:r>
              <w:t>PredictionError Variance</w:t>
            </w:r>
          </w:p>
        </w:tc>
        <w:tc>
          <w:tcPr>
            <w:tcW w:type="dxa" w:w="2880"/>
          </w:tcPr>
          <w:p>
            <w:r>
              <w:t>InterestValue</w:t>
            </w:r>
          </w:p>
        </w:tc>
      </w:tr>
      <w:tr>
        <w:tc>
          <w:tcPr>
            <w:tcW w:type="dxa" w:w="2880"/>
          </w:tcPr>
          <w:p>
            <w:r>
              <w:t>Lighting Warmth</w:t>
            </w:r>
          </w:p>
        </w:tc>
        <w:tc>
          <w:tcPr>
            <w:tcW w:type="dxa" w:w="2880"/>
          </w:tcPr>
          <w:p>
            <w:r>
              <w:t>Spectral Profile</w:t>
            </w:r>
          </w:p>
        </w:tc>
        <w:tc>
          <w:tcPr>
            <w:tcW w:type="dxa" w:w="2880"/>
          </w:tcPr>
          <w:p>
            <w:r>
              <w:t>ComfortValue</w:t>
            </w:r>
          </w:p>
        </w:tc>
      </w:tr>
      <w:tr>
        <w:tc>
          <w:tcPr>
            <w:tcW w:type="dxa" w:w="2880"/>
          </w:tcPr>
          <w:p>
            <w:r>
              <w:t>Noise Level</w:t>
            </w:r>
          </w:p>
        </w:tc>
        <w:tc>
          <w:tcPr>
            <w:tcW w:type="dxa" w:w="2880"/>
          </w:tcPr>
          <w:p>
            <w:r>
              <w:t>Acoustic Variance</w:t>
            </w:r>
          </w:p>
        </w:tc>
        <w:tc>
          <w:tcPr>
            <w:tcW w:type="dxa" w:w="2880"/>
          </w:tcPr>
          <w:p>
            <w:r>
              <w:t>ThreatValue</w:t>
            </w:r>
          </w:p>
        </w:tc>
      </w:tr>
      <w:tr>
        <w:tc>
          <w:tcPr>
            <w:tcW w:type="dxa" w:w="2880"/>
          </w:tcPr>
          <w:p>
            <w:r>
              <w:t>Wayfinding</w:t>
            </w:r>
          </w:p>
        </w:tc>
        <w:tc>
          <w:tcPr>
            <w:tcW w:type="dxa" w:w="2880"/>
          </w:tcPr>
          <w:p>
            <w:r>
              <w:t>Legibility</w:t>
            </w:r>
          </w:p>
        </w:tc>
        <w:tc>
          <w:tcPr>
            <w:tcW w:type="dxa" w:w="2880"/>
          </w:tcPr>
          <w:p>
            <w:r>
              <w:t>CompetenceSupportValue</w:t>
            </w:r>
          </w:p>
        </w:tc>
      </w:tr>
      <w:tr>
        <w:tc>
          <w:tcPr>
            <w:tcW w:type="dxa" w:w="2880"/>
          </w:tcPr>
          <w:p>
            <w:r>
              <w:t>Monumentality</w:t>
            </w:r>
          </w:p>
        </w:tc>
        <w:tc>
          <w:tcPr>
            <w:tcW w:type="dxa" w:w="2880"/>
          </w:tcPr>
          <w:p>
            <w:r>
              <w:t>VerticalityGradient</w:t>
            </w:r>
          </w:p>
        </w:tc>
        <w:tc>
          <w:tcPr>
            <w:tcW w:type="dxa" w:w="2880"/>
          </w:tcPr>
          <w:p>
            <w:r>
              <w:t>StatusValue</w:t>
            </w:r>
          </w:p>
        </w:tc>
      </w:tr>
      <w:tr>
        <w:tc>
          <w:tcPr>
            <w:tcW w:type="dxa" w:w="2880"/>
          </w:tcPr>
          <w:p>
            <w:r>
              <w:t>Crowding</w:t>
            </w:r>
          </w:p>
        </w:tc>
        <w:tc>
          <w:tcPr>
            <w:tcW w:type="dxa" w:w="2880"/>
          </w:tcPr>
          <w:p>
            <w:r>
              <w:t>SocialCueDensity</w:t>
            </w:r>
          </w:p>
        </w:tc>
        <w:tc>
          <w:tcPr>
            <w:tcW w:type="dxa" w:w="2880"/>
          </w:tcPr>
          <w:p>
            <w:r>
              <w:t>BelongingValue</w:t>
            </w:r>
          </w:p>
        </w:tc>
      </w:tr>
      <w:tr>
        <w:tc>
          <w:tcPr>
            <w:tcW w:type="dxa" w:w="2880"/>
          </w:tcPr>
          <w:p>
            <w:r>
              <w:t>Prospect</w:t>
            </w:r>
          </w:p>
        </w:tc>
        <w:tc>
          <w:tcPr>
            <w:tcW w:type="dxa" w:w="2880"/>
          </w:tcPr>
          <w:p>
            <w:r>
              <w:t>VisibilityGraph</w:t>
            </w:r>
          </w:p>
        </w:tc>
        <w:tc>
          <w:tcPr>
            <w:tcW w:type="dxa" w:w="2880"/>
          </w:tcPr>
          <w:p>
            <w:r>
              <w:t>SafetyValue</w:t>
            </w:r>
          </w:p>
        </w:tc>
      </w:tr>
      <w:tr>
        <w:tc>
          <w:tcPr>
            <w:tcW w:type="dxa" w:w="2880"/>
          </w:tcPr>
          <w:p>
            <w:r>
              <w:t>Refuge</w:t>
            </w:r>
          </w:p>
        </w:tc>
        <w:tc>
          <w:tcPr>
            <w:tcW w:type="dxa" w:w="2880"/>
          </w:tcPr>
          <w:p>
            <w:r>
              <w:t>OcclusionDensity</w:t>
            </w:r>
          </w:p>
        </w:tc>
        <w:tc>
          <w:tcPr>
            <w:tcW w:type="dxa" w:w="2880"/>
          </w:tcPr>
          <w:p>
            <w:r>
              <w:t>SecurityValue</w:t>
            </w:r>
          </w:p>
        </w:tc>
      </w:tr>
      <w:tr>
        <w:tc>
          <w:tcPr>
            <w:tcW w:type="dxa" w:w="2880"/>
          </w:tcPr>
          <w:p>
            <w:r>
              <w:t>Ceiling Height</w:t>
            </w:r>
          </w:p>
        </w:tc>
        <w:tc>
          <w:tcPr>
            <w:tcW w:type="dxa" w:w="2880"/>
          </w:tcPr>
          <w:p>
            <w:r>
              <w:t>SpatialScaleVariance</w:t>
            </w:r>
          </w:p>
        </w:tc>
        <w:tc>
          <w:tcPr>
            <w:tcW w:type="dxa" w:w="2880"/>
          </w:tcPr>
          <w:p>
            <w:r>
              <w:t>AutonomyValue</w:t>
            </w:r>
          </w:p>
        </w:tc>
      </w:tr>
      <w:tr>
        <w:tc>
          <w:tcPr>
            <w:tcW w:type="dxa" w:w="2880"/>
          </w:tcPr>
          <w:p>
            <w:r>
              <w:t>Symmetry</w:t>
            </w:r>
          </w:p>
        </w:tc>
        <w:tc>
          <w:tcPr>
            <w:tcW w:type="dxa" w:w="2880"/>
          </w:tcPr>
          <w:p>
            <w:r>
              <w:t>ProcessingCost</w:t>
            </w:r>
          </w:p>
        </w:tc>
        <w:tc>
          <w:tcPr>
            <w:tcW w:type="dxa" w:w="2880"/>
          </w:tcPr>
          <w:p>
            <w:r>
              <w:t>InterestValue</w:t>
            </w:r>
          </w:p>
        </w:tc>
      </w:tr>
      <w:tr>
        <w:tc>
          <w:tcPr>
            <w:tcW w:type="dxa" w:w="2880"/>
          </w:tcPr>
          <w:p>
            <w:r>
              <w:t>Orderliness</w:t>
            </w:r>
          </w:p>
        </w:tc>
        <w:tc>
          <w:tcPr>
            <w:tcW w:type="dxa" w:w="2880"/>
          </w:tcPr>
          <w:p>
            <w:r>
              <w:t>Entropy</w:t>
            </w:r>
          </w:p>
        </w:tc>
        <w:tc>
          <w:tcPr>
            <w:tcW w:type="dxa" w:w="2880"/>
          </w:tcPr>
          <w:p>
            <w:r>
              <w:t>CompetenceValue</w:t>
            </w:r>
          </w:p>
        </w:tc>
      </w:tr>
      <w:tr>
        <w:tc>
          <w:tcPr>
            <w:tcW w:type="dxa" w:w="2880"/>
          </w:tcPr>
          <w:p>
            <w:r>
              <w:t>Biophilia</w:t>
            </w:r>
          </w:p>
        </w:tc>
        <w:tc>
          <w:tcPr>
            <w:tcW w:type="dxa" w:w="2880"/>
          </w:tcPr>
          <w:p>
            <w:r>
              <w:t>MultisensoryCoherence</w:t>
            </w:r>
          </w:p>
        </w:tc>
        <w:tc>
          <w:tcPr>
            <w:tcW w:type="dxa" w:w="2880"/>
          </w:tcPr>
          <w:p>
            <w:r>
              <w:t>RestorationValue</w:t>
            </w:r>
          </w:p>
        </w:tc>
      </w:tr>
      <w:tr>
        <w:tc>
          <w:tcPr>
            <w:tcW w:type="dxa" w:w="2880"/>
          </w:tcPr>
          <w:p>
            <w:r>
              <w:t>Sacred Symbols</w:t>
            </w:r>
          </w:p>
        </w:tc>
        <w:tc>
          <w:tcPr>
            <w:tcW w:type="dxa" w:w="2880"/>
          </w:tcPr>
          <w:p>
            <w:r>
              <w:t>SymbolDensity</w:t>
            </w:r>
          </w:p>
        </w:tc>
        <w:tc>
          <w:tcPr>
            <w:tcW w:type="dxa" w:w="2880"/>
          </w:tcPr>
          <w:p>
            <w:r>
              <w:t>MoralElevationValue</w:t>
            </w:r>
          </w:p>
        </w:tc>
      </w:tr>
      <w:tr>
        <w:tc>
          <w:tcPr>
            <w:tcW w:type="dxa" w:w="2880"/>
          </w:tcPr>
          <w:p>
            <w:r>
              <w:t>Material Authenticity</w:t>
            </w:r>
          </w:p>
        </w:tc>
        <w:tc>
          <w:tcPr>
            <w:tcW w:type="dxa" w:w="2880"/>
          </w:tcPr>
          <w:p>
            <w:r>
              <w:t>TextureVariance</w:t>
            </w:r>
          </w:p>
        </w:tc>
        <w:tc>
          <w:tcPr>
            <w:tcW w:type="dxa" w:w="2880"/>
          </w:tcPr>
          <w:p>
            <w:r>
              <w:t>AuthenticityValue</w:t>
            </w:r>
          </w:p>
        </w:tc>
      </w:tr>
      <w:tr>
        <w:tc>
          <w:tcPr>
            <w:tcW w:type="dxa" w:w="2880"/>
          </w:tcPr>
          <w:p>
            <w:r>
              <w:t>Color Saturation</w:t>
            </w:r>
          </w:p>
        </w:tc>
        <w:tc>
          <w:tcPr>
            <w:tcW w:type="dxa" w:w="2880"/>
          </w:tcPr>
          <w:p>
            <w:r>
              <w:t>SpectralIntensity</w:t>
            </w:r>
          </w:p>
        </w:tc>
        <w:tc>
          <w:tcPr>
            <w:tcW w:type="dxa" w:w="2880"/>
          </w:tcPr>
          <w:p>
            <w:r>
              <w:t>ArousalValue</w:t>
            </w:r>
          </w:p>
        </w:tc>
      </w:tr>
      <w:tr>
        <w:tc>
          <w:tcPr>
            <w:tcW w:type="dxa" w:w="2880"/>
          </w:tcPr>
          <w:p>
            <w:r>
              <w:t>Transparency</w:t>
            </w:r>
          </w:p>
        </w:tc>
        <w:tc>
          <w:tcPr>
            <w:tcW w:type="dxa" w:w="2880"/>
          </w:tcPr>
          <w:p>
            <w:r>
              <w:t>BoundaryClarity</w:t>
            </w:r>
          </w:p>
        </w:tc>
        <w:tc>
          <w:tcPr>
            <w:tcW w:type="dxa" w:w="2880"/>
          </w:tcPr>
          <w:p>
            <w:r>
              <w:t>TrustValue</w:t>
            </w:r>
          </w:p>
        </w:tc>
      </w:tr>
      <w:tr>
        <w:tc>
          <w:tcPr>
            <w:tcW w:type="dxa" w:w="2880"/>
          </w:tcPr>
          <w:p>
            <w:r>
              <w:t>Open Plan</w:t>
            </w:r>
          </w:p>
        </w:tc>
        <w:tc>
          <w:tcPr>
            <w:tcW w:type="dxa" w:w="2880"/>
          </w:tcPr>
          <w:p>
            <w:r>
              <w:t>AffordanceDensity</w:t>
            </w:r>
          </w:p>
        </w:tc>
        <w:tc>
          <w:tcPr>
            <w:tcW w:type="dxa" w:w="2880"/>
          </w:tcPr>
          <w:p>
            <w:r>
              <w:t>ExplorationValue</w:t>
            </w:r>
          </w:p>
        </w:tc>
      </w:tr>
      <w:tr>
        <w:tc>
          <w:tcPr>
            <w:tcW w:type="dxa" w:w="2880"/>
          </w:tcPr>
          <w:p>
            <w:r>
              <w:t>Enclosure</w:t>
            </w:r>
          </w:p>
        </w:tc>
        <w:tc>
          <w:tcPr>
            <w:tcW w:type="dxa" w:w="2880"/>
          </w:tcPr>
          <w:p>
            <w:r>
              <w:t>PerimeterContinuity</w:t>
            </w:r>
          </w:p>
        </w:tc>
        <w:tc>
          <w:tcPr>
            <w:tcW w:type="dxa" w:w="2880"/>
          </w:tcPr>
          <w:p>
            <w:r>
              <w:t>SecurityValue</w:t>
            </w:r>
          </w:p>
        </w:tc>
      </w:tr>
      <w:tr>
        <w:tc>
          <w:tcPr>
            <w:tcW w:type="dxa" w:w="2880"/>
          </w:tcPr>
          <w:p>
            <w:r>
              <w:t>Personalization</w:t>
            </w:r>
          </w:p>
        </w:tc>
        <w:tc>
          <w:tcPr>
            <w:tcW w:type="dxa" w:w="2880"/>
          </w:tcPr>
          <w:p>
            <w:r>
              <w:t>IdentityCueDensity</w:t>
            </w:r>
          </w:p>
        </w:tc>
        <w:tc>
          <w:tcPr>
            <w:tcW w:type="dxa" w:w="2880"/>
          </w:tcPr>
          <w:p>
            <w:r>
              <w:t>IdentityCongruenceValue</w:t>
            </w:r>
          </w:p>
        </w:tc>
      </w:tr>
    </w:tbl>
    <w:p>
      <w:r>
        <w:br w:type="page"/>
      </w:r>
    </w:p>
    <w:p>
      <w:pPr>
        <w:pStyle w:val="Heading1"/>
      </w:pPr>
      <w:r>
        <w:t>6. Formal Beauty Compression Testing Framework</w:t>
      </w:r>
    </w:p>
    <w:p>
      <w:r>
        <w:t>Linear Model: B = β₀ + Σ βᵢ vᵢ</w:t>
      </w:r>
    </w:p>
    <w:p>
      <w:r>
        <w:t>Logistic Comparative Model: P(A preferred) = 1 / (1 + exp(−(v_A − v_B)))</w:t>
      </w:r>
    </w:p>
    <w:p>
      <w:r>
        <w:t>Neural Mapping Model: B = NN(v; θ)</w:t>
      </w:r>
    </w:p>
    <w:p>
      <w:r>
        <w:t>Empirical test: regress beauty ratings on valuation vector across contexts. High predictive R² would support eliminability; residual variance suggests missing axes.</w:t>
      </w:r>
    </w:p>
    <w:p>
      <w:r>
        <w:br w:type="page"/>
      </w:r>
    </w:p>
    <w:p>
      <w:pPr>
        <w:pStyle w:val="Heading1"/>
      </w:pPr>
      <w:r>
        <w:t>7. Integration with Projection Calculus</w:t>
      </w:r>
    </w:p>
    <w:p>
      <w:r>
        <w:t>Original: logit(p_target) = d · ω · δ · logit(p_lab)</w:t>
      </w:r>
    </w:p>
    <w:p>
      <w:r>
        <w:t>In CVA, projection occurs at two levels: (1) feature projection: x_target → c_target; (2) valuation projection: v_target → p_target.</w:t>
      </w:r>
    </w:p>
    <w:p>
      <w:r>
        <w:t>Thus, lab-calibrated valuation weights apply to projected constraint vectors.</w:t>
      </w:r>
    </w:p>
    <w:p>
      <w:r>
        <w:br w:type="page"/>
      </w:r>
    </w:p>
    <w:p>
      <w:pPr>
        <w:pStyle w:val="Heading1"/>
      </w:pPr>
      <w:r>
        <w:t>8. Selected Empirical References</w:t>
      </w:r>
    </w:p>
    <w:p>
      <w:r>
        <w:br/>
        <w:t>Barrett, L. F. (2017). How emotions are made.</w:t>
        <w:br/>
        <w:t>Berlyne, D. E. (1971). Aesthetics and psychobiology.</w:t>
        <w:br/>
        <w:t>Dosen, A., &amp; Ostwald, M. J. (2013). Evidence for prospect-refuge theory.</w:t>
        <w:br/>
        <w:t>Friston, K. (2010). The free-energy principle.</w:t>
        <w:br/>
        <w:t>Graf, L. K., &amp; Landwehr, J. R. (2015). A dual-process perspective on fluency.</w:t>
        <w:br/>
        <w:t>Hartig, T., et al. (1997). Environmental influences on psychological restoration.</w:t>
        <w:br/>
        <w:t>Kaplan, R., &amp; Kaplan, S. (1989). The experience of nature.</w:t>
        <w:br/>
        <w:t>Leder, H., et al. (2004). A model of aesthetic appreciation.</w:t>
        <w:br/>
        <w:t>Oyserman, D. (2015). Identity-based motivation.</w:t>
        <w:br/>
        <w:t>Reber, R., et al. (2004). Processing fluency and aesthetic pleasure.</w:t>
        <w:br/>
        <w:t>Russell, J. A. (2003). Core affect.</w:t>
        <w:br/>
        <w:t>Ryan, R. M., &amp; Deci, E. L. (2000). Self-determination theory.</w:t>
        <w:br/>
        <w:t>Scherer, K. R. (2001, 2009). Appraisal theory.</w:t>
        <w:br/>
        <w:t>Seth, A. K., &amp; Friston, K. J. (2016). Active interoceptive inference.</w:t>
        <w:br/>
        <w:t>Ulrich, R. S. (1984). View through a window may influence recovery.</w:t>
        <w:br/>
        <w:t>Vartanian, O., et al. (2013). Impact of ceiling height and enclosure.</w:t>
        <w:br/>
      </w:r>
    </w:p>
    <w:p>
      <w:r>
        <w:br w:type="page"/>
      </w:r>
    </w:p>
    <w:p>
      <w:pPr>
        <w:pStyle w:val="Heading1"/>
      </w:pPr>
      <w:r>
        <w:t>9. Conclusion</w:t>
      </w:r>
    </w:p>
    <w:p>
      <w:r>
        <w:t>The Constraint–Valuation Architecture provides a formally explicit, multimodal, and empirically testable framework for modeling affective judgment in built environments. It clarifies causal pathways, integrates identity and activity moderation, and embeds beauty within a valuation compression hypothesis.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