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Constraint–Valuation Architecture in Built-Environment Affective Judgment</w:t>
      </w:r>
    </w:p>
    <w:p>
      <w:pPr>
        <w:jc w:val="center"/>
      </w:pPr>
      <w:r>
        <w:t>Three Hard Problems, Success Criteria, and Implementable Solutions with Worked “Before/After” Examples</w:t>
      </w:r>
    </w:p>
    <w:p>
      <w:pPr>
        <w:pStyle w:val="Heading1"/>
      </w:pPr>
      <w:r>
        <w:t>Abstract</w:t>
      </w:r>
    </w:p>
    <w:p>
      <w:r>
        <w:t>We present a mechanistic framework—Constraint–Valuation Architecture (CVA)—for modeling affective judgments of architectural and built environments. CVA separates (i) constrained multimodal inference of descriptive “constraint” variables (e.g., load, control efficacy, prediction error) from (ii) goal-relative valuation (e.g., safety, restoration, belonging), and (iii) policy/readout selection (approach, dwell, verbal report). In practice, CVA must answer three hard questions to become implementable and defensible: (1) whether activity context (ActivityFrame) acts primarily through precision modulation or through a change in valuation space; (2) whether constraints can be treated as “pre-valuation” computations given top-down effects; and (3) what mechanisms implement valuation→perception feedback (attention vs precision vs priors). For each question we (a) pose the problem, (b) state explicit success conditions, (c) provide an answer, (d) justify it step-by-step, and (e) give deep “before/after” worked examples showing how the proposal resolves unresolved ambiguities in prior formulations. We conclude with a consolidated implementable specification and an appendix with formal dynamical/Bayesian details.</w:t>
      </w:r>
    </w:p>
    <w:p>
      <w:pPr>
        <w:pStyle w:val="Heading1"/>
      </w:pPr>
      <w:r>
        <w:t>1. Introduction: Why These Questions Matter</w:t>
      </w:r>
    </w:p>
    <w:p>
      <w:r>
        <w:t>Architectural affect research (and many applied “aesthetic” models) frequently treats environmental features as if they directly “carry” valence—e.g., “nature view increases preference,” “curvature increases liking,” “clutter decreases comfort.” But the empirical landscape is conditional: the same feature can produce opposite judgments depending on goals (studying vs socializing), identity (insider vs outsider), fatigue, or cultural schema.</w:t>
      </w:r>
    </w:p>
    <w:p>
      <w:r>
        <w:t>CVA is an attempt to make that conditionality principled. It claims: (1) constraints are descriptive latent variables inferred from multimodal inputs; (2) valuation maps constraints into goal-relative value axes; and (3) policy/readout maps valuations into approach/avoid/dwell and “beauty/preference” reports. The present paper focuses on three hard questions that determine whether CVA can be implemented and defended in a rigorous interdisciplinary panel setting.</w:t>
      </w:r>
    </w:p>
    <w:p>
      <w:pPr>
        <w:pStyle w:val="Heading1"/>
      </w:pPr>
      <w:r>
        <w:t>2. Background: CVA in Relation to Appraisal, Construction, and Active Inference</w:t>
      </w:r>
    </w:p>
    <w:p>
      <w:r>
        <w:t>CVA is compatible with three established traditions: appraisal/component-process approaches (Scherer), core affect and constructionist accounts (Russell; Barrett), and active inference/predictive processing (Friston; Seth &amp; Friston). The paper adopts a pragmatic stance: rather than adjudicating between traditions wholesale, it identifies the modeling commitments needed to build a falsifiable computational architecture for architectural affect.</w:t>
      </w:r>
    </w:p>
    <w:p>
      <w:pPr>
        <w:pStyle w:val="Heading1"/>
      </w:pPr>
      <w:r>
        <w:t>3. CVA Core Specification</w:t>
      </w:r>
    </w:p>
    <w:p>
      <w:r>
        <w:t>Let x be measurable multimodal features; c constraint variables; v valuation variables; b policy/behavior; and B beauty/preference report. A minimal CVA specifies: c ~ p(c|x,A), v ~ p(v|c,A,τ,κ), and b,B ~ p(b,B|v,c), where A is ActivityFrame, τ traits, and κ cultural/identity priors.</w:t>
      </w:r>
    </w:p>
    <w:p>
      <w:pPr>
        <w:pStyle w:val="Heading1"/>
      </w:pPr>
      <w:r>
        <w:t>4. Hard Problem 1 (Q1): Is ActivityFrame Precision Modulation or Valuation-Space Change?</w:t>
      </w:r>
    </w:p>
    <w:p>
      <w:pPr>
        <w:pStyle w:val="Heading2"/>
      </w:pPr>
      <w:r>
        <w:t>4.1 Problem statement</w:t>
      </w:r>
    </w:p>
    <w:p>
      <w:r>
        <w:t>ActivityFrame (e.g., studying, resting, negotiating, worshipping) changes what people judge as “good,” “beautiful,” or “appropriate.” The modeling question is whether A primarily reweights existing channels (precision/gain modulation) or changes the valuation space itself (new axes appear; old ones collapse; basis changes).</w:t>
      </w:r>
    </w:p>
    <w:p>
      <w:pPr>
        <w:pStyle w:val="Heading2"/>
      </w:pPr>
      <w:r>
        <w:t>4.2 Success conditions</w:t>
      </w:r>
    </w:p>
    <w:p>
      <w:r>
        <w:t>A satisfactory answer must define the alternatives formally, provide discriminating predictions, offer an implementable CVA revision that preserves stability while admitting context-specific valuations, and demonstrate improvement with before/after examples.</w:t>
      </w:r>
    </w:p>
    <w:p>
      <w:pPr>
        <w:pStyle w:val="Heading2"/>
      </w:pPr>
      <w:r>
        <w:t>4.3 Answer</w:t>
      </w:r>
    </w:p>
    <w:p>
      <w:r>
        <w:t>ActivityFrame is best modeled as (i) precision modulation and (ii) prior shifting over a stable core valuation basis, with (iii) sparse auxiliary valuation dimensions activated only in some frames (“stable core + sparse auxiliary”).</w:t>
      </w:r>
    </w:p>
    <w:p>
      <w:pPr>
        <w:pStyle w:val="Heading2"/>
      </w:pPr>
      <w:r>
        <w:t>4.4 Justification and implementation detail</w:t>
      </w:r>
    </w:p>
    <w:p>
      <w:r>
        <w:t>Precision modulation retains the same latent variables but changes gain/weights; space change alters the dimensionality/basis. A stable core preserves comparability and governance across the web of belief, while sparse auxiliary axes handle frame-exclusive values (e.g., sacredness/ritual fit). Implementation: add A→π and A→β nodes that gate edges and modulate valuation weights; optionally allow A to activate a small v_aux subset. Discriminating predictions include transfer tests (reweighting should rescue performance if precision is the main effect), representational-geometry tests (scaling vs manifold rotation), and interventions (attention/uncertainty manipulations mimicking A if precision-driven).</w:t>
      </w:r>
    </w:p>
    <w:p>
      <w:pPr>
        <w:pStyle w:val="Heading2"/>
      </w:pPr>
      <w:r>
        <w:t>4.5 Worked before/after examples</w:t>
      </w:r>
    </w:p>
    <w:p>
      <w:r>
        <w:t>Example 1 (precision only): Minimalist lounge judged as excellent under rest frame, dead under party frame.</w:t>
      </w:r>
    </w:p>
    <w:p>
      <w:r>
        <w:t>Example 2 (auxiliary axis): Cathedral judged differently by tourist vs worshipper via sacredness/ritual-fit activation.</w:t>
      </w:r>
    </w:p>
    <w:p>
      <w:r>
        <w:t>Example 3 (role/goal): Negotiation room triggers status/threat weighting; old feature→preference models fail to predict intimidation.</w:t>
      </w:r>
    </w:p>
    <w:p>
      <w:pPr>
        <w:pStyle w:val="Heading1"/>
      </w:pPr>
      <w:r>
        <w:t>5. Hard Problem 2 (Q2): Can Constraints Be Computed “Before Valuation”?</w:t>
      </w:r>
    </w:p>
    <w:p>
      <w:pPr>
        <w:pStyle w:val="Heading2"/>
      </w:pPr>
      <w:r>
        <w:t>5.1 Problem statement</w:t>
      </w:r>
    </w:p>
    <w:p>
      <w:r>
        <w:t>CVA separates constraints (descriptive inference) from valuation. Critics argue perception is value-laden: goals, identity, and culture shape what is perceived. If so, strict “constraints before valuation” is untenable.</w:t>
      </w:r>
    </w:p>
    <w:p>
      <w:pPr>
        <w:pStyle w:val="Heading2"/>
      </w:pPr>
      <w:r>
        <w:t>5.2 Success conditions</w:t>
      </w:r>
    </w:p>
    <w:p>
      <w:r>
        <w:t>A satisfactory answer must disambiguate computational vs phenomenological “pre-valuation,” specify the weaker claim CVA needs, provide an implementable recognition model admitting top-down effects, and show before/after improvements over deterministic c=f(x).</w:t>
      </w:r>
    </w:p>
    <w:p>
      <w:pPr>
        <w:pStyle w:val="Heading2"/>
      </w:pPr>
      <w:r>
        <w:t>5.3 Answer</w:t>
      </w:r>
    </w:p>
    <w:p>
      <w:r>
        <w:t>CVA does not require value-free perception. It requires only that constraints are computationally distinct and partially stimulus-anchored, while modulated by ActivityFrame. Implementation: replace deterministic c=f(x) with context-conditioned recognition: c ~ p(c|x,A).</w:t>
      </w:r>
    </w:p>
    <w:p>
      <w:pPr>
        <w:pStyle w:val="Heading2"/>
      </w:pPr>
      <w:r>
        <w:t>5.4 Justification and examples</w:t>
      </w:r>
    </w:p>
    <w:p>
      <w:r>
        <w:t>This revision solves the critique by conceding top-down modulation explicitly while preserving a layered model: constraints are descriptive coordinates, valuation assigns goal-relative value. Falsification would occur if constraint judgments show near-zero reliability and become entirely frame/culture-dependent. Examples: open-plan office (deep work vs collaboration), night street (uncertainty amplifies top-down effects), museum minimalism (empty vs calm).</w:t>
      </w:r>
    </w:p>
    <w:p>
      <w:pPr>
        <w:pStyle w:val="Heading1"/>
      </w:pPr>
      <w:r>
        <w:t>6. Hard Problem 3 (Q6): What Mechanism Implements Valuation→Perception Feedback?</w:t>
      </w:r>
    </w:p>
    <w:p>
      <w:pPr>
        <w:pStyle w:val="Heading2"/>
      </w:pPr>
      <w:r>
        <w:t>6.1 Problem statement</w:t>
      </w:r>
    </w:p>
    <w:p>
      <w:r>
        <w:t>Feedback from valuation to perception is necessary to capture goal- and affect-dependent perception. But “feedback” is ambiguous. Candidate mechanisms are attention (sampling), precision (error gain), and priors (expectation shifts). A single ε_fb parameter is too blunt.</w:t>
      </w:r>
    </w:p>
    <w:p>
      <w:pPr>
        <w:pStyle w:val="Heading2"/>
      </w:pPr>
      <w:r>
        <w:t>6.2 Success conditions</w:t>
      </w:r>
    </w:p>
    <w:p>
      <w:r>
        <w:t>A satisfactory answer must define each mechanism in testable terms, explain why a single ε_fb is inadequate, provide a better decomposed model, and show before/after examples demonstrating measurable improvements.</w:t>
      </w:r>
    </w:p>
    <w:p>
      <w:pPr>
        <w:pStyle w:val="Heading2"/>
      </w:pPr>
      <w:r>
        <w:t>6.3 Answer</w:t>
      </w:r>
    </w:p>
    <w:p>
      <w:r>
        <w:t>Decompose feedback into ε_attn (sampling bias), ε_prec (error gain/precision), and ε_prior (prior shift). This supports clear experiments, discriminating predictions, and constraint-specific effect sizes.</w:t>
      </w:r>
    </w:p>
    <w:p>
      <w:pPr>
        <w:pStyle w:val="Heading2"/>
      </w:pPr>
      <w:r>
        <w:t>6.4 Justification: why decomposition solves the problem</w:t>
      </w:r>
    </w:p>
    <w:p>
      <w:r>
        <w:t>A single ε_fb cannot distinguish whether judgments change because people look at different cues, weight the same evidence differently, or shift expectations. The decomposition aligns with predictive processing formalisms and yields specific intervention levers: gaze-contingent tests (attention), uncertainty/noise manipulations (precision), and schema/identity primes (priors).</w:t>
      </w:r>
    </w:p>
    <w:p>
      <w:pPr>
        <w:pStyle w:val="Heading2"/>
      </w:pPr>
      <w:r>
        <w:t>6.5 Implementable specification with before/after examples</w:t>
      </w:r>
    </w:p>
    <w:p>
      <w:r>
        <w:t>Attention path: v,A → sampling policy u → x(u) → c. Precision path: v,A → π scales likelihood/noise in inference updates. Prior path: v,A shifts p(c). Before/after examples: crowded market (attention dominates), dim parking garage (priors+precision under uncertainty), open-plan office under deadline (precision dominates).</w:t>
      </w:r>
    </w:p>
    <w:p>
      <w:pPr>
        <w:pStyle w:val="Heading1"/>
      </w:pPr>
      <w:r>
        <w:t>7. Consolidated Implementable Specification</w:t>
      </w:r>
    </w:p>
    <w:p>
      <w:r>
        <w:t>A practical implementation uses a recognition model c ~ p(c|x,A), a valuation model with stable core and sparse auxiliary dimensions v_core ~ p(v_core|c,A,τ,κ), v_aux ~ p(v_aux|c,A), and decomposed feedback via attention/precision/prior pathways. Beauty/report is modeled as a compression/readout B = L([v_core, v_aux]) with L tested in increasing expressivity (linear → GLM → Bradley–Terry → NN), using residual analysis to motivate adding missing valuation axes.</w:t>
      </w:r>
    </w:p>
    <w:p>
      <w:pPr>
        <w:pStyle w:val="Heading1"/>
      </w:pPr>
      <w:r>
        <w:t>8. Conclusion</w:t>
      </w:r>
    </w:p>
    <w:p>
      <w:r>
        <w:t>CVA becomes defensible and implementable when (i) ActivityFrame is modeled as precision/prior modulation over a stable valuation core with sparse auxiliaries, (ii) constraints are treated as context-conditioned latent inferences rather than deterministic outputs, and (iii) feedback is decomposed into attention, precision, and prior mechanisms. These choices increase falsifiability, support clear measurement and intervention, and provide a disciplined route to integrating conditional architectural findings into a coherent web of belief and Bayesian modeling pipeline.</w:t>
      </w:r>
    </w:p>
    <w:p>
      <w:pPr>
        <w:pStyle w:val="Heading1"/>
      </w:pPr>
      <w:r>
        <w:t>Appendix A. Additional Technical Detail (Dynamical and Bayesian Forms)</w:t>
      </w:r>
    </w:p>
    <w:p>
      <w:r>
        <w:t>Minimal continuous-time dynamics:</w:t>
        <w:br/>
        <w:t xml:space="preserve">  ċ = −D_c(c − f̃(x,A)) + φ_c(K_cc c + K_cv v)</w:t>
        <w:br/>
        <w:t xml:space="preserve">  v̇ = −D_v(v − Ṽ(c,A,τ,κ)) + φ_v(K_vv v + K_vc c)</w:t>
        <w:br/>
        <w:t>Linearization yields Jacobian blocks; local stability requires Re(λ)&lt;0. A 2D feedback loop yields the loop-gain condition qk &lt; ab.</w:t>
      </w:r>
    </w:p>
    <w:p>
      <w:r>
        <w:t>DBN discretization (Euler):</w:t>
        <w:br/>
        <w:t xml:space="preserve">  c_{t+1} = c_t + Δt·F(c_t,x_t,A_t) + ξ_t</w:t>
        <w:br/>
        <w:t xml:space="preserve">  v_{t+1} = v_t + Δt·G(v_t,c_t,A_t,τ,κ) + ζ_t</w:t>
        <w:br/>
        <w:t>Edges: x_t→c_{t+1}, A_t→c_{t+1}, A_t→v_{t+1}, c_t→v_{t+1}, optional v_t→c_{t+1}.</w:t>
      </w:r>
    </w:p>
    <w:p>
      <w:pPr>
        <w:pStyle w:val="Heading1"/>
      </w:pPr>
      <w:r>
        <w:t>References (APA)</w:t>
      </w:r>
    </w:p>
    <w:p>
      <w:r>
        <w:t>Barrett, L. F. (2017). How emotions are made: The secret life of the brain. Houghton Mifflin Harcourt.</w:t>
      </w:r>
    </w:p>
    <w:p>
      <w:r>
        <w:t>Berlyne, D. E. (1971). Aesthetics and psychobiology. Appleton-Century-Crofts.</w:t>
      </w:r>
    </w:p>
    <w:p>
      <w:r>
        <w:t>Dosen, A. S., &amp; Ostwald, M. J. (2013). Evidence for prospect-refuge theory: A meta-analysis of the findings of environmental preference research. Architectural Science Review, 56(3), 210–223.</w:t>
      </w:r>
    </w:p>
    <w:p>
      <w:r>
        <w:t>Friston, K. (2010). The free-energy principle: A unified brain theory? Nature Reviews Neuroscience, 11(2), 127–138.</w:t>
      </w:r>
    </w:p>
    <w:p>
      <w:r>
        <w:t>Graf, L. K., &amp; Landwehr, J. R. (2015). A dual-process perspective on fluency-based aesthetics: The pleasure–interest model of aesthetic liking. Personality and Social Psychology Review, 19(4), 395–410.</w:t>
      </w:r>
    </w:p>
    <w:p>
      <w:r>
        <w:t>Kaplan, R., &amp; Kaplan, S. (1989). The experience of nature: A psychological perspective. Cambridge University Press.</w:t>
      </w:r>
    </w:p>
    <w:p>
      <w:r>
        <w:t>Russell, J. A. (2003). Core affect and the psychological construction of emotion. Psychological Review, 110(1), 145–172.</w:t>
      </w:r>
    </w:p>
    <w:p>
      <w:r>
        <w:t>Ryan, R. M., &amp; Deci, E. L. (2000). Self-determination theory and the facilitation of intrinsic motivation, social development, and well-being. American Psychologist, 55(1), 68–78.</w:t>
      </w:r>
    </w:p>
    <w:p>
      <w:r>
        <w:t>Scherer, K. R. (2001). Appraisal considered as a process of multilevel sequential checking. In K. R. Scherer, A. Schorr, &amp; T. Johnstone (Eds.), Appraisal processes in emotion (pp. 92–120). Oxford University Press.</w:t>
      </w:r>
    </w:p>
    <w:p>
      <w:r>
        <w:t>Scherer, K. R. (2009). The dynamic architecture of emotion: Evidence for the component process model. Cognition and Emotion, 23(7), 1307–1351.</w:t>
      </w:r>
    </w:p>
    <w:p>
      <w:r>
        <w:t>Seth, A. K., &amp; Friston, K. J. (2016). Active interoceptive inference and the emotional brain. Philosophical Transactions of the Royal Society B: Biological Sciences, 371(1708), 20160007.</w:t>
      </w:r>
    </w:p>
    <w:p>
      <w:r>
        <w:t>Ulrich, R. S. (1984). View through a window may influence recovery from surgery. Science, 224(4647), 420–421.</w:t>
      </w:r>
    </w:p>
    <w:p>
      <w:r>
        <w:t>Vartanian, O., et al. (2013). Impact of contour on aesthetic judgments and approach–avoidance decisions in architecture. Proceedings of the National Academy of Sciences, 110(Suppl 2), 10446–10453.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