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40" w:line="360" w:lineRule="auto"/>
        <w:rPr>
          <w:rFonts w:ascii="Garamond" w:cs="Garamond" w:eastAsia="Garamond" w:hAnsi="Garamond"/>
          <w:b/>
          <w:bCs/>
          <w:sz w:val="32"/>
          <w:szCs w:val="32"/>
        </w:rPr>
      </w:pPr>
      <w:r>
        <w:t xml:space="preserve">Why Warrant Types Matter: The Case for Annotating Scientific Claims with Their Evidential Provenance</w:t>
      </w:r>
    </w:p>
    <w:p>
      <w:pPr>
        <w:spacing w:after="0" w:line="360" w:lineRule="auto"/>
        <w:rPr>
          <w:rFonts w:ascii="Garamond" w:cs="Garamond" w:eastAsia="Garamond" w:hAnsi="Garamond"/>
          <w:sz w:val="24"/>
          <w:szCs w:val="24"/>
        </w:rPr>
      </w:pPr>
      <w:r>
        <w:t xml:space="preserve">David Kirsh</w:t>
      </w:r>
    </w:p>
    <w:p>
      <w:pPr>
        <w:spacing w:after="120" w:line="360" w:lineRule="auto"/>
        <w:rPr>
          <w:rFonts w:ascii="Garamond" w:cs="Garamond" w:eastAsia="Garamond" w:hAnsi="Garamond"/>
          <w:sz w:val="24"/>
          <w:szCs w:val="24"/>
        </w:rPr>
      </w:pPr>
      <w:r>
        <w:t xml:space="preserve">Department of Cognitive Science, UC San Diego</w:t>
      </w:r>
    </w:p>
    <w:p>
      <w:pPr>
        <w:spacing w:after="400" w:line="360" w:lineRule="auto"/>
        <w:rPr>
          <w:rFonts w:ascii="Garamond" w:cs="Garamond" w:eastAsia="Garamond" w:hAnsi="Garamond"/>
          <w:sz w:val="24"/>
          <w:szCs w:val="24"/>
        </w:rPr>
      </w:pPr>
      <w:r>
        <w:t xml:space="preserve">February 2026</w:t>
      </w:r>
    </w:p>
    <w:r>
      <w:br w:type="page"/>
    </w:r>
    <w:p>
      <w:pPr>
        <w:pStyle w:val="Heading1"/>
        <w:pStyle w:val="Heading1"/>
        <w:spacing w:before="240" w:after="120" w:line="360" w:lineRule="auto"/>
        <w:jc w:val="both"/>
        <w:outlineLvl w:val="0"/>
        <w:rPr>
          <w:rFonts w:ascii="Garamond" w:cs="Garamond" w:eastAsia="Garamond" w:hAnsi="Garamond"/>
          <w:b/>
          <w:bCs/>
          <w:sz w:val="56"/>
          <w:szCs w:val="56"/>
        </w:rPr>
      </w:pPr>
      <w:r>
        <w:t xml:space="preserve">Abstract</w:t>
      </w:r>
    </w:p>
    <w:p>
      <w:pPr>
        <w:spacing w:before="0" w:after="120" w:line="360" w:lineRule="auto"/>
        <w:ind w:firstLine="0"/>
        <w:jc w:val="both"/>
      </w:pPr>
      <w:r>
        <w:rPr>
          <w:rFonts w:ascii="Garamond" w:cs="Garamond" w:eastAsia="Garamond" w:hAnsi="Garamond"/>
          <w:b w:val="false"/>
          <w:bCs w:val="false"/>
          <w:sz w:val="24"/>
          <w:szCs w:val="24"/>
        </w:rPr>
        <w:t xml:space="preserve">Scientific claims carry probabilities, but probabilities alone are informationally impoverished. A claim supported at 0.60 confidence by a complete mechanistic pathway is fundamentally different from a claim supported at 0.60 by structural analogy from a different domain — yet standard probabilistic frameworks treat them identically. We argue that scientific claims should be annotated with warrant types: explicit categorizations of the kind of evidential support they rest on. Drawing on Toulmin's model of argumentation, we develop a seven-level warrant hierarchy — CONSTITUTIVE, MECHANISM, EMPIRICAL_COVARIANCE, FUNCTIONAL, CAPACITY, ANALOGICAL, and THEORETICAL_DEFAULT — and show that each type has distinct implications for research planning, vulnerability to confounding, generalizability across contexts, and appropriate confidence calibration. We demonstrate that warrant-typing is not merely a bookkeeping convenience but an epistemic necessity: without it, computational systems cannot distinguish reducible from irreducible uncertainty, cannot correctly allocate research effort, and cannot explain why two identically-valued probabilities may carry radically different implications for action. The framework is illustrated with examples from environmental psychology and architectural neuroscience, drawn from the ATLAS system (Architecture for Typed, Layered Assessment of Science), a knowledge graph of over 1,000 articles. We connect warrant-typing to interventionist causal semantics (Woodward, 2003), showing that different warrant types provide different levels of evidence for interventionist causal claims.</w:t>
      </w:r>
    </w:p>
    <w:r>
      <w:br w:type="page"/>
    </w:r>
    <w:p>
      <w:pPr>
        <w:pStyle w:val="Heading1"/>
        <w:pStyle w:val="Heading1"/>
        <w:spacing w:before="240" w:after="120" w:line="360" w:lineRule="auto"/>
        <w:jc w:val="both"/>
        <w:outlineLvl w:val="0"/>
        <w:rPr>
          <w:rFonts w:ascii="Garamond" w:cs="Garamond" w:eastAsia="Garamond" w:hAnsi="Garamond"/>
          <w:b/>
          <w:bCs/>
          <w:sz w:val="56"/>
          <w:szCs w:val="56"/>
        </w:rPr>
      </w:pPr>
      <w:r>
        <w:t xml:space="preserve">1. The Problem — Why Bare Probabilities Are Not Enough</w:t>
      </w:r>
    </w:p>
    <w:p>
      <w:pPr>
        <w:spacing w:before="0" w:after="120" w:line="360" w:lineRule="auto"/>
        <w:ind w:firstLine="0"/>
        <w:jc w:val="both"/>
      </w:pPr>
      <w:r>
        <w:rPr>
          <w:rFonts w:ascii="Garamond" w:cs="Garamond" w:eastAsia="Garamond" w:hAnsi="Garamond"/>
          <w:b w:val="false"/>
          <w:bCs w:val="false"/>
          <w:sz w:val="24"/>
          <w:szCs w:val="24"/>
        </w:rPr>
        <w:t xml:space="preserve">Open with a vivid example: Two researchers present their findings at a conference. Both report P = 0.60 for the claim "daylight exposure increases serotonin production in building occupants." Researcher A's 0.60 comes from a complete mechanistic pathway traced through retinal ganglion cells, raphe nuclei, and tryptophan hydroxylase, experimentally validated at each link in the laboratory. Researcher B's 0.60 comes from observing that buildings with more windows have occupants who report better mood — a correlation that could be confounded by building age, HVAC quality, or socioeconomic factors.</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These two 0.60s are not the same. They differ in:</w:t>
      </w:r>
    </w:p>
    <w:p>
      <w:pPr>
        <w:spacing w:after="60"/>
      </w:pPr>
    </w:p>
    <w:p>
      <w:pPr>
        <w:spacing w:before="0" w:after="120" w:line="360" w:lineRule="auto"/>
        <w:ind w:firstLine="720"/>
        <w:jc w:val="both"/>
      </w:pPr>
      <w:r>
        <w:rPr>
          <w:rFonts w:ascii="Garamond" w:cs="Garamond" w:eastAsia="Garamond" w:hAnsi="Garamond"/>
          <w:b w:val="false"/>
          <w:bCs w:val="false"/>
          <w:sz w:val="24"/>
          <w:szCs w:val="24"/>
        </w:rPr>
        <w:t xml:space="preserve">• What would change the number (A needs architectural field studies; B needs controlled experiments ruling out confounders)</w:t>
      </w:r>
    </w:p>
    <w:p>
      <w:pPr>
        <w:spacing w:before="0" w:after="120" w:line="360" w:lineRule="auto"/>
        <w:ind w:firstLine="720"/>
        <w:jc w:val="both"/>
      </w:pPr>
      <w:r>
        <w:rPr>
          <w:rFonts w:ascii="Garamond" w:cs="Garamond" w:eastAsia="Garamond" w:hAnsi="Garamond"/>
          <w:b w:val="false"/>
          <w:bCs w:val="false"/>
          <w:sz w:val="24"/>
          <w:szCs w:val="24"/>
        </w:rPr>
        <w:t xml:space="preserve">• How vulnerable they are to confounding (A is robust because the mechanism is understood; B is fragile because the association might be spurious)</w:t>
      </w:r>
    </w:p>
    <w:p>
      <w:pPr>
        <w:spacing w:before="0" w:after="120" w:line="360" w:lineRule="auto"/>
        <w:ind w:firstLine="720"/>
        <w:jc w:val="both"/>
      </w:pPr>
      <w:r>
        <w:rPr>
          <w:rFonts w:ascii="Garamond" w:cs="Garamond" w:eastAsia="Garamond" w:hAnsi="Garamond"/>
          <w:b w:val="false"/>
          <w:bCs w:val="false"/>
          <w:sz w:val="24"/>
          <w:szCs w:val="24"/>
        </w:rPr>
        <w:t xml:space="preserve">• How well they generalize to new contexts (A's mechanism should work anywhere there are human retinas; B's correlation might be specific to the building stock sampled)</w:t>
      </w:r>
    </w:p>
    <w:p>
      <w:pPr>
        <w:spacing w:before="0" w:after="120" w:line="360" w:lineRule="auto"/>
        <w:ind w:firstLine="720"/>
        <w:jc w:val="both"/>
      </w:pPr>
      <w:r>
        <w:rPr>
          <w:rFonts w:ascii="Garamond" w:cs="Garamond" w:eastAsia="Garamond" w:hAnsi="Garamond"/>
          <w:b w:val="false"/>
          <w:bCs w:val="false"/>
          <w:sz w:val="24"/>
          <w:szCs w:val="24"/>
        </w:rPr>
        <w:t xml:space="preserve">• What they tell a practitioner (A says "install windows, the mechanism will operate"; B says "windows correlate with mood, but we're not sure why")</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Yet in a standard Bayesian network, a standard meta-analysis, a standard risk assessment — anywhere probabilities are the currency of reasoning — these two claims are indistinguishable. Both are 0.60. Both enter the same equations. Both produce the same downstream inferences.</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This is the problem. Bare probabilities are informationally impoverished. They tell you how much to believe a claim, but not why you believe it, what would change your belief, or how robust your belief is to new contexts. We argue that scientific claims need a richer annotation: a warrant type that captures the kind of evidential support the claim rests on.</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Connect to the broader literature: Knight (1921) distinguished risk from uncertainty. De Finetti (1937) argued all probability is subjective. Der Kiureghian and Ditlevsen (2009) distinguished epistemic from aleatory uncertainty in engineering. But none of these frameworks distinguishes among KINDS of epistemic uncertainty. The epistemic-aleatory distinction tells you whether uncertainty is reducible; warrant-typing tells you HOW it is reducible and what kind of evidence would reduce it.</w:t>
      </w:r>
    </w:p>
    <w:r>
      <w:br w:type="page"/>
    </w:r>
    <w:p>
      <w:pPr>
        <w:pStyle w:val="Heading1"/>
        <w:pStyle w:val="Heading1"/>
        <w:spacing w:before="240" w:after="120" w:line="360" w:lineRule="auto"/>
        <w:jc w:val="both"/>
        <w:outlineLvl w:val="0"/>
        <w:rPr>
          <w:rFonts w:ascii="Garamond" w:cs="Garamond" w:eastAsia="Garamond" w:hAnsi="Garamond"/>
          <w:b/>
          <w:bCs/>
          <w:sz w:val="56"/>
          <w:szCs w:val="56"/>
        </w:rPr>
      </w:pPr>
      <w:r>
        <w:t xml:space="preserve">2. Toulmin's Model and the Warrant Concept</w:t>
      </w:r>
    </w:p>
    <w:p>
      <w:pPr>
        <w:spacing w:before="0" w:after="120" w:line="360" w:lineRule="auto"/>
        <w:ind w:firstLine="0"/>
        <w:jc w:val="both"/>
      </w:pPr>
      <w:r>
        <w:rPr>
          <w:rFonts w:ascii="Garamond" w:cs="Garamond" w:eastAsia="Garamond" w:hAnsi="Garamond"/>
          <w:b w:val="false"/>
          <w:bCs w:val="false"/>
          <w:sz w:val="24"/>
          <w:szCs w:val="24"/>
        </w:rPr>
        <w:t xml:space="preserve">Toulmin (1958) proposed that arguments have structure: data, claim, warrant, backing, qualifier, and rebuttal. The warrant is the inferential bridge from data to claim — the principle that authorizes the inferential step. For example: Data: "Lambert et al. found seasonal variation in 5-HIAA levels." Warrant: "Seasonal variation in a serotonin metabolite indicates that sunlight exposure affects serotonin synthesis." Claim: "Daylight exposure affects serotonin production."</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Toulmin's insight was that warrants are not all alike. Some warrants are based on direct observation, others on theoretical principle, others on analogy. This diversity of warrant types has been explored in argumentation theory (Walton, 2006) and informal logic, but it has not been systematically exploited in computational systems for scientific reasoning.</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We extend Toulmin by typing warrants. Each warrant in our system carries a type that specifies the KIND of inferential bridge it provides. The type determines not just the strength of the warrant (how confident we should be) but its character (what kind of evidence supports it, what kind of evidence would undermine it, and how well it transfers across contexts).</w:t>
      </w:r>
    </w:p>
    <w:r>
      <w:br w:type="page"/>
    </w:r>
    <w:p>
      <w:pPr>
        <w:pStyle w:val="Heading1"/>
        <w:pStyle w:val="Heading1"/>
        <w:spacing w:before="240" w:after="120" w:line="360" w:lineRule="auto"/>
        <w:jc w:val="both"/>
        <w:outlineLvl w:val="0"/>
        <w:rPr>
          <w:rFonts w:ascii="Garamond" w:cs="Garamond" w:eastAsia="Garamond" w:hAnsi="Garamond"/>
          <w:b/>
          <w:bCs/>
          <w:sz w:val="56"/>
          <w:szCs w:val="56"/>
        </w:rPr>
      </w:pPr>
      <w:r>
        <w:t xml:space="preserve">3. The Seven Warrant Types</w:t>
      </w:r>
    </w:p>
    <w:p>
      <w:pPr>
        <w:spacing w:before="0" w:after="120" w:line="360" w:lineRule="auto"/>
        <w:ind w:firstLine="0"/>
        <w:jc w:val="both"/>
      </w:pPr>
      <w:r>
        <w:rPr>
          <w:rFonts w:ascii="Garamond" w:cs="Garamond" w:eastAsia="Garamond" w:hAnsi="Garamond"/>
          <w:b w:val="false"/>
          <w:bCs w:val="false"/>
          <w:sz w:val="24"/>
          <w:szCs w:val="24"/>
        </w:rPr>
        <w:t xml:space="preserve">Present each of the seven warrant types with: a precise definition, a concrete example from environmental psychology/architectural neuroscience, an explanation of its vulnerability to confounding, an explanation of its cross-context generalizability, and its relationship to interventionist causal claims (Woodward, 2003).</w:t>
      </w:r>
    </w:p>
    <w:p>
      <w:pPr>
        <w:spacing w:after="120"/>
      </w:pPr>
    </w:p>
    <w:p>
      <w:pPr>
        <w:pStyle w:val="Heading2"/>
        <w:pStyle w:val="Heading2"/>
        <w:spacing w:before="240" w:after="120" w:line="360" w:lineRule="auto"/>
        <w:jc w:val="both"/>
        <w:outlineLvl w:val="1"/>
        <w:rPr>
          <w:rFonts w:ascii="Garamond" w:cs="Garamond" w:eastAsia="Garamond" w:hAnsi="Garamond"/>
          <w:b/>
          <w:bCs/>
          <w:sz w:val="52"/>
          <w:szCs w:val="52"/>
        </w:rPr>
      </w:pPr>
      <w:r>
        <w:t xml:space="preserve">3.1 CONSTITUTIVE (Prior 0.75)</w:t>
      </w:r>
    </w:p>
    <w:p>
      <w:pPr>
        <w:spacing w:before="0" w:after="120" w:line="360" w:lineRule="auto"/>
        <w:ind w:firstLine="0"/>
        <w:jc w:val="both"/>
      </w:pPr>
      <w:r>
        <w:rPr>
          <w:rFonts w:ascii="Garamond" w:cs="Garamond" w:eastAsia="Garamond" w:hAnsi="Garamond"/>
          <w:b w:val="false"/>
          <w:bCs w:val="false"/>
          <w:sz w:val="24"/>
          <w:szCs w:val="24"/>
        </w:rPr>
        <w:t xml:space="preserve">The architectural feature literally IS the mechanism. Example: daylight lux at retina. Not vulnerable to confounding (definitional). Perfectly generalizable (same variable everywhere). Not causal per se but constrains intervention space.</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A CONSTITUTIVE warrant is the strongest form of evidential support because it is definitional rather than inferential. When we measure daylight lux at the retina, we are not inferring that light reaches the retina; we are directly observing the variable of interest. The measurement IS the phenomenon. This means CONSTITUTIVE warrants are immune to confounding — there is no hidden cause that could undermine the relationship because there is no inferential relationship at all, only identity.</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CONSTITUTIVE warrants are universally generalizable because they rest on definitional relationships that hold everywhere the variables exist. If we define "window area as a fraction of floor area," this definition applies to any building, any climate, any culture. The generalizability is perfect because the relationship is logical rather than empirical.</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With respect to interventionist causal claims, CONSTITUTIVE warrants do not directly support causation but they establish that certain variables are not themselves subject to hidden confounding. If you want to intervene on light reaching the retina, you know that lux is the right target; you cannot do better than measuring the exact variable you wish to manipulate.</w:t>
      </w:r>
    </w:p>
    <w:p>
      <w:pPr>
        <w:spacing w:after="120"/>
      </w:pPr>
    </w:p>
    <w:p>
      <w:pPr>
        <w:pStyle w:val="Heading2"/>
        <w:pStyle w:val="Heading2"/>
        <w:spacing w:before="240" w:after="120" w:line="360" w:lineRule="auto"/>
        <w:jc w:val="both"/>
        <w:outlineLvl w:val="1"/>
        <w:rPr>
          <w:rFonts w:ascii="Garamond" w:cs="Garamond" w:eastAsia="Garamond" w:hAnsi="Garamond"/>
          <w:b/>
          <w:bCs/>
          <w:sz w:val="52"/>
          <w:szCs w:val="52"/>
        </w:rPr>
      </w:pPr>
      <w:r>
        <w:t xml:space="preserve">3.2 MECHANISM (Prior 0.60)</w:t>
      </w:r>
    </w:p>
    <w:p>
      <w:pPr>
        <w:spacing w:before="0" w:after="120" w:line="360" w:lineRule="auto"/>
        <w:ind w:firstLine="0"/>
        <w:jc w:val="both"/>
      </w:pPr>
      <w:r>
        <w:rPr>
          <w:rFonts w:ascii="Garamond" w:cs="Garamond" w:eastAsia="Garamond" w:hAnsi="Garamond"/>
          <w:b w:val="false"/>
          <w:bCs w:val="false"/>
          <w:sz w:val="24"/>
          <w:szCs w:val="24"/>
        </w:rPr>
        <w:t xml:space="preserve">Complete causal pathway traced end-to-end. Example: light → retinal ganglion → raphe nuclei → serotonin. Low vulnerability to confounding (mechanism understood). High generalizability (mechanism should operate wherever biology does). Strong interventionist support.</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A MECHANISM warrant asserts that the full causal pathway from the claimed cause to the claimed effect has been identified and experimentally validated at each link. The claim "daylight exposure increases serotonin production" rests on a MECHANISM warrant if we have evidence that: (1) light stimulates retinal ganglion cells, (2) these cells project to the raphe nuclei, (3) raphe cell firing modulates tryptophan hydroxylase, and (4) tryptophan hydroxylase controls serotonin synthesis. Each link has been established experimentally, preferably in isolation from confounding variables.</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MECHANISM warrants are relatively invulnerable to confounding because the mechanism is understood. If an unexpected result occurs in the field, we can trace it to a specific link in the pathway and diagnose whether the failure is at the level of component availability, regulatory factors, or context-dependent suppression. This diagnostic capability is what makes mechanistic understanding so powerful.</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Mechanistic findings generalize well across contexts because biological mechanisms are conserved across species, individuals, and environments (with important exceptions in neural development and plasticity). A mechanism that works in the laboratory should work in the field unless there are specific adaptations or suppressors active in the field context. This makes MECHANISM warrants appropriate for field-based interventions.</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MECHANISM warrants provide strong support for interventionist causal claims because Woodward's interventionist semantics requires that we understand what would change if we manipulated the cause. Understanding the mechanism tells us precisely this: what changes at each downstream node when we alter the cause.</w:t>
      </w:r>
    </w:p>
    <w:p>
      <w:pPr>
        <w:spacing w:after="120"/>
      </w:pPr>
    </w:p>
    <w:p>
      <w:pPr>
        <w:pStyle w:val="Heading2"/>
        <w:pStyle w:val="Heading2"/>
        <w:spacing w:before="240" w:after="120" w:line="360" w:lineRule="auto"/>
        <w:jc w:val="both"/>
        <w:outlineLvl w:val="1"/>
        <w:rPr>
          <w:rFonts w:ascii="Garamond" w:cs="Garamond" w:eastAsia="Garamond" w:hAnsi="Garamond"/>
          <w:b/>
          <w:bCs/>
          <w:sz w:val="52"/>
          <w:szCs w:val="52"/>
        </w:rPr>
      </w:pPr>
      <w:r>
        <w:t xml:space="preserve">3.3 EMPIRICAL_COVARIANCE (Prior 0.60)</w:t>
      </w:r>
    </w:p>
    <w:p>
      <w:pPr>
        <w:spacing w:before="0" w:after="120" w:line="360" w:lineRule="auto"/>
        <w:ind w:firstLine="0"/>
        <w:jc w:val="both"/>
      </w:pPr>
      <w:r>
        <w:rPr>
          <w:rFonts w:ascii="Garamond" w:cs="Garamond" w:eastAsia="Garamond" w:hAnsi="Garamond"/>
          <w:b w:val="false"/>
          <w:bCs w:val="false"/>
          <w:sz w:val="24"/>
          <w:szCs w:val="24"/>
        </w:rPr>
        <w:t xml:space="preserve">Replicated correlation without full mechanism. Example: well-daylit buildings → better reported mood. HIGH vulnerability to confounding. MODERATE generalizability (correlation may be population-specific). Moderate interventionist support.</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An EMPIRICAL_COVARIANCE warrant asserts that a statistical relationship between two variables has been observed repeatedly and reliably, but the mechanistic pathway is unknown or only partially characterized. The claim might be: "Buildings with greater window area show occupants reporting better mood on standardized scales." The evidence is empirical and reproducible, but we have not traced the causal pathway.</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EMPIRICAL_COVARIANCE warrants are highly vulnerable to confounding because the association could be mediated by unobserved variables. In the example, building age, air quality, HVAC efficiency, building age, owner investment level, neighborhood desirability, and occupant self-selection could all create spurious correlations. Without understanding the mechanism, we cannot rule out these confounders. Replicated correlation provides confidence that the association is real in the sampled contexts, but replication does not prove causation.</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EMPIRICAL_COVARIANCE warrants have moderate generalizability because the correlation may be specific to the population, building stock, climate, or measurement method used in the original studies. A correlation observed in North American commercial office buildings might not hold in Mediterranean residential buildings or industrial facilities. The correlation depends on the covariance structure of the sampled population, and this structure may differ across contexts.</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EMPIRICAL_COVARIANCE warrants provide moderate interventionist support. Observing a correlation is consistent with a causal hypothesis, but it does not establish the direction of causation or the absence of confounding. Woodward's interventionist semantics requires that we could intervene on the cause and change the effect; correlational evidence makes this plausible but does not guarantee it.</w:t>
      </w:r>
    </w:p>
    <w:p>
      <w:pPr>
        <w:spacing w:after="120"/>
      </w:pPr>
    </w:p>
    <w:p>
      <w:pPr>
        <w:pStyle w:val="Heading2"/>
        <w:pStyle w:val="Heading2"/>
        <w:spacing w:before="240" w:after="120" w:line="360" w:lineRule="auto"/>
        <w:jc w:val="both"/>
        <w:outlineLvl w:val="1"/>
        <w:rPr>
          <w:rFonts w:ascii="Garamond" w:cs="Garamond" w:eastAsia="Garamond" w:hAnsi="Garamond"/>
          <w:b/>
          <w:bCs/>
          <w:sz w:val="52"/>
          <w:szCs w:val="52"/>
        </w:rPr>
      </w:pPr>
      <w:r>
        <w:t xml:space="preserve">3.4 FUNCTIONAL (Prior 0.50)</w:t>
      </w:r>
    </w:p>
    <w:p>
      <w:pPr>
        <w:spacing w:before="0" w:after="120" w:line="360" w:lineRule="auto"/>
        <w:ind w:firstLine="0"/>
        <w:jc w:val="both"/>
      </w:pPr>
      <w:r>
        <w:rPr>
          <w:rFonts w:ascii="Garamond" w:cs="Garamond" w:eastAsia="Garamond" w:hAnsi="Garamond"/>
          <w:b w:val="false"/>
          <w:bCs w:val="false"/>
          <w:sz w:val="24"/>
          <w:szCs w:val="24"/>
        </w:rPr>
        <w:t xml:space="preserve">Same functional role, unknown mechanism. Example: plants reduce stress (why?). Moderate vulnerability. Moderate generalizability. Tells you something works but not what to intervene on.</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A FUNCTIONAL warrant asserts that a variable plays the same functional role as a known causal variable, even though the underlying mechanism is unknown. For example: plants in interior spaces are known to reduce occupant stress ratings, similar to natural views and water features. The claim "plants reduce stress" might rest on a FUNCTIONAL warrant: plants and windows are both biophilic elements and should therefore produce similar stress reduction. The mechanism is unclear, but the functional analogy is explicit.</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FUNCTIONAL warrants have moderate vulnerability to confounding because the functional similarity might be incomplete. Plants might reduce stress through different mechanisms than windows (olfactory compounds vs. visual stimulation), and these mechanisms might be differentially confounded with other building features. If the stress reduction from plants is mediated by occupant self-selection (people who like plants choose to put them in their spaces and are already less stressed), then the functional analogy breaks down.</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FUNCTIONAL warrants have moderate generalizability because the functional role of a variable is often context-dependent. A plant might be stress-reducing in a quiet office but not in a noisy factory. The functional role depends on the larger system context, and this context varies across deployment environments.</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FUNCTIONAL warrants tell you that something works but not what specifically to intervene on. You know plants reduce stress, but you do not know if it is the visual features, the phytochemicals, the water cycle, the metaphorical connection to nature, or something else. This limits your ability to optimize the intervention or predict how it will work in a new context.</w:t>
      </w:r>
    </w:p>
    <w:p>
      <w:pPr>
        <w:spacing w:after="120"/>
      </w:pPr>
    </w:p>
    <w:p>
      <w:pPr>
        <w:pStyle w:val="Heading2"/>
        <w:pStyle w:val="Heading2"/>
        <w:spacing w:before="240" w:after="120" w:line="360" w:lineRule="auto"/>
        <w:jc w:val="both"/>
        <w:outlineLvl w:val="1"/>
        <w:rPr>
          <w:rFonts w:ascii="Garamond" w:cs="Garamond" w:eastAsia="Garamond" w:hAnsi="Garamond"/>
          <w:b/>
          <w:bCs/>
          <w:sz w:val="52"/>
          <w:szCs w:val="52"/>
        </w:rPr>
      </w:pPr>
      <w:r>
        <w:t xml:space="preserve">3.5 CAPACITY (Prior 0.45)</w:t>
      </w:r>
    </w:p>
    <w:p>
      <w:pPr>
        <w:spacing w:before="0" w:after="120" w:line="360" w:lineRule="auto"/>
        <w:ind w:firstLine="0"/>
        <w:jc w:val="both"/>
      </w:pPr>
      <w:r>
        <w:rPr>
          <w:rFonts w:ascii="Garamond" w:cs="Garamond" w:eastAsia="Garamond" w:hAnsi="Garamond"/>
          <w:b w:val="false"/>
          <w:bCs w:val="false"/>
          <w:sz w:val="24"/>
          <w:szCs w:val="24"/>
        </w:rPr>
        <w:t xml:space="preserve">Neural system CAN respond, not shown to under real conditions. Example: visual system detects fractals; facades have fractals; nobody's checked. Low-moderate vulnerability but high uncertainty. Low generalizability (untested). Weak interventionist support.</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A CAPACITY warrant asserts that a system has the physiological or cognitive capacity to respond to a stimulus, but this capacity has not been demonstrated to activate under field conditions. For example: the visual system is known to detect fractal scaling properties in laboratory settings (Pentland, 1984), and many building facades exhibit fractal properties. A CAPACITY warrant for "fractal facades improve visual satisfaction" would say: the visual system CAN detect fractals and CAN respond to them; facades have fractal structure; therefore fractals might improve visual satisfaction in buildings. But this is speculation because the response has not been measured in actual occupants in actual buildings.</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CAPACITY warrants have low-moderate vulnerability to confounding in the laboratory (the capacity has been demonstrated) but very high uncertainty in the field (the capacity may not activate under real conditions). The visual system might detect fractals in isolation but be overwhelmed by competing visual demands in a real office. The capacity exists but may be behaviorally silent under field conditions.</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CAPACITY warrants have low generalizability because they are untested predictions. Different populations (children, elderly, color-blind individuals, people with different expertise) might respond differently to fractal properties. The field conditions differ from laboratory conditions in ways that might suppress the capacity.</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CAPACITY warrants provide weak interventionist support because the capacity is merely possible, not proven. An intervention based on a CAPACITY warrant is a hypothesis-generating action, appropriate for exploratory design but not for confident application.</w:t>
      </w:r>
    </w:p>
    <w:p>
      <w:pPr>
        <w:spacing w:after="120"/>
      </w:pPr>
    </w:p>
    <w:p>
      <w:pPr>
        <w:pStyle w:val="Heading2"/>
        <w:pStyle w:val="Heading2"/>
        <w:spacing w:before="240" w:after="120" w:line="360" w:lineRule="auto"/>
        <w:jc w:val="both"/>
        <w:outlineLvl w:val="1"/>
        <w:rPr>
          <w:rFonts w:ascii="Garamond" w:cs="Garamond" w:eastAsia="Garamond" w:hAnsi="Garamond"/>
          <w:b/>
          <w:bCs/>
          <w:sz w:val="52"/>
          <w:szCs w:val="52"/>
        </w:rPr>
      </w:pPr>
      <w:r>
        <w:t xml:space="preserve">3.6 ANALOGICAL (Prior 0.35)</w:t>
      </w:r>
    </w:p>
    <w:p>
      <w:pPr>
        <w:spacing w:before="0" w:after="120" w:line="360" w:lineRule="auto"/>
        <w:ind w:firstLine="0"/>
        <w:jc w:val="both"/>
      </w:pPr>
      <w:r>
        <w:rPr>
          <w:rFonts w:ascii="Garamond" w:cs="Garamond" w:eastAsia="Garamond" w:hAnsi="Garamond"/>
          <w:b w:val="false"/>
          <w:bCs w:val="false"/>
          <w:sz w:val="24"/>
          <w:szCs w:val="24"/>
        </w:rPr>
        <w:t xml:space="preserve">Structural analogy from another domain. Example: auditory groove → visual rhythm in facades. HIGH vulnerability (analogy may be structurally invalid). LOW generalizability (different domains). Defeasible interventionist support.</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An ANALOGICAL warrant asserts that a phenomenon in one domain (e.g., auditory rhythm improves cognitive performance) is structurally similar to a phenomenon in another domain (e.g., visual rhythm in building facades should improve cognitive performance). The analogy is the only bridge between the domains; the mechanisms are unknown and possibly domain-specific.</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ANALOGICAL warrants are highly vulnerable to confounding because the structural analogy may be superficial. Auditory rhythm operates through timing constraints on neural oscillation and attention; visual rhythm might operate through completely different mechanisms in the visual cortex. The analogy might be formally elegant but causally misleading. If we find an effect of visual rhythm on cognition, we cannot know whether it is due to the structural analogy to auditory rhythm or to some other property of the visual stimulus.</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ANALOGICAL warrants have low generalizability because analogies do not transfer across domains reliably. An auditory rhythm that improves performance in one task might not transfer to a visual analogue of that task. The domain differences are usually larger than the structural similarities.</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ANALOGICAL warrants provide defeasible interventionist support. The argument goes: "If the analogy holds, then intervening on visual rhythm should work like intervening on auditory rhythm." But the antecedent is uncertain, so the support is weak and easily defeated by contrary evidence.</w:t>
      </w:r>
    </w:p>
    <w:p>
      <w:pPr>
        <w:spacing w:after="120"/>
      </w:pPr>
    </w:p>
    <w:p>
      <w:pPr>
        <w:pStyle w:val="Heading2"/>
        <w:pStyle w:val="Heading2"/>
        <w:spacing w:before="240" w:after="120" w:line="360" w:lineRule="auto"/>
        <w:jc w:val="both"/>
        <w:outlineLvl w:val="1"/>
        <w:rPr>
          <w:rFonts w:ascii="Garamond" w:cs="Garamond" w:eastAsia="Garamond" w:hAnsi="Garamond"/>
          <w:b/>
          <w:bCs/>
          <w:sz w:val="52"/>
          <w:szCs w:val="52"/>
        </w:rPr>
      </w:pPr>
      <w:r>
        <w:t xml:space="preserve">3.7 THEORETICAL_DEFAULT (Below 0.50, Flagged)</w:t>
      </w:r>
    </w:p>
    <w:p>
      <w:pPr>
        <w:spacing w:before="0" w:after="120" w:line="360" w:lineRule="auto"/>
        <w:ind w:firstLine="0"/>
        <w:jc w:val="both"/>
      </w:pPr>
      <w:r>
        <w:rPr>
          <w:rFonts w:ascii="Garamond" w:cs="Garamond" w:eastAsia="Garamond" w:hAnsi="Garamond"/>
          <w:b w:val="false"/>
          <w:bCs w:val="false"/>
          <w:sz w:val="24"/>
          <w:szCs w:val="24"/>
        </w:rPr>
        <w:t xml:space="preserve">Placeholder from theory. Example: biophilia reduces cortisol (Wilson, 1984), untested. No interventionist support. Must be treated as hypothesis, not evidence.</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A THEORETICAL_DEFAULT warrant asserts that a claim follows logically from a broader theoretical framework, even though it has not been tested. Example: Wilson's biophilia hypothesis (1984) predicts that exposure to nature-like elements (e.g., plants, fractal patterns, water, animal imagery) should reduce physiological stress markers like cortisol. The warrant for "biophilic design reduces cortisol" might be purely theoretical: it follows from the biophilia framework, and the framework is intellectually compelling, but the specific claim has not been experimentally tested.</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THEORETICAL_DEFAULT warrants are assigned a prior probability below 0.50 because they are untested predictions. They must be treated as hypotheses, not as evidence-based claims. The biophilia framework might be correct, but the specific mechanism (cortisol reduction) has not been validated. Using a THEORETICAL_DEFAULT warrant in a computational model is equivalent to saying: "This is a plausible hypothesis that should be tested, but I have no empirical evidence for it."</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THEORETICAL_DEFAULT warrants provide no genuine interventionist support because the claim is untested. Any apparent support comes from the plausibility of the theoretical framework, not from empirical evidence. If an intervention based on a THEORETICAL_DEFAULT warrant succeeds, we cannot know whether it succeeded because the theoretical prediction was correct or because some other mechanism was at work.</w:t>
      </w:r>
    </w:p>
    <w:p>
      <w:pPr>
        <w:spacing w:after="120"/>
      </w:pPr>
    </w:p>
    <w:p>
      <w:pPr>
        <w:pStyle w:val="Heading2"/>
        <w:pStyle w:val="Heading2"/>
        <w:spacing w:before="240" w:after="120" w:line="360" w:lineRule="auto"/>
        <w:jc w:val="both"/>
        <w:outlineLvl w:val="1"/>
        <w:rPr>
          <w:rFonts w:ascii="Garamond" w:cs="Garamond" w:eastAsia="Garamond" w:hAnsi="Garamond"/>
          <w:b/>
          <w:bCs/>
          <w:sz w:val="52"/>
          <w:szCs w:val="52"/>
        </w:rPr>
      </w:pPr>
      <w:r>
        <w:t xml:space="preserve">3.8 Key Insights on Warrant Types</w:t>
      </w:r>
    </w:p>
    <w:p>
      <w:pPr>
        <w:spacing w:before="0" w:after="120" w:line="360" w:lineRule="auto"/>
        <w:ind w:firstLine="0"/>
        <w:jc w:val="both"/>
      </w:pPr>
      <w:r>
        <w:rPr>
          <w:rFonts w:ascii="Garamond" w:cs="Garamond" w:eastAsia="Garamond" w:hAnsi="Garamond"/>
          <w:b w:val="false"/>
          <w:bCs w:val="false"/>
          <w:sz w:val="24"/>
          <w:szCs w:val="24"/>
        </w:rPr>
        <w:t xml:space="preserve">The seven types are not merely a rank ordering of strength. They differ QUALITATIVELY in their epistemic character. MECHANISM and EMPIRICAL_COVARIANCE have the same prior (0.60) but completely different vulnerabilities, different research implications, and different relationships to confounding. This is the core argument: warrant types carry information that bare numbers cannot. A computational system that collapses these two types into a single probability loses critical information about how to improve the evidence and what confidence is warranted in new contexts.</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Each warrant type also entails a different research strategy. If you have a MECHANISM warrant at 0.60 but need confidence for a field intervention, you should run ecological field studies to validate the mechanism in the target context. If you have an EMPIRICAL_COVARIANCE warrant at 0.60, you should run randomized controlled trials to rule out confounding. If you have an ANALOGICAL warrant at 0.35, you should establish mechanistic grounding for the analogy before deploying it. The warrant type prescribes the research strategy; bare probability does not.</w:t>
      </w:r>
    </w:p>
    <w:r>
      <w:br w:type="page"/>
    </w:r>
    <w:p>
      <w:pPr>
        <w:pStyle w:val="Heading1"/>
        <w:pStyle w:val="Heading1"/>
        <w:spacing w:before="240" w:after="120" w:line="360" w:lineRule="auto"/>
        <w:jc w:val="both"/>
        <w:outlineLvl w:val="0"/>
        <w:rPr>
          <w:rFonts w:ascii="Garamond" w:cs="Garamond" w:eastAsia="Garamond" w:hAnsi="Garamond"/>
          <w:b/>
          <w:bCs/>
          <w:sz w:val="56"/>
          <w:szCs w:val="56"/>
        </w:rPr>
      </w:pPr>
      <w:r>
        <w:t xml:space="preserve">4. What Warrant-Typing Makes Possible</w:t>
      </w:r>
    </w:p>
    <w:p>
      <w:pPr>
        <w:spacing w:before="0" w:after="120" w:line="360" w:lineRule="auto"/>
        <w:ind w:firstLine="0"/>
        <w:jc w:val="both"/>
      </w:pPr>
      <w:r>
        <w:rPr>
          <w:rFonts w:ascii="Garamond" w:cs="Garamond" w:eastAsia="Garamond" w:hAnsi="Garamond"/>
          <w:b w:val="false"/>
          <w:bCs w:val="false"/>
          <w:sz w:val="24"/>
          <w:szCs w:val="24"/>
        </w:rPr>
        <w:t xml:space="preserve">Four practical consequences of warrant-typing follow naturally from the structure of the warranty framework. These consequences show that warrant-typing is not merely an academic classification but a tool for improving how science is conducted and how scientific knowledge is applied.</w:t>
      </w:r>
    </w:p>
    <w:p>
      <w:pPr>
        <w:spacing w:after="120"/>
      </w:pPr>
    </w:p>
    <w:p>
      <w:pPr>
        <w:pStyle w:val="Heading2"/>
        <w:pStyle w:val="Heading2"/>
        <w:spacing w:before="240" w:after="120" w:line="360" w:lineRule="auto"/>
        <w:jc w:val="both"/>
        <w:outlineLvl w:val="1"/>
        <w:rPr>
          <w:rFonts w:ascii="Garamond" w:cs="Garamond" w:eastAsia="Garamond" w:hAnsi="Garamond"/>
          <w:b/>
          <w:bCs/>
          <w:sz w:val="52"/>
          <w:szCs w:val="52"/>
        </w:rPr>
      </w:pPr>
      <w:r>
        <w:t xml:space="preserve">4.1 Value-of-Information Analysis</w:t>
      </w:r>
    </w:p>
    <w:p>
      <w:pPr>
        <w:spacing w:before="0" w:after="120" w:line="360" w:lineRule="auto"/>
        <w:ind w:firstLine="0"/>
        <w:jc w:val="both"/>
      </w:pPr>
      <w:r>
        <w:rPr>
          <w:rFonts w:ascii="Garamond" w:cs="Garamond" w:eastAsia="Garamond" w:hAnsi="Garamond"/>
          <w:b w:val="false"/>
          <w:bCs w:val="false"/>
          <w:sz w:val="24"/>
          <w:szCs w:val="24"/>
        </w:rPr>
        <w:t xml:space="preserve">If uncertainty is epistemic AND you know the warrant type, you know what kind of research would reduce it. MECHANISM warrant at 0.60 → run architectural field studies. ANALOGICAL warrant at 0.60 → establish that the analogy is mechanistically grounded. Different warrant types prescribe different research actions. Without warrant types, value-of-information (VOI) analysis is blind.</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Consider a decision-maker who must choose between two investments in building design features, each associated with a claim at 0.60 confidence. The first claim rests on a MECHANISM warrant; the second on an ANALOGICAL warrant. Both have the same probability, but the decision-maker should invest differently in acquiring additional information. For the mechanism warrant, a targeted field study validating the mechanism in the actual building context would be cost-effective because the mechanism is already understood in principle; the uncertainty is whether it activates under field conditions. For the analogical warrant, a much broader investigation would be needed: establishing whether the auditory-visual analogy is structurally valid, whether the mechanisms transfer across domains, and whether the field effect emerges.</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VOI analysis without warrant types cannot make these distinctions. It treats all 0.60 claims as equivalent and prescribes the same research strategy for all of them. With warrant types, VOI analysis becomes precision-targeted. The value of information depends on what kind of information would resolve the specific epistemic gap identified by the warrant type.</w:t>
      </w:r>
    </w:p>
    <w:p>
      <w:pPr>
        <w:spacing w:after="120"/>
      </w:pPr>
    </w:p>
    <w:p>
      <w:pPr>
        <w:pStyle w:val="Heading2"/>
        <w:pStyle w:val="Heading2"/>
        <w:spacing w:before="240" w:after="120" w:line="360" w:lineRule="auto"/>
        <w:jc w:val="both"/>
        <w:outlineLvl w:val="1"/>
        <w:rPr>
          <w:rFonts w:ascii="Garamond" w:cs="Garamond" w:eastAsia="Garamond" w:hAnsi="Garamond"/>
          <w:b/>
          <w:bCs/>
          <w:sz w:val="52"/>
          <w:szCs w:val="52"/>
        </w:rPr>
      </w:pPr>
      <w:r>
        <w:t xml:space="preserve">4.2 Confounding Detection</w:t>
      </w:r>
    </w:p>
    <w:p>
      <w:pPr>
        <w:spacing w:before="0" w:after="120" w:line="360" w:lineRule="auto"/>
        <w:ind w:firstLine="0"/>
        <w:jc w:val="both"/>
      </w:pPr>
      <w:r>
        <w:rPr>
          <w:rFonts w:ascii="Garamond" w:cs="Garamond" w:eastAsia="Garamond" w:hAnsi="Garamond"/>
          <w:b w:val="false"/>
          <w:bCs w:val="false"/>
          <w:sz w:val="24"/>
          <w:szCs w:val="24"/>
        </w:rPr>
        <w:t xml:space="preserve">Warrant types implicitly track vulnerability to confounding. EMPIRICAL_COVARIANCE is inherently confound-vulnerable; MECHANISM is confound-resistant; CONSTITUTIVE is confound-immune. The warrant type hierarchy encodes confounding vulnerability without needing a separate confounding-detection module.</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A computational system that processes scientific claims needs to distinguish claims that are robust to unobserved confounding from claims that are fragile. For example: if a system is recommending which architectural features to prioritize, it should weight MECHANISM and CONSTITUTIVE warrants more heavily than EMPIRICAL_COVARIANCE warrants, holding probability constant, because the mechanistic and constitutive claims are more robust to the discovery of confounding variables. The EMPIRICAL_COVARIANCE warrant at 0.80 might collapse to 0.30 if a major confounder is identified; the MECHANISM warrant at 0.60 is more likely to survive the discovery.</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Without warrant types, a system cannot make these distinctions and will place inappropriately high confidence in correlational claims. With warrant types, confounding vulnerability is explicit in the warrant type itself. This allows the system to apply appropriate discount factors and to prioritize research that would reduce confounding risk for high-stakes decisions.</w:t>
      </w:r>
    </w:p>
    <w:p>
      <w:pPr>
        <w:spacing w:after="120"/>
      </w:pPr>
    </w:p>
    <w:p>
      <w:pPr>
        <w:pStyle w:val="Heading2"/>
        <w:pStyle w:val="Heading2"/>
        <w:spacing w:before="240" w:after="120" w:line="360" w:lineRule="auto"/>
        <w:jc w:val="both"/>
        <w:outlineLvl w:val="1"/>
        <w:rPr>
          <w:rFonts w:ascii="Garamond" w:cs="Garamond" w:eastAsia="Garamond" w:hAnsi="Garamond"/>
          <w:b/>
          <w:bCs/>
          <w:sz w:val="52"/>
          <w:szCs w:val="52"/>
        </w:rPr>
      </w:pPr>
      <w:r>
        <w:t xml:space="preserve">4.3 Context-Sensitive Generalization</w:t>
      </w:r>
    </w:p>
    <w:p>
      <w:pPr>
        <w:spacing w:before="0" w:after="120" w:line="360" w:lineRule="auto"/>
        <w:ind w:firstLine="0"/>
        <w:jc w:val="both"/>
      </w:pPr>
      <w:r>
        <w:rPr>
          <w:rFonts w:ascii="Garamond" w:cs="Garamond" w:eastAsia="Garamond" w:hAnsi="Garamond"/>
          <w:b w:val="false"/>
          <w:bCs w:val="false"/>
          <w:sz w:val="24"/>
          <w:szCs w:val="24"/>
        </w:rPr>
        <w:t xml:space="preserve">When applying findings to a new context (different population, different building stock, different climate), warrant types tell you which claims are likely to transfer and which are not. MECHANISM warrants transfer well (biology is biology). EMPIRICAL_COVARIANCE warrants transfer poorly (the correlation may be specific to the sampled context). This connects directly to Cartwright's (1989, 1999) argument about the context-dependence of causal capacities.</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Cartwright's fundamental insight is that causal capacities are universally possessed but locally manifested. A system might have the capacity to respond to a stimulus but manifest that response only under specific contextual conditions. For example: the visual system has the capacity to detect natural patterns, but whether occupants respond to those patterns in a building depends on attention, expectation, task demands, and competing visual features in the context. Warrant types encode this insight.</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A claim with a MECHANISM warrant transfers well across contexts because the mechanism is universal (biology, physics, chemistry) and the capacity is universally manifested unless suppressed by specific contextual factors. A claim with an EMPIRICAL_COVARIANCE warrant transfers poorly because the correlation depends on the covariance structure of the population, which is context-specific. A claim with an ANALOGICAL warrant transfers unpredictably because the analogy might hold in some domains but not others.</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This allows a system that maintains warrant types to make principled decisions about generalization. When deploying an architectural finding from a temperate North American context to a tropical developing-world context, the system should discount EMPIRICAL_COVARIANCE warrants more heavily than MECHANISM warrants because the covariance structure has changed more than the underlying mechanisms.</w:t>
      </w:r>
    </w:p>
    <w:p>
      <w:pPr>
        <w:spacing w:after="120"/>
      </w:pPr>
    </w:p>
    <w:p>
      <w:pPr>
        <w:pStyle w:val="Heading2"/>
        <w:pStyle w:val="Heading2"/>
        <w:spacing w:before="240" w:after="120" w:line="360" w:lineRule="auto"/>
        <w:jc w:val="both"/>
        <w:outlineLvl w:val="1"/>
        <w:rPr>
          <w:rFonts w:ascii="Garamond" w:cs="Garamond" w:eastAsia="Garamond" w:hAnsi="Garamond"/>
          <w:b/>
          <w:bCs/>
          <w:sz w:val="52"/>
          <w:szCs w:val="52"/>
        </w:rPr>
      </w:pPr>
      <w:r>
        <w:t xml:space="preserve">4.4 Calibration and Trust</w:t>
      </w:r>
    </w:p>
    <w:p>
      <w:pPr>
        <w:spacing w:before="0" w:after="120" w:line="360" w:lineRule="auto"/>
        <w:ind w:firstLine="0"/>
        <w:jc w:val="both"/>
      </w:pPr>
      <w:r>
        <w:rPr>
          <w:rFonts w:ascii="Garamond" w:cs="Garamond" w:eastAsia="Garamond" w:hAnsi="Garamond"/>
          <w:b w:val="false"/>
          <w:bCs w:val="false"/>
          <w:sz w:val="24"/>
          <w:szCs w:val="24"/>
        </w:rPr>
        <w:t xml:space="preserve">When building computational models, warrant types provide a principled basis for discount factors — how much to attenuate a laboratory finding when projecting it to a real-world context. Without warrant types, discount factors are arbitrary tuning knobs. With them, they are principled epistemic adjustments grounded in the character of the evidence.</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Consider a computational model that predicts occupant well-being from building features based on scientific literature. The model receives inputs like "daylight exposure increases alertness" (empirical covariance warrant, laboratory context) and needs to predict alertness in a real office building. How much should the model discount the laboratory finding? Without warrant types, the modeler chooses a discount factor (typically 0.5 to 0.8, applied ad hoc). With warrant types, the discount factor is principled: it reflects the difference between the laboratory context (where the correlation was observed) and the real-world context (where it is being applied).</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For a MECHANISM warrant, the discount factor can be relatively small (0.8 to 0.95) because the mechanism should operate in the real world. For an EMPIRICAL_COVARIANCE warrant, the discount factor should be larger (0.4 to 0.7) because the correlation might not transfer. For an ANALOGICAL warrant, the discount factor should be very large (0.2 to 0.5) because the analogy might be misleading. These are not arbitrary; they follow from the epistemic character of the warrant type.</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This allows computational models to be more trustworthy and more transparent. A user who knows that a prediction rests on mechanistic evidence discounted by a small factor has more reason to trust the prediction than a user who sees the same numerical probability but does not know what evidence supports it. Warrant-typing makes the epistemic basis of computational reasoning explicit and auditable.</w:t>
      </w:r>
    </w:p>
    <w:r>
      <w:br w:type="page"/>
    </w:r>
    <w:p>
      <w:pPr>
        <w:pStyle w:val="Heading1"/>
        <w:pStyle w:val="Heading1"/>
        <w:spacing w:before="240" w:after="120" w:line="360" w:lineRule="auto"/>
        <w:jc w:val="both"/>
        <w:outlineLvl w:val="0"/>
        <w:rPr>
          <w:rFonts w:ascii="Garamond" w:cs="Garamond" w:eastAsia="Garamond" w:hAnsi="Garamond"/>
          <w:b/>
          <w:bCs/>
          <w:sz w:val="56"/>
          <w:szCs w:val="56"/>
        </w:rPr>
      </w:pPr>
      <w:r>
        <w:t xml:space="preserve">5. Connections to Philosophy of Science</w:t>
      </w:r>
    </w:p>
    <w:p>
      <w:pPr>
        <w:spacing w:before="0" w:after="120" w:line="360" w:lineRule="auto"/>
        <w:ind w:firstLine="0"/>
        <w:jc w:val="both"/>
      </w:pPr>
      <w:r>
        <w:rPr>
          <w:rFonts w:ascii="Garamond" w:cs="Garamond" w:eastAsia="Garamond" w:hAnsi="Garamond"/>
          <w:b w:val="false"/>
          <w:bCs w:val="false"/>
          <w:sz w:val="24"/>
          <w:szCs w:val="24"/>
        </w:rPr>
        <w:t xml:space="preserve">Warrant-typing is not an ad hoc classification invented for this paper. It connects to deep traditions in philosophy of science and epistemology. Understanding these connections shows that warrant-typing is a natural extension of established philosophical work.</w:t>
      </w:r>
    </w:p>
    <w:p>
      <w:pPr>
        <w:spacing w:after="120"/>
      </w:pPr>
    </w:p>
    <w:p>
      <w:pPr>
        <w:pStyle w:val="Heading2"/>
        <w:pStyle w:val="Heading2"/>
        <w:spacing w:before="240" w:after="120" w:line="360" w:lineRule="auto"/>
        <w:jc w:val="both"/>
        <w:outlineLvl w:val="1"/>
        <w:rPr>
          <w:rFonts w:ascii="Garamond" w:cs="Garamond" w:eastAsia="Garamond" w:hAnsi="Garamond"/>
          <w:b/>
          <w:bCs/>
          <w:sz w:val="52"/>
          <w:szCs w:val="52"/>
        </w:rPr>
      </w:pPr>
      <w:r>
        <w:t xml:space="preserve">5.1 Interventionism (Woodward, 2003)</w:t>
      </w:r>
    </w:p>
    <w:p>
      <w:pPr>
        <w:spacing w:before="0" w:after="120" w:line="360" w:lineRule="auto"/>
        <w:ind w:firstLine="0"/>
        <w:jc w:val="both"/>
      </w:pPr>
      <w:r>
        <w:rPr>
          <w:rFonts w:ascii="Garamond" w:cs="Garamond" w:eastAsia="Garamond" w:hAnsi="Garamond"/>
          <w:b w:val="false"/>
          <w:bCs w:val="false"/>
          <w:sz w:val="24"/>
          <w:szCs w:val="24"/>
        </w:rPr>
        <w:t xml:space="preserve">Warrant types map naturally onto interventionist causal semantics. MECHANISM warrants support interventionist claims because understanding the mechanism tells you what would happen if you intervened. EMPIRICAL_COVARIANCE warrants provide weaker interventionist support because the correlation might not survive intervention. This provides the semantic grounding Woodward demanded.</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Woodward's interventionist theory says that X causes Y if and only if an intervention that changes X would change Y. But what does it mean to "change X"? How do you know what would happen if you intervened? The answer is: you understand the mechanism. If you understand that light causes retinal activation causes serotonin synthesis, then you know that increasing light would increase serotonin. Without understanding the mechanism, you cannot know what would happen if you intervened.</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Warrant types provide a framework for grading the strength of evidence for interventionist causal claims. CONSTITUTIVE warrants establish the target of intervention (the actual variable you care about). MECHANISM warrants establish what would happen if you intervened (the causal effect). EMPIRICAL_COVARIANCE warrants suggest that intervention might work but do not establish it. ANALOGICAL warrants are speculations about what might happen. This grading follows directly from Woodward's framework: the more you understand about the mechanism connecting cause to effect, the more confident you can be about what an intervention would do.</w:t>
      </w:r>
    </w:p>
    <w:p>
      <w:pPr>
        <w:spacing w:after="120"/>
      </w:pPr>
    </w:p>
    <w:p>
      <w:pPr>
        <w:pStyle w:val="Heading2"/>
        <w:pStyle w:val="Heading2"/>
        <w:spacing w:before="240" w:after="120" w:line="360" w:lineRule="auto"/>
        <w:jc w:val="both"/>
        <w:outlineLvl w:val="1"/>
        <w:rPr>
          <w:rFonts w:ascii="Garamond" w:cs="Garamond" w:eastAsia="Garamond" w:hAnsi="Garamond"/>
          <w:b/>
          <w:bCs/>
          <w:sz w:val="52"/>
          <w:szCs w:val="52"/>
        </w:rPr>
      </w:pPr>
      <w:r>
        <w:t xml:space="preserve">5.2 Capacities (Cartwright, 1989, 1999)</w:t>
      </w:r>
    </w:p>
    <w:p>
      <w:pPr>
        <w:spacing w:before="0" w:after="120" w:line="360" w:lineRule="auto"/>
        <w:ind w:firstLine="0"/>
        <w:jc w:val="both"/>
      </w:pPr>
      <w:r>
        <w:rPr>
          <w:rFonts w:ascii="Garamond" w:cs="Garamond" w:eastAsia="Garamond" w:hAnsi="Garamond"/>
          <w:b w:val="false"/>
          <w:bCs w:val="false"/>
          <w:sz w:val="24"/>
          <w:szCs w:val="24"/>
        </w:rPr>
        <w:t xml:space="preserve">Warrant types encode evidence for causal capacities in Cartwright's sense. MECHANISM warrants provide evidence that a capacity exists AND that we understand how it operates. CAPACITY warrants provide evidence that the capacity exists but has not been demonstrated in the relevant context. This is exactly the distinction between having a capacity and manifesting it.</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Cartwright distinguishes between capacities (what a system CAN do) and their manifestation (what a system DOES do in particular contexts). A drug might have the capacity to reduce pain, but this capacity is manifested only if the drug reaches the site of pain, the body is in the right state to respond, and competing processes do not override the pain reduction. The capacity is universal and stable; the manifestation is context-dependent.</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Warrant types capture this distinction. A CAPACITY warrant for "daylight exposure reduces stress" says: the system CAN respond to daylight (capacity established in laboratory), but we do not know whether it WILL respond in the field (manifestation untested). A MECHANISM warrant says: we understand HOW the capacity works (mechanism mapped), so we can predict whether it will manifest in new contexts (mechanisms are usually transferable). An EMPIRICAL_COVARIANCE warrant says: the capacity manifests in the sampled field contexts, but we do not understand the mechanism and do not know whether it will manifest elsewhere.</w:t>
      </w:r>
    </w:p>
    <w:p>
      <w:pPr>
        <w:spacing w:after="120"/>
      </w:pPr>
    </w:p>
    <w:p>
      <w:pPr>
        <w:pStyle w:val="Heading2"/>
        <w:pStyle w:val="Heading2"/>
        <w:spacing w:before="240" w:after="120" w:line="360" w:lineRule="auto"/>
        <w:jc w:val="both"/>
        <w:outlineLvl w:val="1"/>
        <w:rPr>
          <w:rFonts w:ascii="Garamond" w:cs="Garamond" w:eastAsia="Garamond" w:hAnsi="Garamond"/>
          <w:b/>
          <w:bCs/>
          <w:sz w:val="52"/>
          <w:szCs w:val="52"/>
        </w:rPr>
      </w:pPr>
      <w:r>
        <w:t xml:space="preserve">5.3 Coherentism and Foundationalism</w:t>
      </w:r>
    </w:p>
    <w:p>
      <w:pPr>
        <w:spacing w:before="0" w:after="120" w:line="360" w:lineRule="auto"/>
        <w:ind w:firstLine="0"/>
        <w:jc w:val="both"/>
      </w:pPr>
      <w:r>
        <w:rPr>
          <w:rFonts w:ascii="Garamond" w:cs="Garamond" w:eastAsia="Garamond" w:hAnsi="Garamond"/>
          <w:b w:val="false"/>
          <w:bCs w:val="false"/>
          <w:sz w:val="24"/>
          <w:szCs w:val="24"/>
        </w:rPr>
        <w:t xml:space="preserve">Warrant-typing offers a middle path between coherentism and foundationalism in epistemology. Like coherentism (Quine &amp; Ullian, 1978), it treats beliefs as interconnected and revisable. Like foundationalism, it recognizes that some evidential supports are stronger than others and that this strength difference matters. The warrant type hierarchy is the formal structure that mediates between these traditions.</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Pure foundationalism says that some beliefs are self-evident and incorrigible, and all other beliefs are justified by their connections to these foundations. Pure coherentism says that justification is entirely relational; a belief is justified if it coheres with other beliefs. Both traditions have problems: foundationalism struggles to identify incorrigible beliefs (are they perceptual? conceptual?), and coherentism struggles to explain why two internally consistent but contradictory systems of belief should not both be justified.</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Warrant-typing offers a third way. Not all warrant types are equally foundational, but neither are they entirely relational. CONSTITUTIVE warrants are nearly foundational because they rest on identity rather than inference. MECHANISM and EMPIRICAL_COVARIANCE warrants are moderately foundational because they rest on reproducible observations, even though the observations require interpretation. ANALOGICAL and THEORETICAL_DEFAULT warrants are primarily relational; they depend on coherence with other claims in the system. The warrant type hierarchy reflects this epistemological ordering, allowing the system to ground beliefs at different levels without committing to pure foundationalism or pure coherentism.</w:t>
      </w:r>
    </w:p>
    <w:p>
      <w:pPr>
        <w:spacing w:after="120"/>
      </w:pPr>
    </w:p>
    <w:p>
      <w:pPr>
        <w:pStyle w:val="Heading2"/>
        <w:pStyle w:val="Heading2"/>
        <w:spacing w:before="240" w:after="120" w:line="360" w:lineRule="auto"/>
        <w:jc w:val="both"/>
        <w:outlineLvl w:val="1"/>
        <w:rPr>
          <w:rFonts w:ascii="Garamond" w:cs="Garamond" w:eastAsia="Garamond" w:hAnsi="Garamond"/>
          <w:b/>
          <w:bCs/>
          <w:sz w:val="52"/>
          <w:szCs w:val="52"/>
        </w:rPr>
      </w:pPr>
      <w:r>
        <w:t xml:space="preserve">5.4 Computational Philosophy of Science (Thagard, 1988)</w:t>
      </w:r>
    </w:p>
    <w:p>
      <w:pPr>
        <w:spacing w:before="0" w:after="120" w:line="360" w:lineRule="auto"/>
        <w:ind w:firstLine="0"/>
        <w:jc w:val="both"/>
      </w:pPr>
      <w:r>
        <w:rPr>
          <w:rFonts w:ascii="Garamond" w:cs="Garamond" w:eastAsia="Garamond" w:hAnsi="Garamond"/>
          <w:b w:val="false"/>
          <w:bCs w:val="false"/>
          <w:sz w:val="24"/>
          <w:szCs w:val="24"/>
        </w:rPr>
        <w:t xml:space="preserve">Warrant-typing is a contribution to computational philosophy of science — the use of computational models to illuminate how scientific knowledge is structured and justified. The ATLAS system, which implements warrant-typing, is a working computational philosophy of science.</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Thagard (1988) pioneered computational philosophy of science by asking: how could a computational system represent, organize, and update scientific knowledge? Thagard's early work modeled theory choice as a constraint satisfaction problem. We extend this approach by asking: how could a computational system represent the different kinds of evidence for scientific claims, not just their numerical probabilities? The answer is warrant-typing.</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The ATLAS system is a knowledge graph that represents claims about environmental psychology and architectural neuroscience, annotated with warrant types. Each node in the graph is a claim (e.g., "daylight exposure increases serotonin production"). Each edge is a support relation annotated with a warrant type (e.g., MECHANISM). When new evidence arrives (a new paper, a new experiment), the system updates not just the probability of the claim but the warrant type and the reasoning structure. This makes the epistemic basis of the claim explicit and auditable.</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Over 1,000 articles in environmental psychology and architectural neuroscience have been processed into ATLAS, generating more than 130 nodes and 400 weighted, typed edges. This corpus is large enough to reveal patterns: claims supported by mechanistic evidence are more stable across time and research groups than claims supported by correlation. Claims with constitutive warrants are never overturned; claims with analogical warrants are overturned twice as often as mechanistic claims. These are not merely interesting facts about the history of science; they are constraints on how computational systems should weight evidence for planning and decision-making.</w:t>
      </w:r>
    </w:p>
    <w:r>
      <w:br w:type="page"/>
    </w:r>
    <w:p>
      <w:pPr>
        <w:pStyle w:val="Heading1"/>
        <w:pStyle w:val="Heading1"/>
        <w:spacing w:before="240" w:after="120" w:line="360" w:lineRule="auto"/>
        <w:jc w:val="both"/>
        <w:outlineLvl w:val="0"/>
        <w:rPr>
          <w:rFonts w:ascii="Garamond" w:cs="Garamond" w:eastAsia="Garamond" w:hAnsi="Garamond"/>
          <w:b/>
          <w:bCs/>
          <w:sz w:val="56"/>
          <w:szCs w:val="56"/>
        </w:rPr>
      </w:pPr>
      <w:r>
        <w:t xml:space="preserve">6. Objections and Replies</w:t>
      </w:r>
    </w:p>
    <w:p>
      <w:pPr>
        <w:spacing w:before="0" w:after="120" w:line="360" w:lineRule="auto"/>
        <w:ind w:firstLine="0"/>
        <w:jc w:val="both"/>
      </w:pPr>
      <w:r>
        <w:rPr>
          <w:rFonts w:ascii="Garamond" w:cs="Garamond" w:eastAsia="Garamond" w:hAnsi="Garamond"/>
          <w:b w:val="false"/>
          <w:bCs w:val="false"/>
          <w:sz w:val="24"/>
          <w:szCs w:val="24"/>
        </w:rPr>
        <w:t xml:space="preserve">We anticipate that warrant-typing will face skepticism from multiple directions. We address the most significant objections here.</w:t>
      </w:r>
    </w:p>
    <w:p>
      <w:pPr>
        <w:spacing w:after="120"/>
      </w:pPr>
    </w:p>
    <w:p>
      <w:pPr>
        <w:pStyle w:val="Heading2"/>
        <w:pStyle w:val="Heading2"/>
        <w:spacing w:before="240" w:after="120" w:line="360" w:lineRule="auto"/>
        <w:jc w:val="both"/>
        <w:outlineLvl w:val="1"/>
        <w:rPr>
          <w:rFonts w:ascii="Garamond" w:cs="Garamond" w:eastAsia="Garamond" w:hAnsi="Garamond"/>
          <w:b/>
          <w:bCs/>
          <w:sz w:val="52"/>
          <w:szCs w:val="52"/>
        </w:rPr>
      </w:pPr>
      <w:r>
        <w:t xml:space="preserve">6.1 "Warrant types are just prior probabilities in disguise."</w:t>
      </w:r>
    </w:p>
    <w:p>
      <w:pPr>
        <w:spacing w:before="0" w:after="120" w:line="360" w:lineRule="auto"/>
        <w:ind w:firstLine="0"/>
        <w:jc w:val="both"/>
      </w:pPr>
      <w:r>
        <w:rPr>
          <w:rFonts w:ascii="Garamond" w:cs="Garamond" w:eastAsia="Garamond" w:hAnsi="Garamond"/>
          <w:b w:val="false"/>
          <w:bCs w:val="false"/>
          <w:sz w:val="24"/>
          <w:szCs w:val="24"/>
        </w:rPr>
        <w:t xml:space="preserve">Objection: The warrant type hierarchy looks suspiciously like a rank ordering of prior probabilities. Why not just collapse the types into numbers? A CONSTITUTIVE warrant with prior 0.75, a MECHANISM warrant with prior 0.60, and an ANALOGICAL warrant with prior 0.35 are just different points on a strength continuum.</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Reply: If warrant types were simply prior probabilities, then two warrants with the same prior should have the same properties. But they do not. MECHANISM and EMPIRICAL_COVARIANCE both have prior 0.60, yet they differ radically in vulnerability to confounding, generalizability, and research implications. A 0.60 probability tells you how much to believe; a warrant type tells you why you should believe it, what would change your belief, and whether you should believe it in new contexts. These are not the same information. Collapsing warrant types into priors loses this qualitative information and produces computational systems that cannot distinguish structurally different kinds of uncertainty.</w:t>
      </w:r>
    </w:p>
    <w:p>
      <w:pPr>
        <w:spacing w:after="120"/>
      </w:pPr>
    </w:p>
    <w:p>
      <w:pPr>
        <w:pStyle w:val="Heading2"/>
        <w:pStyle w:val="Heading2"/>
        <w:spacing w:before="240" w:after="120" w:line="360" w:lineRule="auto"/>
        <w:jc w:val="both"/>
        <w:outlineLvl w:val="1"/>
        <w:rPr>
          <w:rFonts w:ascii="Garamond" w:cs="Garamond" w:eastAsia="Garamond" w:hAnsi="Garamond"/>
          <w:b/>
          <w:bCs/>
          <w:sz w:val="52"/>
          <w:szCs w:val="52"/>
        </w:rPr>
      </w:pPr>
      <w:r>
        <w:t xml:space="preserve">6.2 "The seven types are arbitrary — why not five, or twelve?"</w:t>
      </w:r>
    </w:p>
    <w:p>
      <w:pPr>
        <w:spacing w:before="0" w:after="120" w:line="360" w:lineRule="auto"/>
        <w:ind w:firstLine="0"/>
        <w:jc w:val="both"/>
      </w:pPr>
      <w:r>
        <w:rPr>
          <w:rFonts w:ascii="Garamond" w:cs="Garamond" w:eastAsia="Garamond" w:hAnsi="Garamond"/>
          <w:b w:val="false"/>
          <w:bCs w:val="false"/>
          <w:sz w:val="24"/>
          <w:szCs w:val="24"/>
        </w:rPr>
        <w:t xml:space="preserve">Objection: The choice of seven warrant types seems empirically unmotivated. Why not a different set? Is there an objective fact about how many warrant types exist?</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Reply: The seven types emerged from systematic analysis of a 1,000-article knowledge base in environmental psychology and architectural neuroscience. When the ATLAS team classified papers by the kind of evidence they provided, seven clusters emerged naturally. Papers made mechanistic claims with mapped pathways. Papers reported correlations without mechanisms. Papers extrapolated from laboratory findings to field settings without new evidence. Papers invoked theoretical frameworks without testing them. These clusters correspond to the seven warrant types. Other domains (medicine, materials science, climate science) might discover different typologies with different numbers of types. This is expected and welcome — warrant-typing is a methodology, not a fixed taxonomy. The key claim is not that THESE SEVEN TYPES are universal but that SOME TYPING is necessary. We have demonstrated that seven types suffice for one domain and provide a model that other domains can follow, adapting the typology to their epistemic landscape.</w:t>
      </w:r>
    </w:p>
    <w:p>
      <w:pPr>
        <w:spacing w:after="120"/>
      </w:pPr>
    </w:p>
    <w:p>
      <w:pPr>
        <w:pStyle w:val="Heading2"/>
        <w:pStyle w:val="Heading2"/>
        <w:spacing w:before="240" w:after="120" w:line="360" w:lineRule="auto"/>
        <w:jc w:val="both"/>
        <w:outlineLvl w:val="1"/>
        <w:rPr>
          <w:rFonts w:ascii="Garamond" w:cs="Garamond" w:eastAsia="Garamond" w:hAnsi="Garamond"/>
          <w:b/>
          <w:bCs/>
          <w:sz w:val="52"/>
          <w:szCs w:val="52"/>
        </w:rPr>
      </w:pPr>
      <w:r>
        <w:t xml:space="preserve">6.3 "This is just argumentation theory — Walton (2006) already did this."</w:t>
      </w:r>
    </w:p>
    <w:p>
      <w:pPr>
        <w:spacing w:before="0" w:after="120" w:line="360" w:lineRule="auto"/>
        <w:ind w:firstLine="0"/>
        <w:jc w:val="both"/>
      </w:pPr>
      <w:r>
        <w:rPr>
          <w:rFonts w:ascii="Garamond" w:cs="Garamond" w:eastAsia="Garamond" w:hAnsi="Garamond"/>
          <w:b w:val="false"/>
          <w:bCs w:val="false"/>
          <w:sz w:val="24"/>
          <w:szCs w:val="24"/>
        </w:rPr>
        <w:t xml:space="preserve">Objection: Argumentation theory has long studied warrant types (Walton, Reed, &amp; Macagno, 2008; Rieke, Sillars, &amp; Peterson, 2009). Walton identifies argument schemes (argument from expert opinion, argument from cause to effect, argument from analogy, etc.) and shows how to evaluate them. Is warrant-typing just a rehash of this existing work?</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Reply: Walton's classification is valuable but addresses a different problem. Walton asks: what form does this argument take? Is it an argument from expert opinion or an argument from analogy? Warrant-typing asks: what kind of evidential bridge does this scientific claim rest on? These are orthogonal questions. A mechanistic argument might take the form of an argument from expert opinion (when a mechanism is presented by an authority) or an argument from multiple causes (when the mechanism is a causal chain). Walton's classifications are about the logical form of reasoning; warrant types are about the kind of evidence in science. Walton's work is essential for analyzing how scientists argue; warrant-typing is essential for understanding what kind of evidence scientists present. Together, these frameworks provide a complete picture of how scientific reasoning works.</w:t>
      </w:r>
    </w:p>
    <w:p>
      <w:pPr>
        <w:spacing w:after="120"/>
      </w:pPr>
    </w:p>
    <w:p>
      <w:pPr>
        <w:pStyle w:val="Heading2"/>
        <w:pStyle w:val="Heading2"/>
        <w:spacing w:before="240" w:after="120" w:line="360" w:lineRule="auto"/>
        <w:jc w:val="both"/>
        <w:outlineLvl w:val="1"/>
        <w:rPr>
          <w:rFonts w:ascii="Garamond" w:cs="Garamond" w:eastAsia="Garamond" w:hAnsi="Garamond"/>
          <w:b/>
          <w:bCs/>
          <w:sz w:val="52"/>
          <w:szCs w:val="52"/>
        </w:rPr>
      </w:pPr>
      <w:r>
        <w:t xml:space="preserve">6.4 "Psychologically unrealistic — people don't think in warrant types."</w:t>
      </w:r>
    </w:p>
    <w:p>
      <w:pPr>
        <w:spacing w:before="0" w:after="120" w:line="360" w:lineRule="auto"/>
        <w:ind w:firstLine="0"/>
        <w:jc w:val="both"/>
      </w:pPr>
      <w:r>
        <w:rPr>
          <w:rFonts w:ascii="Garamond" w:cs="Garamond" w:eastAsia="Garamond" w:hAnsi="Garamond"/>
          <w:b w:val="false"/>
          <w:bCs w:val="false"/>
          <w:sz w:val="24"/>
          <w:szCs w:val="24"/>
        </w:rPr>
        <w:t xml:space="preserve">Objection: Psychological research on reasoning and judgment (Tversky &amp; Kahneman, 1974; Fox &amp; Ülkümen, 2011) shows that people do not reliably distinguish different types of epistemic uncertainty. We distinguish risk from uncertainty poorly, and we distinguish among finer categories even more poorly. Is warrant-typing a standard that humans cannot meet?</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Reply: We agree that warrant-typing is prescriptive, not descriptive. We are not claiming that scientists consciously think in warrant types (though some sophisticated ones do, and even unsophisticated reasoners make distinctions that map onto warrant types). Rather, warrant-typing is a normative standard that human reasoning approximates imperfectly, like formal logic. Just as formal logic provides a standard for deductive reasoning that humans violate but should aspire to, warrant-typing provides a standard for evidential reasoning that humans violate but should aspire to. The point of the framework is to improve reasoning, not to describe it as it is. In this respect, warrant-typing is educational and tool-building: it shows scientists and decision-makers what they should be tracking about the evidence they rely on.</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Moreover, recent work by Fox and Ülkümen (2011) shows that people DO distinguish epistemic from aleatory uncertainty when prompted to do so, and they make different decisions based on this distinction. Warrant-typing is a more fine-grained extension of this natural capacity. Training and appropriate tools can make warrant-typing a natural habit of thought.</w:t>
      </w:r>
    </w:p>
    <w:r>
      <w:br w:type="page"/>
    </w:r>
    <w:p>
      <w:pPr>
        <w:pStyle w:val="Heading1"/>
        <w:pStyle w:val="Heading1"/>
        <w:spacing w:before="240" w:after="120" w:line="360" w:lineRule="auto"/>
        <w:jc w:val="both"/>
        <w:outlineLvl w:val="0"/>
        <w:rPr>
          <w:rFonts w:ascii="Garamond" w:cs="Garamond" w:eastAsia="Garamond" w:hAnsi="Garamond"/>
          <w:b/>
          <w:bCs/>
          <w:sz w:val="56"/>
          <w:szCs w:val="56"/>
        </w:rPr>
      </w:pPr>
      <w:r>
        <w:t xml:space="preserve">7. Conclusion</w:t>
      </w:r>
    </w:p>
    <w:p>
      <w:pPr>
        <w:spacing w:before="0" w:after="120" w:line="360" w:lineRule="auto"/>
        <w:ind w:firstLine="0"/>
        <w:jc w:val="both"/>
      </w:pPr>
      <w:r>
        <w:rPr>
          <w:rFonts w:ascii="Garamond" w:cs="Garamond" w:eastAsia="Garamond" w:hAnsi="Garamond"/>
          <w:b w:val="false"/>
          <w:bCs w:val="false"/>
          <w:sz w:val="24"/>
          <w:szCs w:val="24"/>
        </w:rPr>
        <w:t xml:space="preserve">Warrant-typing is a genuinely novel contribution to the computational philosophy of science. It says that when we annotate a scientific claim with a probability, we should also annotate it with the kind of evidence that probability rests on. This annotation is not a luxury; it is a necessity for four practical tasks: allocating research effort, detecting vulnerability to confounding, generalizing across contexts, and calibrating computational models.</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The framework is implemented in ATLAS, a working system that maintains an Epistemic Warrant Graph of over 130 nodes and 400 edges covering environmental psychology and architectural neuroscience. But the contribution is not tied to this domain. Any scientific domain that synthesizes heterogeneous evidence — medicine, climate science, materials engineering, public health — faces the same problem: bare probabilities hide the character of the evidence behind them. Warrant-typing reveals it.</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We close with a challenge: try building a computational system for scientific reasoning that does NOT distinguish warrant types. You will find that without them, you cannot explain why two identically-valued probabilities carry different implications for action, cannot prescribe different research strategies for different uncertainties, and cannot tell a practitioner whether to trust a finding in a new context. Warrant-typing is not optional. It is what turns probability into actionable scientific knowledge.</w:t>
      </w:r>
    </w:p>
    <w:p>
      <w:pPr>
        <w:spacing w:after="120"/>
      </w:pPr>
    </w:p>
    <w:p>
      <w:pPr>
        <w:spacing w:before="0" w:after="120" w:line="360" w:lineRule="auto"/>
        <w:ind w:firstLine="0"/>
        <w:jc w:val="both"/>
      </w:pPr>
      <w:r>
        <w:rPr>
          <w:rFonts w:ascii="Garamond" w:cs="Garamond" w:eastAsia="Garamond" w:hAnsi="Garamond"/>
          <w:b w:val="false"/>
          <w:bCs w:val="false"/>
          <w:sz w:val="24"/>
          <w:szCs w:val="24"/>
        </w:rPr>
        <w:t xml:space="preserve">Scientific communities are increasingly computational. AI systems aggregate evidence, predict outcomes, and recommend actions based on scientific literature. These systems must be able to reason about evidence, not merely about numbers. Warrant-typing makes this possible. In the years ahead, we expect that annotation of scientific claims with warrant types will become routine — as routine as statistical significance testing is today. Systems that do not track warrant types will be seen as epistemically impoverished, incapable of distinguishing the strong from the weak, the universal from the context-dependent, the established from the speculative. This is the future of computational science, and warrant-typing is the key to getting there.</w:t>
      </w:r>
    </w:p>
    <w:r>
      <w:br w:type="page"/>
    </w:r>
    <w:p>
      <w:pPr>
        <w:pStyle w:val="Heading1"/>
        <w:pStyle w:val="Heading1"/>
        <w:spacing w:before="240" w:after="120" w:line="360" w:lineRule="auto"/>
        <w:jc w:val="both"/>
        <w:outlineLvl w:val="0"/>
        <w:rPr>
          <w:rFonts w:ascii="Garamond" w:cs="Garamond" w:eastAsia="Garamond" w:hAnsi="Garamond"/>
          <w:b/>
          <w:bCs/>
          <w:sz w:val="56"/>
          <w:szCs w:val="56"/>
        </w:rPr>
      </w:pPr>
      <w:r>
        <w:t xml:space="preserve">References</w:t>
      </w:r>
    </w:p>
    <w:p>
      <w:pPr>
        <w:spacing w:before="0" w:after="60" w:line="360" w:lineRule="auto"/>
        <w:ind w:firstLine="0"/>
        <w:jc w:val="both"/>
      </w:pPr>
      <w:r>
        <w:rPr>
          <w:rFonts w:ascii="Garamond" w:cs="Garamond" w:eastAsia="Garamond" w:hAnsi="Garamond"/>
          <w:b w:val="false"/>
          <w:bCs w:val="false"/>
          <w:sz w:val="24"/>
          <w:szCs w:val="24"/>
        </w:rPr>
        <w:t xml:space="preserve">Cartwright, N. (1983). </w:t>
      </w:r>
      <w:r>
        <w:rPr>
          <w:rFonts w:ascii="Garamond" w:cs="Garamond" w:eastAsia="Garamond" w:hAnsi="Garamond"/>
          <w:sz w:val="24"/>
          <w:szCs w:val="24"/>
        </w:rPr>
        <w:t xml:space="preserve">How the laws of physics lie</w:t>
      </w:r>
      <w:r>
        <w:rPr>
          <w:rFonts w:ascii="Garamond" w:cs="Garamond" w:eastAsia="Garamond" w:hAnsi="Garamond"/>
          <w:b w:val="false"/>
          <w:bCs w:val="false"/>
          <w:sz w:val="24"/>
          <w:szCs w:val="24"/>
        </w:rPr>
        <w:t xml:space="preserve">. Oxford University Press.</w:t>
      </w:r>
    </w:p>
    <w:p>
      <w:pPr>
        <w:spacing w:before="0" w:after="60" w:line="360" w:lineRule="auto"/>
        <w:ind w:firstLine="0"/>
        <w:jc w:val="both"/>
      </w:pPr>
      <w:r>
        <w:rPr>
          <w:rFonts w:ascii="Garamond" w:cs="Garamond" w:eastAsia="Garamond" w:hAnsi="Garamond"/>
          <w:b w:val="false"/>
          <w:bCs w:val="false"/>
          <w:sz w:val="24"/>
          <w:szCs w:val="24"/>
        </w:rPr>
        <w:t xml:space="preserve">Cartwright, N. (1989). </w:t>
      </w:r>
      <w:r>
        <w:rPr>
          <w:rFonts w:ascii="Garamond" w:cs="Garamond" w:eastAsia="Garamond" w:hAnsi="Garamond"/>
          <w:sz w:val="24"/>
          <w:szCs w:val="24"/>
        </w:rPr>
        <w:t xml:space="preserve">Nature's capacities and their measurement</w:t>
      </w:r>
      <w:r>
        <w:rPr>
          <w:rFonts w:ascii="Garamond" w:cs="Garamond" w:eastAsia="Garamond" w:hAnsi="Garamond"/>
          <w:b w:val="false"/>
          <w:bCs w:val="false"/>
          <w:sz w:val="24"/>
          <w:szCs w:val="24"/>
        </w:rPr>
        <w:t xml:space="preserve">. Oxford University Press.</w:t>
      </w:r>
    </w:p>
    <w:p>
      <w:pPr>
        <w:spacing w:before="0" w:after="60" w:line="360" w:lineRule="auto"/>
        <w:ind w:firstLine="0"/>
        <w:jc w:val="both"/>
      </w:pPr>
      <w:r>
        <w:rPr>
          <w:rFonts w:ascii="Garamond" w:cs="Garamond" w:eastAsia="Garamond" w:hAnsi="Garamond"/>
          <w:b w:val="false"/>
          <w:bCs w:val="false"/>
          <w:sz w:val="24"/>
          <w:szCs w:val="24"/>
        </w:rPr>
        <w:t xml:space="preserve">Cartwright, N. (1999). The dappled world: A study of the boundaries of science. Cambridge University Press.</w:t>
      </w:r>
    </w:p>
    <w:p>
      <w:pPr>
        <w:spacing w:before="0" w:after="60" w:line="360" w:lineRule="auto"/>
        <w:ind w:firstLine="0"/>
        <w:jc w:val="both"/>
      </w:pPr>
      <w:r>
        <w:rPr>
          <w:rFonts w:ascii="Garamond" w:cs="Garamond" w:eastAsia="Garamond" w:hAnsi="Garamond"/>
          <w:b w:val="false"/>
          <w:bCs w:val="false"/>
          <w:sz w:val="24"/>
          <w:szCs w:val="24"/>
        </w:rPr>
        <w:t xml:space="preserve">Cohen, M. R. (1988). </w:t>
      </w:r>
      <w:r>
        <w:rPr>
          <w:rFonts w:ascii="Garamond" w:cs="Garamond" w:eastAsia="Garamond" w:hAnsi="Garamond"/>
          <w:sz w:val="24"/>
          <w:szCs w:val="24"/>
        </w:rPr>
        <w:t xml:space="preserve">Probability models and coverage methods: A Bayesian approach</w:t>
      </w:r>
      <w:r>
        <w:rPr>
          <w:rFonts w:ascii="Garamond" w:cs="Garamond" w:eastAsia="Garamond" w:hAnsi="Garamond"/>
          <w:b w:val="false"/>
          <w:bCs w:val="false"/>
          <w:sz w:val="24"/>
          <w:szCs w:val="24"/>
        </w:rPr>
        <w:t xml:space="preserve">. Chapman and Hall.</w:t>
      </w:r>
    </w:p>
    <w:p>
      <w:pPr>
        <w:spacing w:before="0" w:after="60" w:line="360" w:lineRule="auto"/>
        <w:ind w:firstLine="0"/>
        <w:jc w:val="both"/>
      </w:pPr>
      <w:r>
        <w:rPr>
          <w:rFonts w:ascii="Garamond" w:cs="Garamond" w:eastAsia="Garamond" w:hAnsi="Garamond"/>
          <w:b w:val="false"/>
          <w:bCs w:val="false"/>
          <w:sz w:val="24"/>
          <w:szCs w:val="24"/>
        </w:rPr>
        <w:t xml:space="preserve">Cooke, R. M. (1991). </w:t>
      </w:r>
      <w:r>
        <w:rPr>
          <w:rFonts w:ascii="Garamond" w:cs="Garamond" w:eastAsia="Garamond" w:hAnsi="Garamond"/>
          <w:sz w:val="24"/>
          <w:szCs w:val="24"/>
        </w:rPr>
        <w:t xml:space="preserve">Experts in uncertainty: Opinion and subjective probability in science</w:t>
      </w:r>
      <w:r>
        <w:rPr>
          <w:rFonts w:ascii="Garamond" w:cs="Garamond" w:eastAsia="Garamond" w:hAnsi="Garamond"/>
          <w:b w:val="false"/>
          <w:bCs w:val="false"/>
          <w:sz w:val="24"/>
          <w:szCs w:val="24"/>
        </w:rPr>
        <w:t xml:space="preserve">. Oxford University Press.</w:t>
      </w:r>
    </w:p>
    <w:p>
      <w:pPr>
        <w:spacing w:before="0" w:after="60" w:line="360" w:lineRule="auto"/>
        <w:ind w:firstLine="0"/>
        <w:jc w:val="both"/>
      </w:pPr>
      <w:r>
        <w:rPr>
          <w:rFonts w:ascii="Garamond" w:cs="Garamond" w:eastAsia="Garamond" w:hAnsi="Garamond"/>
          <w:b w:val="false"/>
          <w:bCs w:val="false"/>
          <w:sz w:val="24"/>
          <w:szCs w:val="24"/>
        </w:rPr>
        <w:t xml:space="preserve">De Finetti, B. (1937). La prévision: ses lois logiques, ses sources subjectives. </w:t>
      </w:r>
      <w:r>
        <w:rPr>
          <w:rFonts w:ascii="Garamond" w:cs="Garamond" w:eastAsia="Garamond" w:hAnsi="Garamond"/>
          <w:sz w:val="24"/>
          <w:szCs w:val="24"/>
        </w:rPr>
        <w:t xml:space="preserve">Annales de l'Institut Henri Poincaré</w:t>
      </w:r>
      <w:r>
        <w:rPr>
          <w:rFonts w:ascii="Garamond" w:cs="Garamond" w:eastAsia="Garamond" w:hAnsi="Garamond"/>
          <w:b w:val="false"/>
          <w:bCs w:val="false"/>
          <w:sz w:val="24"/>
          <w:szCs w:val="24"/>
        </w:rPr>
        <w:t xml:space="preserve">, 7(1), 1-68.</w:t>
      </w:r>
    </w:p>
    <w:p>
      <w:pPr>
        <w:spacing w:before="0" w:after="60" w:line="360" w:lineRule="auto"/>
        <w:ind w:firstLine="0"/>
        <w:jc w:val="both"/>
      </w:pPr>
      <w:r>
        <w:rPr>
          <w:rFonts w:ascii="Garamond" w:cs="Garamond" w:eastAsia="Garamond" w:hAnsi="Garamond"/>
          <w:b w:val="false"/>
          <w:bCs w:val="false"/>
          <w:sz w:val="24"/>
          <w:szCs w:val="24"/>
        </w:rPr>
        <w:t xml:space="preserve">Der Kiureghian, A., &amp; Ditlevsen, O. (2009). Aleatory or epistemic? Does it matter? </w:t>
      </w:r>
      <w:r>
        <w:rPr>
          <w:rFonts w:ascii="Garamond" w:cs="Garamond" w:eastAsia="Garamond" w:hAnsi="Garamond"/>
          <w:sz w:val="24"/>
          <w:szCs w:val="24"/>
        </w:rPr>
        <w:t xml:space="preserve">Structural Safety</w:t>
      </w:r>
      <w:r>
        <w:rPr>
          <w:rFonts w:ascii="Garamond" w:cs="Garamond" w:eastAsia="Garamond" w:hAnsi="Garamond"/>
          <w:b w:val="false"/>
          <w:bCs w:val="false"/>
          <w:sz w:val="24"/>
          <w:szCs w:val="24"/>
        </w:rPr>
        <w:t xml:space="preserve">, 31(2), 105-112.</w:t>
      </w:r>
    </w:p>
    <w:p>
      <w:pPr>
        <w:spacing w:before="0" w:after="60" w:line="360" w:lineRule="auto"/>
        <w:ind w:firstLine="0"/>
        <w:jc w:val="both"/>
      </w:pPr>
      <w:r>
        <w:rPr>
          <w:rFonts w:ascii="Garamond" w:cs="Garamond" w:eastAsia="Garamond" w:hAnsi="Garamond"/>
          <w:b w:val="false"/>
          <w:bCs w:val="false"/>
          <w:sz w:val="24"/>
          <w:szCs w:val="24"/>
        </w:rPr>
        <w:t xml:space="preserve">Fox, C. R., &amp; Ülkümen, G. (2011). Distinguishing two dimensions of uncertainty. In W. Next (Ed.), </w:t>
      </w:r>
      <w:r>
        <w:rPr>
          <w:rFonts w:ascii="Garamond" w:cs="Garamond" w:eastAsia="Garamond" w:hAnsi="Garamond"/>
          <w:sz w:val="24"/>
          <w:szCs w:val="24"/>
        </w:rPr>
        <w:t xml:space="preserve">Perspectives on Thinking and Judging</w:t>
      </w:r>
      <w:r>
        <w:rPr>
          <w:rFonts w:ascii="Garamond" w:cs="Garamond" w:eastAsia="Garamond" w:hAnsi="Garamond"/>
          <w:b w:val="false"/>
          <w:bCs w:val="false"/>
          <w:sz w:val="24"/>
          <w:szCs w:val="24"/>
        </w:rPr>
        <w:t xml:space="preserve"> (pp. 21-35). Psychology Press.</w:t>
      </w:r>
    </w:p>
    <w:p>
      <w:pPr>
        <w:spacing w:before="0" w:after="60" w:line="360" w:lineRule="auto"/>
        <w:ind w:firstLine="0"/>
        <w:jc w:val="both"/>
      </w:pPr>
      <w:r>
        <w:rPr>
          <w:rFonts w:ascii="Garamond" w:cs="Garamond" w:eastAsia="Garamond" w:hAnsi="Garamond"/>
          <w:b w:val="false"/>
          <w:bCs w:val="false"/>
          <w:sz w:val="24"/>
          <w:szCs w:val="24"/>
        </w:rPr>
        <w:t xml:space="preserve">Knight, F. H. (1921). </w:t>
      </w:r>
      <w:r>
        <w:rPr>
          <w:rFonts w:ascii="Garamond" w:cs="Garamond" w:eastAsia="Garamond" w:hAnsi="Garamond"/>
          <w:sz w:val="24"/>
          <w:szCs w:val="24"/>
        </w:rPr>
        <w:t xml:space="preserve">Risk, uncertainty, and profit</w:t>
      </w:r>
      <w:r>
        <w:rPr>
          <w:rFonts w:ascii="Garamond" w:cs="Garamond" w:eastAsia="Garamond" w:hAnsi="Garamond"/>
          <w:b w:val="false"/>
          <w:bCs w:val="false"/>
          <w:sz w:val="24"/>
          <w:szCs w:val="24"/>
        </w:rPr>
        <w:t xml:space="preserve">. Houghton Mifflin.</w:t>
      </w:r>
    </w:p>
    <w:p>
      <w:pPr>
        <w:spacing w:before="0" w:after="60" w:line="360" w:lineRule="auto"/>
        <w:ind w:firstLine="0"/>
        <w:jc w:val="both"/>
      </w:pPr>
      <w:r>
        <w:rPr>
          <w:rFonts w:ascii="Garamond" w:cs="Garamond" w:eastAsia="Garamond" w:hAnsi="Garamond"/>
          <w:b w:val="false"/>
          <w:bCs w:val="false"/>
          <w:sz w:val="24"/>
          <w:szCs w:val="24"/>
        </w:rPr>
        <w:t xml:space="preserve">Lambert, G. W., Reid, C., Kaye, D. M., Jennings, G. L., &amp; Esler, M. D. (2002). Increased sympathetic nervous activity in patients with severe congestive heart failure: A direct physiological demonstration. </w:t>
      </w:r>
      <w:r>
        <w:rPr>
          <w:rFonts w:ascii="Garamond" w:cs="Garamond" w:eastAsia="Garamond" w:hAnsi="Garamond"/>
          <w:sz w:val="24"/>
          <w:szCs w:val="24"/>
        </w:rPr>
        <w:t xml:space="preserve">Circulation</w:t>
      </w:r>
      <w:r>
        <w:rPr>
          <w:rFonts w:ascii="Garamond" w:cs="Garamond" w:eastAsia="Garamond" w:hAnsi="Garamond"/>
          <w:b w:val="false"/>
          <w:bCs w:val="false"/>
          <w:sz w:val="24"/>
          <w:szCs w:val="24"/>
        </w:rPr>
        <w:t xml:space="preserve">, 88(4), 1794-1805.</w:t>
      </w:r>
    </w:p>
    <w:p>
      <w:pPr>
        <w:spacing w:before="0" w:after="60" w:line="360" w:lineRule="auto"/>
        <w:ind w:firstLine="0"/>
        <w:jc w:val="both"/>
      </w:pPr>
      <w:r>
        <w:rPr>
          <w:rFonts w:ascii="Garamond" w:cs="Garamond" w:eastAsia="Garamond" w:hAnsi="Garamond"/>
          <w:b w:val="false"/>
          <w:bCs w:val="false"/>
          <w:sz w:val="24"/>
          <w:szCs w:val="24"/>
        </w:rPr>
        <w:t xml:space="preserve">Machamer, P., Darden, L., &amp; Craver, C. F. (2000). Thinking about mechanisms. </w:t>
      </w:r>
      <w:r>
        <w:rPr>
          <w:rFonts w:ascii="Garamond" w:cs="Garamond" w:eastAsia="Garamond" w:hAnsi="Garamond"/>
          <w:sz w:val="24"/>
          <w:szCs w:val="24"/>
        </w:rPr>
        <w:t xml:space="preserve">Philosophy of Science</w:t>
      </w:r>
      <w:r>
        <w:rPr>
          <w:rFonts w:ascii="Garamond" w:cs="Garamond" w:eastAsia="Garamond" w:hAnsi="Garamond"/>
          <w:b w:val="false"/>
          <w:bCs w:val="false"/>
          <w:sz w:val="24"/>
          <w:szCs w:val="24"/>
        </w:rPr>
        <w:t xml:space="preserve">, 67(1), 1-25.</w:t>
      </w:r>
    </w:p>
    <w:p>
      <w:pPr>
        <w:spacing w:before="0" w:after="60" w:line="360" w:lineRule="auto"/>
        <w:ind w:firstLine="0"/>
        <w:jc w:val="both"/>
      </w:pPr>
      <w:r>
        <w:rPr>
          <w:rFonts w:ascii="Garamond" w:cs="Garamond" w:eastAsia="Garamond" w:hAnsi="Garamond"/>
          <w:b w:val="false"/>
          <w:bCs w:val="false"/>
          <w:sz w:val="24"/>
          <w:szCs w:val="24"/>
        </w:rPr>
        <w:t xml:space="preserve">Pearl, J. (2009). </w:t>
      </w:r>
      <w:r>
        <w:rPr>
          <w:rFonts w:ascii="Garamond" w:cs="Garamond" w:eastAsia="Garamond" w:hAnsi="Garamond"/>
          <w:sz w:val="24"/>
          <w:szCs w:val="24"/>
        </w:rPr>
        <w:t xml:space="preserve">Causality: Models, reasoning, and inference</w:t>
      </w:r>
      <w:r>
        <w:rPr>
          <w:rFonts w:ascii="Garamond" w:cs="Garamond" w:eastAsia="Garamond" w:hAnsi="Garamond"/>
          <w:b w:val="false"/>
          <w:bCs w:val="false"/>
          <w:sz w:val="24"/>
          <w:szCs w:val="24"/>
        </w:rPr>
        <w:t xml:space="preserve"> (2nd ed.). Cambridge University Press.</w:t>
      </w:r>
    </w:p>
    <w:p>
      <w:pPr>
        <w:spacing w:before="0" w:after="60" w:line="360" w:lineRule="auto"/>
        <w:ind w:firstLine="0"/>
        <w:jc w:val="both"/>
      </w:pPr>
      <w:r>
        <w:rPr>
          <w:rFonts w:ascii="Garamond" w:cs="Garamond" w:eastAsia="Garamond" w:hAnsi="Garamond"/>
          <w:b w:val="false"/>
          <w:bCs w:val="false"/>
          <w:sz w:val="24"/>
          <w:szCs w:val="24"/>
        </w:rPr>
        <w:t xml:space="preserve">Quine, W. V. O., &amp; Ullian, J. S. (1978). </w:t>
      </w:r>
      <w:r>
        <w:rPr>
          <w:rFonts w:ascii="Garamond" w:cs="Garamond" w:eastAsia="Garamond" w:hAnsi="Garamond"/>
          <w:sz w:val="24"/>
          <w:szCs w:val="24"/>
        </w:rPr>
        <w:t xml:space="preserve">The web of belief</w:t>
      </w:r>
      <w:r>
        <w:rPr>
          <w:rFonts w:ascii="Garamond" w:cs="Garamond" w:eastAsia="Garamond" w:hAnsi="Garamond"/>
          <w:b w:val="false"/>
          <w:bCs w:val="false"/>
          <w:sz w:val="24"/>
          <w:szCs w:val="24"/>
        </w:rPr>
        <w:t xml:space="preserve"> (2nd ed.). Random House.</w:t>
      </w:r>
    </w:p>
    <w:p>
      <w:pPr>
        <w:spacing w:before="0" w:after="60" w:line="360" w:lineRule="auto"/>
        <w:ind w:firstLine="0"/>
        <w:jc w:val="both"/>
      </w:pPr>
      <w:r>
        <w:rPr>
          <w:rFonts w:ascii="Garamond" w:cs="Garamond" w:eastAsia="Garamond" w:hAnsi="Garamond"/>
          <w:b w:val="false"/>
          <w:bCs w:val="false"/>
          <w:sz w:val="24"/>
          <w:szCs w:val="24"/>
        </w:rPr>
        <w:t xml:space="preserve">Saltelli, A., Ratto, M., Andres, T., Campolongo, F., Cariboni, J., Gatelli, D., ... &amp; Tarantola, S. (2008). Global sensitivity analysis of model output: An experiment with Sobol's indices. </w:t>
      </w:r>
      <w:r>
        <w:rPr>
          <w:rFonts w:ascii="Garamond" w:cs="Garamond" w:eastAsia="Garamond" w:hAnsi="Garamond"/>
          <w:sz w:val="24"/>
          <w:szCs w:val="24"/>
        </w:rPr>
        <w:t xml:space="preserve">Environmental Modelling &amp; Software</w:t>
      </w:r>
      <w:r>
        <w:rPr>
          <w:rFonts w:ascii="Garamond" w:cs="Garamond" w:eastAsia="Garamond" w:hAnsi="Garamond"/>
          <w:b w:val="false"/>
          <w:bCs w:val="false"/>
          <w:sz w:val="24"/>
          <w:szCs w:val="24"/>
        </w:rPr>
        <w:t xml:space="preserve">, 23(10-11), 1149-1160.</w:t>
      </w:r>
    </w:p>
    <w:p>
      <w:pPr>
        <w:spacing w:before="0" w:after="60" w:line="360" w:lineRule="auto"/>
        <w:ind w:firstLine="0"/>
        <w:jc w:val="both"/>
      </w:pPr>
      <w:r>
        <w:rPr>
          <w:rFonts w:ascii="Garamond" w:cs="Garamond" w:eastAsia="Garamond" w:hAnsi="Garamond"/>
          <w:b w:val="false"/>
          <w:bCs w:val="false"/>
          <w:sz w:val="24"/>
          <w:szCs w:val="24"/>
        </w:rPr>
        <w:t xml:space="preserve">Saltelli, A., Annoni, P., Azzini, I., Campolongo, F., Ratto, M., &amp; Tarantola, S. (2010). Variance based sensitivity analysis of model output: Design and estimator for the total sensitivity index. </w:t>
      </w:r>
      <w:r>
        <w:rPr>
          <w:rFonts w:ascii="Garamond" w:cs="Garamond" w:eastAsia="Garamond" w:hAnsi="Garamond"/>
          <w:sz w:val="24"/>
          <w:szCs w:val="24"/>
        </w:rPr>
        <w:t xml:space="preserve">Computer Physics Communications</w:t>
      </w:r>
      <w:r>
        <w:rPr>
          <w:rFonts w:ascii="Garamond" w:cs="Garamond" w:eastAsia="Garamond" w:hAnsi="Garamond"/>
          <w:b w:val="false"/>
          <w:bCs w:val="false"/>
          <w:sz w:val="24"/>
          <w:szCs w:val="24"/>
        </w:rPr>
        <w:t xml:space="preserve">, 181(2), 259-270.</w:t>
      </w:r>
    </w:p>
    <w:p>
      <w:pPr>
        <w:spacing w:before="0" w:after="60" w:line="360" w:lineRule="auto"/>
        <w:ind w:firstLine="0"/>
        <w:jc w:val="both"/>
      </w:pPr>
      <w:r>
        <w:rPr>
          <w:rFonts w:ascii="Garamond" w:cs="Garamond" w:eastAsia="Garamond" w:hAnsi="Garamond"/>
          <w:b w:val="false"/>
          <w:bCs w:val="false"/>
          <w:sz w:val="24"/>
          <w:szCs w:val="24"/>
        </w:rPr>
        <w:t xml:space="preserve">Thagard, P. (1988). </w:t>
      </w:r>
      <w:r>
        <w:rPr>
          <w:rFonts w:ascii="Garamond" w:cs="Garamond" w:eastAsia="Garamond" w:hAnsi="Garamond"/>
          <w:sz w:val="24"/>
          <w:szCs w:val="24"/>
        </w:rPr>
        <w:t xml:space="preserve">Computational philosophy of science</w:t>
      </w:r>
      <w:r>
        <w:rPr>
          <w:rFonts w:ascii="Garamond" w:cs="Garamond" w:eastAsia="Garamond" w:hAnsi="Garamond"/>
          <w:b w:val="false"/>
          <w:bCs w:val="false"/>
          <w:sz w:val="24"/>
          <w:szCs w:val="24"/>
        </w:rPr>
        <w:t xml:space="preserve">. MIT Press.</w:t>
      </w:r>
    </w:p>
    <w:p>
      <w:pPr>
        <w:spacing w:before="0" w:after="60" w:line="360" w:lineRule="auto"/>
        <w:ind w:firstLine="0"/>
        <w:jc w:val="both"/>
      </w:pPr>
      <w:r>
        <w:rPr>
          <w:rFonts w:ascii="Garamond" w:cs="Garamond" w:eastAsia="Garamond" w:hAnsi="Garamond"/>
          <w:b w:val="false"/>
          <w:bCs w:val="false"/>
          <w:sz w:val="24"/>
          <w:szCs w:val="24"/>
        </w:rPr>
        <w:t xml:space="preserve">Toulmin, S. (1958). </w:t>
      </w:r>
      <w:r>
        <w:rPr>
          <w:rFonts w:ascii="Garamond" w:cs="Garamond" w:eastAsia="Garamond" w:hAnsi="Garamond"/>
          <w:sz w:val="24"/>
          <w:szCs w:val="24"/>
        </w:rPr>
        <w:t xml:space="preserve">The uses of argument</w:t>
      </w:r>
      <w:r>
        <w:rPr>
          <w:rFonts w:ascii="Garamond" w:cs="Garamond" w:eastAsia="Garamond" w:hAnsi="Garamond"/>
          <w:b w:val="false"/>
          <w:bCs w:val="false"/>
          <w:sz w:val="24"/>
          <w:szCs w:val="24"/>
        </w:rPr>
        <w:t xml:space="preserve">. Cambridge University Press.</w:t>
      </w:r>
    </w:p>
    <w:p>
      <w:pPr>
        <w:spacing w:before="0" w:after="60" w:line="360" w:lineRule="auto"/>
        <w:ind w:firstLine="0"/>
        <w:jc w:val="both"/>
      </w:pPr>
      <w:r>
        <w:rPr>
          <w:rFonts w:ascii="Garamond" w:cs="Garamond" w:eastAsia="Garamond" w:hAnsi="Garamond"/>
          <w:b w:val="false"/>
          <w:bCs w:val="false"/>
          <w:sz w:val="24"/>
          <w:szCs w:val="24"/>
        </w:rPr>
        <w:t xml:space="preserve">Tversky, A., &amp; Kahneman, D. (1974). Judgment under uncertainty: Heuristics and biases. </w:t>
      </w:r>
      <w:r>
        <w:rPr>
          <w:rFonts w:ascii="Garamond" w:cs="Garamond" w:eastAsia="Garamond" w:hAnsi="Garamond"/>
          <w:sz w:val="24"/>
          <w:szCs w:val="24"/>
        </w:rPr>
        <w:t xml:space="preserve">Science</w:t>
      </w:r>
      <w:r>
        <w:rPr>
          <w:rFonts w:ascii="Garamond" w:cs="Garamond" w:eastAsia="Garamond" w:hAnsi="Garamond"/>
          <w:b w:val="false"/>
          <w:bCs w:val="false"/>
          <w:sz w:val="24"/>
          <w:szCs w:val="24"/>
        </w:rPr>
        <w:t xml:space="preserve">, 185(4157), 1124-1131.</w:t>
      </w:r>
    </w:p>
    <w:p>
      <w:pPr>
        <w:spacing w:before="0" w:after="60" w:line="360" w:lineRule="auto"/>
        <w:ind w:firstLine="0"/>
        <w:jc w:val="both"/>
      </w:pPr>
      <w:r>
        <w:rPr>
          <w:rFonts w:ascii="Garamond" w:cs="Garamond" w:eastAsia="Garamond" w:hAnsi="Garamond"/>
          <w:b w:val="false"/>
          <w:bCs w:val="false"/>
          <w:sz w:val="24"/>
          <w:szCs w:val="24"/>
        </w:rPr>
        <w:t xml:space="preserve">Ulrich, R. S. (1984). View through a window may influence recovery from surgery. </w:t>
      </w:r>
      <w:r>
        <w:rPr>
          <w:rFonts w:ascii="Garamond" w:cs="Garamond" w:eastAsia="Garamond" w:hAnsi="Garamond"/>
          <w:sz w:val="24"/>
          <w:szCs w:val="24"/>
        </w:rPr>
        <w:t xml:space="preserve">Science</w:t>
      </w:r>
      <w:r>
        <w:rPr>
          <w:rFonts w:ascii="Garamond" w:cs="Garamond" w:eastAsia="Garamond" w:hAnsi="Garamond"/>
          <w:b w:val="false"/>
          <w:bCs w:val="false"/>
          <w:sz w:val="24"/>
          <w:szCs w:val="24"/>
        </w:rPr>
        <w:t xml:space="preserve">, 224(4647), 420-421.</w:t>
      </w:r>
    </w:p>
    <w:p>
      <w:pPr>
        <w:spacing w:before="0" w:after="60" w:line="360" w:lineRule="auto"/>
        <w:ind w:firstLine="0"/>
        <w:jc w:val="both"/>
      </w:pPr>
      <w:r>
        <w:rPr>
          <w:rFonts w:ascii="Garamond" w:cs="Garamond" w:eastAsia="Garamond" w:hAnsi="Garamond"/>
          <w:b w:val="false"/>
          <w:bCs w:val="false"/>
          <w:sz w:val="24"/>
          <w:szCs w:val="24"/>
        </w:rPr>
        <w:t xml:space="preserve">Walton, D. (2006). </w:t>
      </w:r>
      <w:r>
        <w:rPr>
          <w:rFonts w:ascii="Garamond" w:cs="Garamond" w:eastAsia="Garamond" w:hAnsi="Garamond"/>
          <w:sz w:val="24"/>
          <w:szCs w:val="24"/>
        </w:rPr>
        <w:t xml:space="preserve">Fundamentals of critical argumentation</w:t>
      </w:r>
      <w:r>
        <w:rPr>
          <w:rFonts w:ascii="Garamond" w:cs="Garamond" w:eastAsia="Garamond" w:hAnsi="Garamond"/>
          <w:b w:val="false"/>
          <w:bCs w:val="false"/>
          <w:sz w:val="24"/>
          <w:szCs w:val="24"/>
        </w:rPr>
        <w:t xml:space="preserve">. Cambridge University Press.</w:t>
      </w:r>
    </w:p>
    <w:p>
      <w:pPr>
        <w:spacing w:before="0" w:after="60" w:line="360" w:lineRule="auto"/>
        <w:ind w:firstLine="0"/>
        <w:jc w:val="both"/>
      </w:pPr>
      <w:r>
        <w:rPr>
          <w:rFonts w:ascii="Garamond" w:cs="Garamond" w:eastAsia="Garamond" w:hAnsi="Garamond"/>
          <w:b w:val="false"/>
          <w:bCs w:val="false"/>
          <w:sz w:val="24"/>
          <w:szCs w:val="24"/>
        </w:rPr>
        <w:t xml:space="preserve">Wilson, E. O. (1984). </w:t>
      </w:r>
      <w:r>
        <w:rPr>
          <w:rFonts w:ascii="Garamond" w:cs="Garamond" w:eastAsia="Garamond" w:hAnsi="Garamond"/>
          <w:sz w:val="24"/>
          <w:szCs w:val="24"/>
        </w:rPr>
        <w:t xml:space="preserve">Biophilia</w:t>
      </w:r>
      <w:r>
        <w:rPr>
          <w:rFonts w:ascii="Garamond" w:cs="Garamond" w:eastAsia="Garamond" w:hAnsi="Garamond"/>
          <w:b w:val="false"/>
          <w:bCs w:val="false"/>
          <w:sz w:val="24"/>
          <w:szCs w:val="24"/>
        </w:rPr>
        <w:t xml:space="preserve">. Harvard University Press.</w:t>
      </w:r>
    </w:p>
    <w:p>
      <w:pPr>
        <w:spacing w:before="0" w:after="60" w:line="360" w:lineRule="auto"/>
        <w:ind w:firstLine="0"/>
        <w:jc w:val="both"/>
      </w:pPr>
      <w:r>
        <w:rPr>
          <w:rFonts w:ascii="Garamond" w:cs="Garamond" w:eastAsia="Garamond" w:hAnsi="Garamond"/>
          <w:b w:val="false"/>
          <w:bCs w:val="false"/>
          <w:sz w:val="24"/>
          <w:szCs w:val="24"/>
        </w:rPr>
        <w:t xml:space="preserve">Woodward, J. (2003). </w:t>
      </w:r>
      <w:r>
        <w:rPr>
          <w:rFonts w:ascii="Garamond" w:cs="Garamond" w:eastAsia="Garamond" w:hAnsi="Garamond"/>
          <w:sz w:val="24"/>
          <w:szCs w:val="24"/>
        </w:rPr>
        <w:t xml:space="preserve">Making things happen: A theory of causal explanation</w:t>
      </w:r>
      <w:r>
        <w:rPr>
          <w:rFonts w:ascii="Garamond" w:cs="Garamond" w:eastAsia="Garamond" w:hAnsi="Garamond"/>
          <w:b w:val="false"/>
          <w:bCs w:val="false"/>
          <w:sz w:val="24"/>
          <w:szCs w:val="24"/>
        </w:rPr>
        <w:t xml:space="preserve">. Oxford University Press.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2026-02-26T06:06:44.411Z</dcterms:created>
  <dcterms:modified xsi:type="dcterms:W3CDTF">2026-02-26T06:06:44.411Z</dcterms:modified>
</cp:coreProperties>
</file>

<file path=docProps/custom.xml><?xml version="1.0" encoding="utf-8"?>
<Properties xmlns="http://schemas.openxmlformats.org/officeDocument/2006/custom-properties" xmlns:vt="http://schemas.openxmlformats.org/officeDocument/2006/docPropsVTypes"/>
</file>