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78106" w14:textId="77777777" w:rsidR="00936D88" w:rsidRPr="00936D88" w:rsidRDefault="00513B94" w:rsidP="00936D88">
      <w:pPr>
        <w:spacing w:after="0" w:line="240" w:lineRule="auto"/>
        <w:rPr>
          <w:rFonts w:ascii="Times New Roman" w:eastAsia="Times New Roman" w:hAnsi="Times New Roman" w:cs="Times New Roman"/>
          <w:kern w:val="0"/>
          <w14:ligatures w14:val="none"/>
        </w:rPr>
      </w:pPr>
      <w:r w:rsidRPr="00513B94">
        <w:rPr>
          <w:rFonts w:ascii="Times New Roman" w:eastAsia="Times New Roman" w:hAnsi="Times New Roman" w:cs="Times New Roman"/>
          <w:noProof/>
          <w:kern w:val="0"/>
        </w:rPr>
        <w:pict w14:anchorId="1BE35C08">
          <v:rect id="_x0000_i1030" alt="" style="width:468pt;height:.05pt;mso-width-percent:0;mso-height-percent:0;mso-width-percent:0;mso-height-percent:0" o:hralign="center" o:hrstd="t" o:hr="t" fillcolor="#a0a0a0" stroked="f"/>
        </w:pict>
      </w:r>
    </w:p>
    <w:p w14:paraId="1B5DCFF9" w14:textId="77777777" w:rsidR="00936D88" w:rsidRPr="00936D88" w:rsidRDefault="00936D88" w:rsidP="00936D8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36D88">
        <w:rPr>
          <w:rFonts w:ascii="Times New Roman" w:eastAsia="Times New Roman" w:hAnsi="Times New Roman" w:cs="Times New Roman"/>
          <w:b/>
          <w:bCs/>
          <w:kern w:val="36"/>
          <w:sz w:val="48"/>
          <w:szCs w:val="48"/>
          <w14:ligatures w14:val="none"/>
        </w:rPr>
        <w:t>Operationalizing Three High-Priority T1.5 Theories</w:t>
      </w:r>
    </w:p>
    <w:p w14:paraId="7900429E" w14:textId="77777777" w:rsidR="00936D88" w:rsidRPr="00936D88" w:rsidRDefault="00936D88" w:rsidP="00936D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D88">
        <w:rPr>
          <w:rFonts w:ascii="Times New Roman" w:eastAsia="Times New Roman" w:hAnsi="Times New Roman" w:cs="Times New Roman"/>
          <w:b/>
          <w:bCs/>
          <w:kern w:val="0"/>
          <w:sz w:val="36"/>
          <w:szCs w:val="36"/>
          <w14:ligatures w14:val="none"/>
        </w:rPr>
        <w:t>Space Syntax · Soundscape Theory · Place Attachment</w:t>
      </w:r>
    </w:p>
    <w:p w14:paraId="1A08AC53" w14:textId="77777777" w:rsidR="00936D88" w:rsidRPr="00936D88" w:rsidRDefault="00936D88" w:rsidP="00936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6D88">
        <w:rPr>
          <w:rFonts w:ascii="Times New Roman" w:eastAsia="Times New Roman" w:hAnsi="Times New Roman" w:cs="Times New Roman"/>
          <w:b/>
          <w:bCs/>
          <w:kern w:val="0"/>
          <w:sz w:val="27"/>
          <w:szCs w:val="27"/>
          <w14:ligatures w14:val="none"/>
        </w:rPr>
        <w:t>CMR Theory Tier Architecture — February 21, 2026</w:t>
      </w:r>
    </w:p>
    <w:p w14:paraId="59C7A878" w14:textId="77777777" w:rsidR="00936D88" w:rsidRPr="00936D88" w:rsidRDefault="00513B94" w:rsidP="00936D88">
      <w:pPr>
        <w:spacing w:after="0" w:line="240" w:lineRule="auto"/>
        <w:rPr>
          <w:rFonts w:ascii="Times New Roman" w:eastAsia="Times New Roman" w:hAnsi="Times New Roman" w:cs="Times New Roman"/>
          <w:kern w:val="0"/>
          <w14:ligatures w14:val="none"/>
        </w:rPr>
      </w:pPr>
      <w:r w:rsidRPr="00513B94">
        <w:rPr>
          <w:rFonts w:ascii="Times New Roman" w:eastAsia="Times New Roman" w:hAnsi="Times New Roman" w:cs="Times New Roman"/>
          <w:noProof/>
          <w:kern w:val="0"/>
        </w:rPr>
        <w:pict w14:anchorId="0C3AEC92">
          <v:rect id="_x0000_i1029" alt="" style="width:468pt;height:.05pt;mso-width-percent:0;mso-height-percent:0;mso-width-percent:0;mso-height-percent:0" o:hralign="center" o:hrstd="t" o:hr="t" fillcolor="#a0a0a0" stroked="f"/>
        </w:pict>
      </w:r>
    </w:p>
    <w:p w14:paraId="5B96E5E6" w14:textId="77777777" w:rsidR="00936D88" w:rsidRPr="00936D88" w:rsidRDefault="00936D88" w:rsidP="00936D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D88">
        <w:rPr>
          <w:rFonts w:ascii="Times New Roman" w:eastAsia="Times New Roman" w:hAnsi="Times New Roman" w:cs="Times New Roman"/>
          <w:b/>
          <w:bCs/>
          <w:kern w:val="0"/>
          <w:sz w:val="36"/>
          <w:szCs w:val="36"/>
          <w14:ligatures w14:val="none"/>
        </w:rPr>
        <w:t>PART I: SPACE SYNTAX</w:t>
      </w:r>
    </w:p>
    <w:p w14:paraId="46FE8E62" w14:textId="77777777" w:rsidR="00936D88" w:rsidRPr="00936D88" w:rsidRDefault="00936D88" w:rsidP="00936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6D88">
        <w:rPr>
          <w:rFonts w:ascii="Times New Roman" w:eastAsia="Times New Roman" w:hAnsi="Times New Roman" w:cs="Times New Roman"/>
          <w:b/>
          <w:bCs/>
          <w:kern w:val="0"/>
          <w:sz w:val="27"/>
          <w:szCs w:val="27"/>
          <w14:ligatures w14:val="none"/>
        </w:rPr>
        <w:t>1.1 Theoretical Précis</w:t>
      </w:r>
    </w:p>
    <w:p w14:paraId="2EA919AC"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Space Syntax, originating in Hillier and Hanson's </w:t>
      </w:r>
      <w:r w:rsidRPr="00936D88">
        <w:rPr>
          <w:rFonts w:ascii="Times New Roman" w:eastAsia="Times New Roman" w:hAnsi="Times New Roman" w:cs="Times New Roman"/>
          <w:i/>
          <w:iCs/>
          <w:kern w:val="0"/>
          <w14:ligatures w14:val="none"/>
        </w:rPr>
        <w:t>The Social Logic of Space</w:t>
      </w:r>
      <w:r w:rsidRPr="00936D88">
        <w:rPr>
          <w:rFonts w:ascii="Times New Roman" w:eastAsia="Times New Roman" w:hAnsi="Times New Roman" w:cs="Times New Roman"/>
          <w:kern w:val="0"/>
          <w14:ligatures w14:val="none"/>
        </w:rPr>
        <w:t xml:space="preserve"> (1984), proposes that the topological configuration of spatial networks — independent of semantic content, visual quality, or land-use composition — is the primary determinant of pedestrian movement, social encounter, and spatial cognition within built environments. Its canonical claim — "natural movement" (Hillier et al., 1993) — holds that configuration alone (specifically, the integration value of a segment within the network) accounts for 50–80% of variance in pedestrian flow, with R² values in that range replicated across London, Atlanta, and Brasília (Penn, 2003). The principal constructs are formally defined: </w:t>
      </w:r>
      <w:r w:rsidRPr="00936D88">
        <w:rPr>
          <w:rFonts w:ascii="Times New Roman" w:eastAsia="Times New Roman" w:hAnsi="Times New Roman" w:cs="Times New Roman"/>
          <w:b/>
          <w:bCs/>
          <w:kern w:val="0"/>
          <w14:ligatures w14:val="none"/>
        </w:rPr>
        <w:t>integration</w:t>
      </w:r>
      <w:r w:rsidRPr="00936D88">
        <w:rPr>
          <w:rFonts w:ascii="Times New Roman" w:eastAsia="Times New Roman" w:hAnsi="Times New Roman" w:cs="Times New Roman"/>
          <w:kern w:val="0"/>
          <w14:ligatures w14:val="none"/>
        </w:rPr>
        <w:t xml:space="preserve"> (the mean topological depth from one space to all others, inverted), </w:t>
      </w:r>
      <w:r w:rsidRPr="00936D88">
        <w:rPr>
          <w:rFonts w:ascii="Times New Roman" w:eastAsia="Times New Roman" w:hAnsi="Times New Roman" w:cs="Times New Roman"/>
          <w:b/>
          <w:bCs/>
          <w:kern w:val="0"/>
          <w14:ligatures w14:val="none"/>
        </w:rPr>
        <w:t>connectivity</w:t>
      </w:r>
      <w:r w:rsidRPr="00936D88">
        <w:rPr>
          <w:rFonts w:ascii="Times New Roman" w:eastAsia="Times New Roman" w:hAnsi="Times New Roman" w:cs="Times New Roman"/>
          <w:kern w:val="0"/>
          <w14:ligatures w14:val="none"/>
        </w:rPr>
        <w:t xml:space="preserve"> (direct connections to adjacent spaces), </w:t>
      </w:r>
      <w:r w:rsidRPr="00936D88">
        <w:rPr>
          <w:rFonts w:ascii="Times New Roman" w:eastAsia="Times New Roman" w:hAnsi="Times New Roman" w:cs="Times New Roman"/>
          <w:b/>
          <w:bCs/>
          <w:kern w:val="0"/>
          <w14:ligatures w14:val="none"/>
        </w:rPr>
        <w:t>intelligibility</w:t>
      </w:r>
      <w:r w:rsidRPr="00936D88">
        <w:rPr>
          <w:rFonts w:ascii="Times New Roman" w:eastAsia="Times New Roman" w:hAnsi="Times New Roman" w:cs="Times New Roman"/>
          <w:kern w:val="0"/>
          <w14:ligatures w14:val="none"/>
        </w:rPr>
        <w:t xml:space="preserve"> (the correlation between local connectivity and global integration — a measure of how well the local tells you about the global), and </w:t>
      </w:r>
      <w:r w:rsidRPr="00936D88">
        <w:rPr>
          <w:rFonts w:ascii="Times New Roman" w:eastAsia="Times New Roman" w:hAnsi="Times New Roman" w:cs="Times New Roman"/>
          <w:b/>
          <w:bCs/>
          <w:kern w:val="0"/>
          <w14:ligatures w14:val="none"/>
        </w:rPr>
        <w:t>choice</w:t>
      </w:r>
      <w:r w:rsidRPr="00936D88">
        <w:rPr>
          <w:rFonts w:ascii="Times New Roman" w:eastAsia="Times New Roman" w:hAnsi="Times New Roman" w:cs="Times New Roman"/>
          <w:kern w:val="0"/>
          <w14:ligatures w14:val="none"/>
        </w:rPr>
        <w:t xml:space="preserve"> (the probability that the shortest path between any two points passes through a given segment). These are not vague phenomenological descriptors; they are computable from an axial map or segment map in UCL Depthmap software. This is why Space Syntax is uniquely tractable for reduction: every construct has a mathematical referent, not merely an empirical operationalization.</w:t>
      </w:r>
    </w:p>
    <w:p w14:paraId="284AADAF"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The phenomenological commitment is that people navigate and populate spaces in ways systematically shaped by these topological properties without necessarily having explicit access to the configuration. A person does not consciously compute integration values; the behavior emerges from implicit spatial learning, cumulative route choice, and the density of visual fields encountered along paths. This is precisely the territory IE-DPT occupies: the implicit channel — particularly SN-mediated cognitive mapping — is doing the primary work, with the explicit channel modulating at the margins.</w:t>
      </w:r>
    </w:p>
    <w:p w14:paraId="53F5D004" w14:textId="77777777" w:rsidR="00936D88" w:rsidRPr="00936D88" w:rsidRDefault="00936D88" w:rsidP="00936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6D88">
        <w:rPr>
          <w:rFonts w:ascii="Times New Roman" w:eastAsia="Times New Roman" w:hAnsi="Times New Roman" w:cs="Times New Roman"/>
          <w:b/>
          <w:bCs/>
          <w:kern w:val="0"/>
          <w:sz w:val="27"/>
          <w:szCs w:val="27"/>
          <w14:ligatures w14:val="none"/>
        </w:rPr>
        <w:t>1.2 Reduction: T1 Framework Coverage</w:t>
      </w:r>
    </w:p>
    <w:p w14:paraId="183A0132"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Primary framework: SN (Spatial Navigation / Cognitive Mapping)</w:t>
      </w:r>
    </w:p>
    <w:p w14:paraId="044CA98B"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lastRenderedPageBreak/>
        <w:t>The hippocampal cognitive map (O'Keefe &amp; Nadel, 1978) provides the most direct neural substrate for Space Syntax's core constructs. Integration — essentially mean topological distance — is a graph-theoretic formalization of what the hippocampus does computationally: it maintains allocentric representations of space in which places are relationally coded, not merely sequentially. Moser, Kropff, and Treves (2008) demonstrated that grid cells in entorhinal cortex implement a metric that supports the kind of path integration required to sense "depth" in a network. High-integration spaces (those with shallow depth to all others) should be spaces the hippocampal system can efficiently locate within its map — they are, in graph-theoretic terms, the hubs of the network, and hub nodes in any network are more frequently traversed by random walkers, which is precisely what "natural movement" predicts behaviorally. The intelligibility construct — correlation between local and global — maps onto the distinction between CA3 (pattern completion from local cues) and CA1 (temporal and contextual integration) established by Kesner and Rolls (2015). A spatially intelligible environment is one in which the CA3 system's pattern completion from locally available cues successfully predicts the global map stored in CA1. Low intelligibility — the Borges-like labyrinth — is a space where local cues systematically mispredict global structure, stressing the CA3→CA1 circuit and generating navigational uncertainty.</w:t>
      </w:r>
    </w:p>
    <w:p w14:paraId="0C10ECD3"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Secondary framework: PP (Predictive Processing)</w:t>
      </w:r>
    </w:p>
    <w:p w14:paraId="005A1E64"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Friston (2010) provides the computational language for why spatial configuration should matter neurally at all. Movement through space is an active inference problem: the organism generates predictions about what will be encountered around the next corner, and the integration value of a space is a proxy for the richness of the prediction-confirming sensory field it affords. High-integration spaces are spaces that, by definition, connect to many others — they offer more informative sensory updates per unit movement. This aligns with Bubic, von Cramon, and Schubotz's (2010) account of spatial prediction, in which the motor system and the sensory prediction system are coupled: we move toward spaces that we predict will confirm rather than violate our environmental model. The "natural movement" thesis is, in PP terms, an active inference attractor: integration-high spaces minimize expected free energy for a random walker because they maximize mutual information between the current location and the distribution of possible destinations.</w:t>
      </w:r>
    </w:p>
    <w:p w14:paraId="1C4C9D99"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Secondary framework: EC (Embodied Cognition)</w:t>
      </w:r>
    </w:p>
    <w:p w14:paraId="4246C40F"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Gibson's (1979) affordance theory contributes at the level of </w:t>
      </w:r>
      <w:r w:rsidRPr="00936D88">
        <w:rPr>
          <w:rFonts w:ascii="Times New Roman" w:eastAsia="Times New Roman" w:hAnsi="Times New Roman" w:cs="Times New Roman"/>
          <w:b/>
          <w:bCs/>
          <w:kern w:val="0"/>
          <w14:ligatures w14:val="none"/>
        </w:rPr>
        <w:t>choice</w:t>
      </w:r>
      <w:r w:rsidRPr="00936D88">
        <w:rPr>
          <w:rFonts w:ascii="Times New Roman" w:eastAsia="Times New Roman" w:hAnsi="Times New Roman" w:cs="Times New Roman"/>
          <w:kern w:val="0"/>
          <w14:ligatures w14:val="none"/>
        </w:rPr>
        <w:t xml:space="preserve"> and </w:t>
      </w:r>
      <w:r w:rsidRPr="00936D88">
        <w:rPr>
          <w:rFonts w:ascii="Times New Roman" w:eastAsia="Times New Roman" w:hAnsi="Times New Roman" w:cs="Times New Roman"/>
          <w:b/>
          <w:bCs/>
          <w:kern w:val="0"/>
          <w14:ligatures w14:val="none"/>
        </w:rPr>
        <w:t>connectivity</w:t>
      </w:r>
      <w:r w:rsidRPr="00936D88">
        <w:rPr>
          <w:rFonts w:ascii="Times New Roman" w:eastAsia="Times New Roman" w:hAnsi="Times New Roman" w:cs="Times New Roman"/>
          <w:kern w:val="0"/>
          <w14:ligatures w14:val="none"/>
        </w:rPr>
        <w:t>. A highly connected space is an affordance-rich space: multiple movement paths are simultaneously available. The body's orientation toward affordances (Chemero, 2009) means that high-connectivity spaces should generate greater approach motivation and dwelling behavior independently of any cognitive map. This is the EC contribution that SN does not capture — whereas SN handles the allocentric, map-based aspect of space, EC handles the real-time, egocentric body-in-space sensitivity to immediately available movement opportunities. The distinction corresponds roughly to Penn's (2003) finding that local connectivity (EC territory) and global integration (SN territory) make separable contributions to movement at different scales of analysis.</w:t>
      </w:r>
    </w:p>
    <w:p w14:paraId="2FDC54A2"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lastRenderedPageBreak/>
        <w:t>IE-DPT Modulation</w:t>
      </w:r>
    </w:p>
    <w:p w14:paraId="32A794E2"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The IE-DPT layer captures several important residuals. First, expertise effects: an architect reading an axial map explicitly while walking through a building will navigate differently from a naive occupant — this is the Expertise-Modulated template (T_IE_002) applied to spatial reading. Second, goal-state effects captured by T_IE_010 (Wayfinding × Goal State): the same integration value predicts movement differently when the person is exploring versus rushing to a meeting. Hillier et al. (1993) noted that "to-movement" (trips with a fixed destination) and "through-movement" (open exploration) respond to different configuration measures (choice vs. integration respectively), and this distinction maps almost perfectly onto goal-state × explicit-channel interactions. Third, cultural familiarity with spatial archetypes — Islamic courtyard plans, Japanese engawa sequences, Roman insulae — constitutes a semantic override (T_IE_003) that can redirect navigation away from topologically predicted paths. This is the irreducible residual of Space Syntax: pure configuration theory cannot accommodate semantic meaning encoded in spatial type, and the empirical evidence on this point is Peponis et al.'s (2004) work showing systematic discrepancies between predicted and actual movement in culturally specific settings.</w:t>
      </w:r>
    </w:p>
    <w:p w14:paraId="62076742"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Coverage Fractions (estimated)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1033"/>
        <w:gridCol w:w="6755"/>
      </w:tblGrid>
      <w:tr w:rsidR="00936D88" w:rsidRPr="00936D88" w14:paraId="1486439D" w14:textId="77777777">
        <w:trPr>
          <w:tblHeader/>
          <w:tblCellSpacing w:w="15" w:type="dxa"/>
        </w:trPr>
        <w:tc>
          <w:tcPr>
            <w:tcW w:w="0" w:type="auto"/>
            <w:vAlign w:val="center"/>
            <w:hideMark/>
          </w:tcPr>
          <w:p w14:paraId="511141EA" w14:textId="77777777" w:rsidR="00936D88" w:rsidRPr="00936D88" w:rsidRDefault="00936D88" w:rsidP="00936D88">
            <w:pPr>
              <w:spacing w:after="0" w:line="240" w:lineRule="auto"/>
              <w:jc w:val="center"/>
              <w:rPr>
                <w:rFonts w:ascii="Times New Roman" w:eastAsia="Times New Roman" w:hAnsi="Times New Roman" w:cs="Times New Roman"/>
                <w:b/>
                <w:bCs/>
                <w:kern w:val="0"/>
                <w14:ligatures w14:val="none"/>
              </w:rPr>
            </w:pPr>
            <w:r w:rsidRPr="00936D88">
              <w:rPr>
                <w:rFonts w:ascii="Times New Roman" w:eastAsia="Times New Roman" w:hAnsi="Times New Roman" w:cs="Times New Roman"/>
                <w:b/>
                <w:bCs/>
                <w:kern w:val="0"/>
                <w14:ligatures w14:val="none"/>
              </w:rPr>
              <w:t>T1 Framework</w:t>
            </w:r>
          </w:p>
        </w:tc>
        <w:tc>
          <w:tcPr>
            <w:tcW w:w="0" w:type="auto"/>
            <w:vAlign w:val="center"/>
            <w:hideMark/>
          </w:tcPr>
          <w:p w14:paraId="1E1AA047" w14:textId="77777777" w:rsidR="00936D88" w:rsidRPr="00936D88" w:rsidRDefault="00936D88" w:rsidP="00936D88">
            <w:pPr>
              <w:spacing w:after="0" w:line="240" w:lineRule="auto"/>
              <w:jc w:val="center"/>
              <w:rPr>
                <w:rFonts w:ascii="Times New Roman" w:eastAsia="Times New Roman" w:hAnsi="Times New Roman" w:cs="Times New Roman"/>
                <w:b/>
                <w:bCs/>
                <w:kern w:val="0"/>
                <w14:ligatures w14:val="none"/>
              </w:rPr>
            </w:pPr>
            <w:r w:rsidRPr="00936D88">
              <w:rPr>
                <w:rFonts w:ascii="Times New Roman" w:eastAsia="Times New Roman" w:hAnsi="Times New Roman" w:cs="Times New Roman"/>
                <w:b/>
                <w:bCs/>
                <w:kern w:val="0"/>
                <w14:ligatures w14:val="none"/>
              </w:rPr>
              <w:t>Coverage</w:t>
            </w:r>
          </w:p>
        </w:tc>
        <w:tc>
          <w:tcPr>
            <w:tcW w:w="0" w:type="auto"/>
            <w:vAlign w:val="center"/>
            <w:hideMark/>
          </w:tcPr>
          <w:p w14:paraId="7E837757" w14:textId="77777777" w:rsidR="00936D88" w:rsidRPr="00936D88" w:rsidRDefault="00936D88" w:rsidP="00936D88">
            <w:pPr>
              <w:spacing w:after="0" w:line="240" w:lineRule="auto"/>
              <w:jc w:val="center"/>
              <w:rPr>
                <w:rFonts w:ascii="Times New Roman" w:eastAsia="Times New Roman" w:hAnsi="Times New Roman" w:cs="Times New Roman"/>
                <w:b/>
                <w:bCs/>
                <w:kern w:val="0"/>
                <w14:ligatures w14:val="none"/>
              </w:rPr>
            </w:pPr>
            <w:r w:rsidRPr="00936D88">
              <w:rPr>
                <w:rFonts w:ascii="Times New Roman" w:eastAsia="Times New Roman" w:hAnsi="Times New Roman" w:cs="Times New Roman"/>
                <w:b/>
                <w:bCs/>
                <w:kern w:val="0"/>
                <w14:ligatures w14:val="none"/>
              </w:rPr>
              <w:t>Primary Constructs Explained</w:t>
            </w:r>
          </w:p>
        </w:tc>
      </w:tr>
      <w:tr w:rsidR="00936D88" w:rsidRPr="00936D88" w14:paraId="6A409EFE" w14:textId="77777777">
        <w:trPr>
          <w:tblCellSpacing w:w="15" w:type="dxa"/>
        </w:trPr>
        <w:tc>
          <w:tcPr>
            <w:tcW w:w="0" w:type="auto"/>
            <w:vAlign w:val="center"/>
            <w:hideMark/>
          </w:tcPr>
          <w:p w14:paraId="7DDC8D03"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SN</w:t>
            </w:r>
          </w:p>
        </w:tc>
        <w:tc>
          <w:tcPr>
            <w:tcW w:w="0" w:type="auto"/>
            <w:vAlign w:val="center"/>
            <w:hideMark/>
          </w:tcPr>
          <w:p w14:paraId="111AA806"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45%</w:t>
            </w:r>
          </w:p>
        </w:tc>
        <w:tc>
          <w:tcPr>
            <w:tcW w:w="0" w:type="auto"/>
            <w:vAlign w:val="center"/>
            <w:hideMark/>
          </w:tcPr>
          <w:p w14:paraId="46ACB24A"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Integration, intelligibility, depth, cognitive map quality</w:t>
            </w:r>
          </w:p>
        </w:tc>
      </w:tr>
      <w:tr w:rsidR="00936D88" w:rsidRPr="00936D88" w14:paraId="62C302C4" w14:textId="77777777">
        <w:trPr>
          <w:tblCellSpacing w:w="15" w:type="dxa"/>
        </w:trPr>
        <w:tc>
          <w:tcPr>
            <w:tcW w:w="0" w:type="auto"/>
            <w:vAlign w:val="center"/>
            <w:hideMark/>
          </w:tcPr>
          <w:p w14:paraId="4C205582"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PP</w:t>
            </w:r>
          </w:p>
        </w:tc>
        <w:tc>
          <w:tcPr>
            <w:tcW w:w="0" w:type="auto"/>
            <w:vAlign w:val="center"/>
            <w:hideMark/>
          </w:tcPr>
          <w:p w14:paraId="0F7D30E6"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25%</w:t>
            </w:r>
          </w:p>
        </w:tc>
        <w:tc>
          <w:tcPr>
            <w:tcW w:w="0" w:type="auto"/>
            <w:vAlign w:val="center"/>
            <w:hideMark/>
          </w:tcPr>
          <w:p w14:paraId="50C9A4C5"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Natural movement as free-energy minimization, anticipatory path planning</w:t>
            </w:r>
          </w:p>
        </w:tc>
      </w:tr>
      <w:tr w:rsidR="00936D88" w:rsidRPr="00936D88" w14:paraId="6138553F" w14:textId="77777777">
        <w:trPr>
          <w:tblCellSpacing w:w="15" w:type="dxa"/>
        </w:trPr>
        <w:tc>
          <w:tcPr>
            <w:tcW w:w="0" w:type="auto"/>
            <w:vAlign w:val="center"/>
            <w:hideMark/>
          </w:tcPr>
          <w:p w14:paraId="6E4DF3F0"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EC</w:t>
            </w:r>
          </w:p>
        </w:tc>
        <w:tc>
          <w:tcPr>
            <w:tcW w:w="0" w:type="auto"/>
            <w:vAlign w:val="center"/>
            <w:hideMark/>
          </w:tcPr>
          <w:p w14:paraId="3F943D1E"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15%</w:t>
            </w:r>
          </w:p>
        </w:tc>
        <w:tc>
          <w:tcPr>
            <w:tcW w:w="0" w:type="auto"/>
            <w:vAlign w:val="center"/>
            <w:hideMark/>
          </w:tcPr>
          <w:p w14:paraId="34F97633"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Connectivity, affordance multiplicity, approach behavior</w:t>
            </w:r>
          </w:p>
        </w:tc>
      </w:tr>
      <w:tr w:rsidR="00936D88" w:rsidRPr="00936D88" w14:paraId="41919D63" w14:textId="77777777">
        <w:trPr>
          <w:tblCellSpacing w:w="15" w:type="dxa"/>
        </w:trPr>
        <w:tc>
          <w:tcPr>
            <w:tcW w:w="0" w:type="auto"/>
            <w:vAlign w:val="center"/>
            <w:hideMark/>
          </w:tcPr>
          <w:p w14:paraId="492B401B"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IE-DPT</w:t>
            </w:r>
          </w:p>
        </w:tc>
        <w:tc>
          <w:tcPr>
            <w:tcW w:w="0" w:type="auto"/>
            <w:vAlign w:val="center"/>
            <w:hideMark/>
          </w:tcPr>
          <w:p w14:paraId="1B472D11"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10%</w:t>
            </w:r>
          </w:p>
        </w:tc>
        <w:tc>
          <w:tcPr>
            <w:tcW w:w="0" w:type="auto"/>
            <w:vAlign w:val="center"/>
            <w:hideMark/>
          </w:tcPr>
          <w:p w14:paraId="1498B62D"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Expertise, goal-state, semantic/cultural override</w:t>
            </w:r>
          </w:p>
        </w:tc>
      </w:tr>
      <w:tr w:rsidR="00936D88" w:rsidRPr="00936D88" w14:paraId="14A0E4C0" w14:textId="77777777">
        <w:trPr>
          <w:tblCellSpacing w:w="15" w:type="dxa"/>
        </w:trPr>
        <w:tc>
          <w:tcPr>
            <w:tcW w:w="0" w:type="auto"/>
            <w:vAlign w:val="center"/>
            <w:hideMark/>
          </w:tcPr>
          <w:p w14:paraId="0A4FABEB"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DT</w:t>
            </w:r>
          </w:p>
        </w:tc>
        <w:tc>
          <w:tcPr>
            <w:tcW w:w="0" w:type="auto"/>
            <w:vAlign w:val="center"/>
            <w:hideMark/>
          </w:tcPr>
          <w:p w14:paraId="2D831EC1"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5%</w:t>
            </w:r>
          </w:p>
        </w:tc>
        <w:tc>
          <w:tcPr>
            <w:tcW w:w="0" w:type="auto"/>
            <w:vAlign w:val="center"/>
            <w:hideMark/>
          </w:tcPr>
          <w:p w14:paraId="1A3F976D"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DMN engagement during open exploration vs. TPN during directed wayfinding</w:t>
            </w:r>
          </w:p>
        </w:tc>
      </w:tr>
    </w:tbl>
    <w:p w14:paraId="7B745D68"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Irreducible Residual (~15%):</w:t>
      </w:r>
      <w:r w:rsidRPr="00936D88">
        <w:rPr>
          <w:rFonts w:ascii="Times New Roman" w:eastAsia="Times New Roman" w:hAnsi="Times New Roman" w:cs="Times New Roman"/>
          <w:kern w:val="0"/>
          <w14:ligatures w14:val="none"/>
        </w:rPr>
        <w:t xml:space="preserve"> Social attraction effects — the tendency for movement to cluster around land uses, attractions, and social gatherings — that are explicitly outside Space Syntax's "natural movement" claim but are nevertheless part of the full account of pedestrian behavior. Penn (2003) calls this the "attracted movement" component. Neurally this is primarily NM-mediated (dopaminergic reward anticipation toward social density), and it is the component Space Syntax practitioners explicitly acknowledge their theory does not handle. This is not a failure of the reduction; it vindicates Space Syntax's own theoretical boundary condition.</w:t>
      </w:r>
    </w:p>
    <w:p w14:paraId="3A305FCF" w14:textId="77777777" w:rsidR="00936D88" w:rsidRPr="00936D88" w:rsidRDefault="00936D88" w:rsidP="00936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6D88">
        <w:rPr>
          <w:rFonts w:ascii="Times New Roman" w:eastAsia="Times New Roman" w:hAnsi="Times New Roman" w:cs="Times New Roman"/>
          <w:b/>
          <w:bCs/>
          <w:kern w:val="0"/>
          <w:sz w:val="27"/>
          <w:szCs w:val="27"/>
          <w14:ligatures w14:val="none"/>
        </w:rPr>
        <w:t>1.3 Proposed T2 Templates</w:t>
      </w:r>
    </w:p>
    <w:p w14:paraId="6CD859CB"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SS1 — Topological Integration Flow</w:t>
      </w:r>
    </w:p>
    <w:p w14:paraId="42F9B988" w14:textId="77777777" w:rsidR="00936D88" w:rsidRPr="00936D88" w:rsidRDefault="00936D88" w:rsidP="00936D8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Pathway: High spatial integration (shallow network depth) → hippocampal hub-node representation (place cells, grid cells) → reduced navigational uncertainty → increased traversal probability</w:t>
      </w:r>
    </w:p>
    <w:p w14:paraId="014F68C2" w14:textId="77777777" w:rsidR="00936D88" w:rsidRPr="00936D88" w:rsidRDefault="00936D88" w:rsidP="00936D8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lastRenderedPageBreak/>
        <w:t>Frameworks: SN primary, PP secondary</w:t>
      </w:r>
    </w:p>
    <w:p w14:paraId="5E727F7D" w14:textId="77777777" w:rsidR="00936D88" w:rsidRPr="00936D88" w:rsidRDefault="00936D88" w:rsidP="00936D8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Maturity: </w:t>
      </w:r>
      <w:r w:rsidRPr="00936D88">
        <w:rPr>
          <w:rFonts w:ascii="Times New Roman" w:eastAsia="Times New Roman" w:hAnsi="Times New Roman" w:cs="Times New Roman"/>
          <w:b/>
          <w:bCs/>
          <w:kern w:val="0"/>
          <w14:ligatures w14:val="none"/>
        </w:rPr>
        <w:t>How-plausibly</w:t>
      </w:r>
      <w:r w:rsidRPr="00936D88">
        <w:rPr>
          <w:rFonts w:ascii="Times New Roman" w:eastAsia="Times New Roman" w:hAnsi="Times New Roman" w:cs="Times New Roman"/>
          <w:kern w:val="0"/>
          <w14:ligatures w14:val="none"/>
        </w:rPr>
        <w:t xml:space="preserve"> (integration-movement correlations are robust; neural mechanism via hippocampal hub coding is plausible but not directly demonstrated in architectural contexts)</w:t>
      </w:r>
    </w:p>
    <w:p w14:paraId="6991D445" w14:textId="77777777" w:rsidR="00936D88" w:rsidRPr="00936D88" w:rsidRDefault="00936D88" w:rsidP="00936D8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Bridge warrant: EMPIRICAL_COVARIANCE (R² = 0.50–0.80; Penn, 2003) → P = 0.60</w:t>
      </w:r>
    </w:p>
    <w:p w14:paraId="1A895C05"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SS2 — Intelligibility-Orientation</w:t>
      </w:r>
    </w:p>
    <w:p w14:paraId="229BF672" w14:textId="77777777" w:rsidR="00936D88" w:rsidRPr="00936D88" w:rsidRDefault="00936D88" w:rsidP="00936D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Pathway: High local-global correlation (intelligibility) → CA3 pattern completion successfully predicts CA1 map structure → reduced spatial uncertainty → positive affective valence, increased exploration</w:t>
      </w:r>
    </w:p>
    <w:p w14:paraId="544A49F5" w14:textId="77777777" w:rsidR="00936D88" w:rsidRPr="00936D88" w:rsidRDefault="00936D88" w:rsidP="00936D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Frameworks: SN, PP, IC</w:t>
      </w:r>
    </w:p>
    <w:p w14:paraId="41040DFA" w14:textId="77777777" w:rsidR="00936D88" w:rsidRPr="00936D88" w:rsidRDefault="00936D88" w:rsidP="00936D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Maturity: </w:t>
      </w:r>
      <w:r w:rsidRPr="00936D88">
        <w:rPr>
          <w:rFonts w:ascii="Times New Roman" w:eastAsia="Times New Roman" w:hAnsi="Times New Roman" w:cs="Times New Roman"/>
          <w:b/>
          <w:bCs/>
          <w:kern w:val="0"/>
          <w14:ligatures w14:val="none"/>
        </w:rPr>
        <w:t>How-plausibly</w:t>
      </w:r>
    </w:p>
    <w:p w14:paraId="5398FEB8" w14:textId="77777777" w:rsidR="00936D88" w:rsidRPr="00936D88" w:rsidRDefault="00936D88" w:rsidP="00936D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Bridge warrant: MECHANISM → P = 0.60</w:t>
      </w:r>
    </w:p>
    <w:p w14:paraId="2F70BCF3"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SS3 — Connectivity Affordance Multiplicity</w:t>
      </w:r>
    </w:p>
    <w:p w14:paraId="130D8388" w14:textId="77777777" w:rsidR="00936D88" w:rsidRPr="00936D88" w:rsidRDefault="00936D88" w:rsidP="00936D8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Pathway: High connectivity (many immediately visible connections) → rich egocentric affordance array → approach motivation amplified → dwelling and social encounter increased</w:t>
      </w:r>
    </w:p>
    <w:p w14:paraId="087BB64D" w14:textId="77777777" w:rsidR="00936D88" w:rsidRPr="00936D88" w:rsidRDefault="00936D88" w:rsidP="00936D8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Frameworks: EC primary, NM secondary (dopaminergic amplification of approach)</w:t>
      </w:r>
    </w:p>
    <w:p w14:paraId="0D0D5CCD" w14:textId="77777777" w:rsidR="00936D88" w:rsidRPr="00936D88" w:rsidRDefault="00936D88" w:rsidP="00936D8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Maturity: </w:t>
      </w:r>
      <w:r w:rsidRPr="00936D88">
        <w:rPr>
          <w:rFonts w:ascii="Times New Roman" w:eastAsia="Times New Roman" w:hAnsi="Times New Roman" w:cs="Times New Roman"/>
          <w:b/>
          <w:bCs/>
          <w:kern w:val="0"/>
          <w14:ligatures w14:val="none"/>
        </w:rPr>
        <w:t>How-possibly</w:t>
      </w:r>
    </w:p>
    <w:p w14:paraId="54ADDA1F" w14:textId="77777777" w:rsidR="00936D88" w:rsidRPr="00936D88" w:rsidRDefault="00936D88" w:rsidP="00936D8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Bridge warrant: FUNCTIONAL → P = 0.50</w:t>
      </w:r>
    </w:p>
    <w:p w14:paraId="2C95B333"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SS4 — Goal-State Modulation of Configuration Use</w:t>
      </w:r>
      <w:r w:rsidRPr="00936D88">
        <w:rPr>
          <w:rFonts w:ascii="Times New Roman" w:eastAsia="Times New Roman" w:hAnsi="Times New Roman" w:cs="Times New Roman"/>
          <w:kern w:val="0"/>
          <w14:ligatures w14:val="none"/>
        </w:rPr>
        <w:t xml:space="preserve"> (IE-DPT template)</w:t>
      </w:r>
    </w:p>
    <w:p w14:paraId="06088080" w14:textId="77777777" w:rsidR="00936D88" w:rsidRPr="00936D88" w:rsidRDefault="00936D88" w:rsidP="00936D8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Pathway: Directed wayfinding goal → explicit channel activation → integration value overridden by route knowledge → choice metric becomes primary → to-movement vs. through-movement dissociation</w:t>
      </w:r>
    </w:p>
    <w:p w14:paraId="0F36613B" w14:textId="77777777" w:rsidR="00936D88" w:rsidRPr="00936D88" w:rsidRDefault="00936D88" w:rsidP="00936D8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Frameworks: SN, IE-DPT (T_IE_010)</w:t>
      </w:r>
    </w:p>
    <w:p w14:paraId="343CC6C9" w14:textId="77777777" w:rsidR="00936D88" w:rsidRPr="00936D88" w:rsidRDefault="00936D88" w:rsidP="00936D8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Maturity: </w:t>
      </w:r>
      <w:r w:rsidRPr="00936D88">
        <w:rPr>
          <w:rFonts w:ascii="Times New Roman" w:eastAsia="Times New Roman" w:hAnsi="Times New Roman" w:cs="Times New Roman"/>
          <w:b/>
          <w:bCs/>
          <w:kern w:val="0"/>
          <w14:ligatures w14:val="none"/>
        </w:rPr>
        <w:t>How-plausibly</w:t>
      </w:r>
    </w:p>
    <w:p w14:paraId="1AA2E942" w14:textId="77777777" w:rsidR="00936D88" w:rsidRPr="00936D88" w:rsidRDefault="00936D88" w:rsidP="00936D8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Bridge warrant: EMPIRICAL_COVARIANCE → P = 0.60</w:t>
      </w:r>
    </w:p>
    <w:p w14:paraId="76DB5374" w14:textId="77777777" w:rsidR="00936D88" w:rsidRPr="00936D88" w:rsidRDefault="00936D88" w:rsidP="00936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6D88">
        <w:rPr>
          <w:rFonts w:ascii="Times New Roman" w:eastAsia="Times New Roman" w:hAnsi="Times New Roman" w:cs="Times New Roman"/>
          <w:b/>
          <w:bCs/>
          <w:kern w:val="0"/>
          <w:sz w:val="27"/>
          <w:szCs w:val="27"/>
          <w14:ligatures w14:val="none"/>
        </w:rPr>
        <w:t>1.4 Operationalization for Article Eater</w:t>
      </w:r>
    </w:p>
    <w:p w14:paraId="571D781C"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OUTCOME_DOMAIN additions:</w:t>
      </w:r>
    </w:p>
    <w:p w14:paraId="2095A476"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"spatial.navigation":       ["Space_Syntax", "SRT"],</w:t>
      </w:r>
    </w:p>
    <w:p w14:paraId="27D317FD"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"spatial.configuration":    ["Space_Syntax", "Kaplan_Preference_Matrix"],</w:t>
      </w:r>
    </w:p>
    <w:p w14:paraId="684C0592"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"behav.movement":           ["Space_Syntax"],</w:t>
      </w:r>
    </w:p>
    <w:p w14:paraId="477EA8E0"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"behav.wayfinding":         ["Space_Syntax", "SN"],</w:t>
      </w:r>
    </w:p>
    <w:p w14:paraId="6121765C"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"social.encounter":         ["Space_Syntax", "Privacy_Regulation"],</w:t>
      </w:r>
    </w:p>
    <w:p w14:paraId="5BC69138"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"spatial.legibility":       ["Space_Syntax", "Kaplan_Preference_Matrix"],</w:t>
      </w:r>
    </w:p>
    <w:p w14:paraId="6BBDFD77"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THEORY_KEYWORDS:</w:t>
      </w:r>
    </w:p>
    <w:p w14:paraId="72B19C30"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"Space_Syntax": [</w:t>
      </w:r>
    </w:p>
    <w:p w14:paraId="22C1D51A"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 xml:space="preserve">    "space syntax", "hillier", "integration value", "axial map",</w:t>
      </w:r>
    </w:p>
    <w:p w14:paraId="0118FD12"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lastRenderedPageBreak/>
        <w:t xml:space="preserve">    "segment map", "natural movement", "intelligibility", "depth map",</w:t>
      </w:r>
    </w:p>
    <w:p w14:paraId="36B15EFA"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 xml:space="preserve">    "depthmap", "spatial configuration", "pedestrian flow",</w:t>
      </w:r>
    </w:p>
    <w:p w14:paraId="4D956294"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 xml:space="preserve">    "topological depth", "connectivity", "choice", "angular analysis",</w:t>
      </w:r>
    </w:p>
    <w:p w14:paraId="76F3B130"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 xml:space="preserve">    "syntactic analysis", "isovist"</w:t>
      </w:r>
    </w:p>
    <w:p w14:paraId="7DE16E14"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w:t>
      </w:r>
    </w:p>
    <w:p w14:paraId="4C48E7D5" w14:textId="77777777" w:rsidR="00936D88" w:rsidRPr="00936D88" w:rsidRDefault="00513B94" w:rsidP="00936D88">
      <w:pPr>
        <w:spacing w:after="0" w:line="240" w:lineRule="auto"/>
        <w:rPr>
          <w:rFonts w:ascii="Times New Roman" w:eastAsia="Times New Roman" w:hAnsi="Times New Roman" w:cs="Times New Roman"/>
          <w:kern w:val="0"/>
          <w14:ligatures w14:val="none"/>
        </w:rPr>
      </w:pPr>
      <w:r w:rsidRPr="00513B94">
        <w:rPr>
          <w:rFonts w:ascii="Times New Roman" w:eastAsia="Times New Roman" w:hAnsi="Times New Roman" w:cs="Times New Roman"/>
          <w:noProof/>
          <w:kern w:val="0"/>
        </w:rPr>
        <w:pict w14:anchorId="1B88F1D1">
          <v:rect id="_x0000_i1028" alt="" style="width:468pt;height:.05pt;mso-width-percent:0;mso-height-percent:0;mso-width-percent:0;mso-height-percent:0" o:hralign="center" o:hrstd="t" o:hr="t" fillcolor="#a0a0a0" stroked="f"/>
        </w:pict>
      </w:r>
    </w:p>
    <w:p w14:paraId="23F2A5E1" w14:textId="77777777" w:rsidR="00936D88" w:rsidRPr="00936D88" w:rsidRDefault="00936D88" w:rsidP="00936D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D88">
        <w:rPr>
          <w:rFonts w:ascii="Times New Roman" w:eastAsia="Times New Roman" w:hAnsi="Times New Roman" w:cs="Times New Roman"/>
          <w:b/>
          <w:bCs/>
          <w:kern w:val="0"/>
          <w:sz w:val="36"/>
          <w:szCs w:val="36"/>
          <w14:ligatures w14:val="none"/>
        </w:rPr>
        <w:t>PART II: SOUNDSCAPE THEORY</w:t>
      </w:r>
    </w:p>
    <w:p w14:paraId="2ED277DD" w14:textId="77777777" w:rsidR="00936D88" w:rsidRPr="00936D88" w:rsidRDefault="00936D88" w:rsidP="00936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6D88">
        <w:rPr>
          <w:rFonts w:ascii="Times New Roman" w:eastAsia="Times New Roman" w:hAnsi="Times New Roman" w:cs="Times New Roman"/>
          <w:b/>
          <w:bCs/>
          <w:kern w:val="0"/>
          <w:sz w:val="27"/>
          <w:szCs w:val="27"/>
          <w14:ligatures w14:val="none"/>
        </w:rPr>
        <w:t>2.1 Theoretical Précis</w:t>
      </w:r>
    </w:p>
    <w:p w14:paraId="5B4D2BEE"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Soundscape Theory began in Schafer's (1977) humanistic musicological project — the idea that acoustic environments are compositions to be listened to, not merely noise problems to be mitigated — and was transformed by Brown (2012) and Kang et al. (2016) into an empirical research program with formal ISO standardization (ISO 12913-1:2014). The ISO definition is architecturally precise: the soundscape is "the acoustic environment as perceived, experienced, and understood by a person or people, in context" — where "in context" does the critical work. The standard explicitly distinguishes (a) the </w:t>
      </w:r>
      <w:r w:rsidRPr="00936D88">
        <w:rPr>
          <w:rFonts w:ascii="Times New Roman" w:eastAsia="Times New Roman" w:hAnsi="Times New Roman" w:cs="Times New Roman"/>
          <w:b/>
          <w:bCs/>
          <w:kern w:val="0"/>
          <w14:ligatures w14:val="none"/>
        </w:rPr>
        <w:t>acoustic environment</w:t>
      </w:r>
      <w:r w:rsidRPr="00936D88">
        <w:rPr>
          <w:rFonts w:ascii="Times New Roman" w:eastAsia="Times New Roman" w:hAnsi="Times New Roman" w:cs="Times New Roman"/>
          <w:kern w:val="0"/>
          <w14:ligatures w14:val="none"/>
        </w:rPr>
        <w:t xml:space="preserve"> (physical sound field, measurable in dB, Hz), (b) the </w:t>
      </w:r>
      <w:r w:rsidRPr="00936D88">
        <w:rPr>
          <w:rFonts w:ascii="Times New Roman" w:eastAsia="Times New Roman" w:hAnsi="Times New Roman" w:cs="Times New Roman"/>
          <w:b/>
          <w:bCs/>
          <w:kern w:val="0"/>
          <w14:ligatures w14:val="none"/>
        </w:rPr>
        <w:t>soundscape</w:t>
      </w:r>
      <w:r w:rsidRPr="00936D88">
        <w:rPr>
          <w:rFonts w:ascii="Times New Roman" w:eastAsia="Times New Roman" w:hAnsi="Times New Roman" w:cs="Times New Roman"/>
          <w:kern w:val="0"/>
          <w14:ligatures w14:val="none"/>
        </w:rPr>
        <w:t xml:space="preserve"> (perceptual event, requiring a perceiver), and (c) </w:t>
      </w:r>
      <w:r w:rsidRPr="00936D88">
        <w:rPr>
          <w:rFonts w:ascii="Times New Roman" w:eastAsia="Times New Roman" w:hAnsi="Times New Roman" w:cs="Times New Roman"/>
          <w:b/>
          <w:bCs/>
          <w:kern w:val="0"/>
          <w14:ligatures w14:val="none"/>
        </w:rPr>
        <w:t>acoustic comfort</w:t>
      </w:r>
      <w:r w:rsidRPr="00936D88">
        <w:rPr>
          <w:rFonts w:ascii="Times New Roman" w:eastAsia="Times New Roman" w:hAnsi="Times New Roman" w:cs="Times New Roman"/>
          <w:kern w:val="0"/>
          <w14:ligatures w14:val="none"/>
        </w:rPr>
        <w:t xml:space="preserve"> or </w:t>
      </w:r>
      <w:r w:rsidRPr="00936D88">
        <w:rPr>
          <w:rFonts w:ascii="Times New Roman" w:eastAsia="Times New Roman" w:hAnsi="Times New Roman" w:cs="Times New Roman"/>
          <w:b/>
          <w:bCs/>
          <w:kern w:val="0"/>
          <w14:ligatures w14:val="none"/>
        </w:rPr>
        <w:t>pleasantness</w:t>
      </w:r>
      <w:r w:rsidRPr="00936D88">
        <w:rPr>
          <w:rFonts w:ascii="Times New Roman" w:eastAsia="Times New Roman" w:hAnsi="Times New Roman" w:cs="Times New Roman"/>
          <w:kern w:val="0"/>
          <w14:ligatures w14:val="none"/>
        </w:rPr>
        <w:t xml:space="preserve"> (evaluative judgment, requiring both perception and contextual appraisal). This three-level distinction maps almost perfectly onto the T1 / T1.5 / T2 tier structure, which is why soundscape is unusually ready-made for operationalization.</w:t>
      </w:r>
    </w:p>
    <w:p w14:paraId="3A9B30B6"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The core empirical finding is the </w:t>
      </w:r>
      <w:r w:rsidRPr="00936D88">
        <w:rPr>
          <w:rFonts w:ascii="Times New Roman" w:eastAsia="Times New Roman" w:hAnsi="Times New Roman" w:cs="Times New Roman"/>
          <w:b/>
          <w:bCs/>
          <w:kern w:val="0"/>
          <w14:ligatures w14:val="none"/>
        </w:rPr>
        <w:t>context-dependency of acoustic perception</w:t>
      </w:r>
      <w:r w:rsidRPr="00936D88">
        <w:rPr>
          <w:rFonts w:ascii="Times New Roman" w:eastAsia="Times New Roman" w:hAnsi="Times New Roman" w:cs="Times New Roman"/>
          <w:kern w:val="0"/>
          <w14:ligatures w14:val="none"/>
        </w:rPr>
        <w:t>: the same 55 dBA produces dramatically different psychological responses depending on whether the source is traffic, birdsong, a waterfall, or music — and depending further on whether the listener's current activity frame is "working," "relaxing," or "socializing" (Aletta, Kang, &amp; Axelsson, 2016). This is IE-DPT in acoustic form. The same physical stimulus, processed through different predictive models, generates different interoceptive consequences.</w:t>
      </w:r>
    </w:p>
    <w:p w14:paraId="6EA89B7E"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Soundscape research has produced a well-validated two-dimensional perceptual circumplex (Axelsson, Nilsson, &amp; Berglund, 2010): the primary dimension is </w:t>
      </w:r>
      <w:r w:rsidRPr="00936D88">
        <w:rPr>
          <w:rFonts w:ascii="Times New Roman" w:eastAsia="Times New Roman" w:hAnsi="Times New Roman" w:cs="Times New Roman"/>
          <w:b/>
          <w:bCs/>
          <w:kern w:val="0"/>
          <w14:ligatures w14:val="none"/>
        </w:rPr>
        <w:t>pleasantness</w:t>
      </w:r>
      <w:r w:rsidRPr="00936D88">
        <w:rPr>
          <w:rFonts w:ascii="Times New Roman" w:eastAsia="Times New Roman" w:hAnsi="Times New Roman" w:cs="Times New Roman"/>
          <w:kern w:val="0"/>
          <w14:ligatures w14:val="none"/>
        </w:rPr>
        <w:t xml:space="preserve"> (pleasant–unpleasant), the secondary dimension is </w:t>
      </w:r>
      <w:r w:rsidRPr="00936D88">
        <w:rPr>
          <w:rFonts w:ascii="Times New Roman" w:eastAsia="Times New Roman" w:hAnsi="Times New Roman" w:cs="Times New Roman"/>
          <w:b/>
          <w:bCs/>
          <w:kern w:val="0"/>
          <w14:ligatures w14:val="none"/>
        </w:rPr>
        <w:t>eventfulness</w:t>
      </w:r>
      <w:r w:rsidRPr="00936D88">
        <w:rPr>
          <w:rFonts w:ascii="Times New Roman" w:eastAsia="Times New Roman" w:hAnsi="Times New Roman" w:cs="Times New Roman"/>
          <w:kern w:val="0"/>
          <w14:ligatures w14:val="none"/>
        </w:rPr>
        <w:t xml:space="preserve"> (eventful–uneventful). These two axes account for ~73% of variance in soundscape perception across a wide range of environments. This circumplex is the phenomenological structure waiting for a mechanistic decomposition, and the reduction below provides it.</w:t>
      </w:r>
    </w:p>
    <w:p w14:paraId="556227C2" w14:textId="77777777" w:rsidR="00936D88" w:rsidRPr="00936D88" w:rsidRDefault="00936D88" w:rsidP="00936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6D88">
        <w:rPr>
          <w:rFonts w:ascii="Times New Roman" w:eastAsia="Times New Roman" w:hAnsi="Times New Roman" w:cs="Times New Roman"/>
          <w:b/>
          <w:bCs/>
          <w:kern w:val="0"/>
          <w:sz w:val="27"/>
          <w:szCs w:val="27"/>
          <w14:ligatures w14:val="none"/>
        </w:rPr>
        <w:t>2.2 Reduction: T1 Framework Coverage</w:t>
      </w:r>
    </w:p>
    <w:p w14:paraId="319C2867"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Primary framework: IC (Interoceptive / Constructionist Affect)</w:t>
      </w:r>
    </w:p>
    <w:p w14:paraId="4EC6B29C"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Barrett's (2017) constructionist theory of emotion is the natural home for soundscape perception. Acoustic signals arrive at the auditory cortex and — crucially — also reach the anterior insular cortex and the cingulate, which are the primary interoceptive processing hubs. Sound is not a purely exteroceptive modality in its affective dimension: low-frequency sound (particularly infrasound and bass frequencies) produces visceral sensations — chest pressure, gut response, </w:t>
      </w:r>
      <w:r w:rsidRPr="00936D88">
        <w:rPr>
          <w:rFonts w:ascii="Times New Roman" w:eastAsia="Times New Roman" w:hAnsi="Times New Roman" w:cs="Times New Roman"/>
          <w:kern w:val="0"/>
          <w14:ligatures w14:val="none"/>
        </w:rPr>
        <w:lastRenderedPageBreak/>
        <w:t>arousal — via bone conduction and the cochlea's connection to the somatosensory system (Todd &amp; Cody, 2000). The "unpleasantness" of traffic noise is therefore partly an interoceptive construction: the body is predicting a threat from a sonic environment associated (through conditioning) with danger, crowding, and loss of control. Seth's (2013) interoceptive prediction framework predicts that the same sound file will produce different interoceptive responses depending on the prior the listener brings to the encounter — and this is precisely what the ISO 12913 context-dependency finding demonstrates.</w:t>
      </w:r>
    </w:p>
    <w:p w14:paraId="37BEF78B"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The pleasantness–eventfulness circumplex can be decomposed in IC terms: the pleasantness axis is primarily an interoceptive valence dimension (body budget cost vs. benefit), while the eventfulness axis reflects a prediction error magnitude dimension (how much the acoustic environment deviates from the baseline prior). High pleasantness + low eventfulness (quiet park) = low prediction error, low body budget cost. High pleasantness + high eventfulness (lively café) = moderate prediction error interpreted as positive (within-frame), moderate body budget engagement. Low pleasantness + high eventfulness (busy construction site) = high prediction error, high body budget cost. Low pleasantness + low eventfulness (drone of HVAC) = chronic mild prediction error at subthreshold level, producing the insidious fatigue documented in open-plan office research (Haapakangas, Helenius, Keskinen, &amp; Hongisto, 2008).</w:t>
      </w:r>
    </w:p>
    <w:p w14:paraId="342B666A"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Secondary framework: PP (Predictive Processing)</w:t>
      </w:r>
    </w:p>
    <w:p w14:paraId="0004BEF6"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Friston's (2010) framework handles the context-dependency finding at the computational level. The key insight is that the brain maintains a hierarchical generative model of the acoustic environment: high-level priors ("I am in a park") set prediction-error thresholds that determine what sounds are experienced as intrusions versus background. Auksztulewicz and Friston (2015) demonstrated that mismatch negativity — the neural signature of acoustic prediction error — is modulated by top-down contextual expectations, providing direct EEG evidence that acoustic perception is prediction-error processing, not passive reception. This means "soundscape" is not a property of the acoustic environment but of the interaction between acoustic environment and generative model — exactly what the ISO definition says in plain language. PP formalizes the mechanism.</w:t>
      </w:r>
    </w:p>
    <w:p w14:paraId="511E9DA9"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Secondary framework: NM (Neuromodulatory Systems)</w:t>
      </w:r>
    </w:p>
    <w:p w14:paraId="1E934260"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The affective valence of soundscapes is critically mediated by dopaminergic and noradrenergic systems. Salimpoor, Benovoy, Larcher, Dagher, and Zatorre (2011) demonstrated that music-induced pleasure involves dopamine release in the nucleus accumbens, with anticipatory dopamine preceding the pleasurable moment. This mechanism — dopaminergic anticipation of a pleasurable acoustic event — generalizes to soundscape pleasantness: a soundscape that is contextually predicted to be pleasant generates anticipatory dopamine that colors the experience before full acoustic analysis is complete. Conversely, chronic noise exposure produces sustained noradrenergic activation via the locus coeruleus (Abercrombie, Krazell, Zigmond, &amp; Valentino, 1996), directly implicating NM in the body-budget cost of acoustic discomfort.</w:t>
      </w:r>
    </w:p>
    <w:p w14:paraId="12662662"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Secondary framework: MSI (Multisensory Integration)</w:t>
      </w:r>
    </w:p>
    <w:p w14:paraId="73DB3858"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lastRenderedPageBreak/>
        <w:t xml:space="preserve">Soundscapes are not processed in acoustic isolation. The McGurk effect demonstrated cross-modal influence on speech perception, but the architectural analog is the </w:t>
      </w:r>
      <w:r w:rsidRPr="00936D88">
        <w:rPr>
          <w:rFonts w:ascii="Times New Roman" w:eastAsia="Times New Roman" w:hAnsi="Times New Roman" w:cs="Times New Roman"/>
          <w:b/>
          <w:bCs/>
          <w:kern w:val="0"/>
          <w14:ligatures w14:val="none"/>
        </w:rPr>
        <w:t>rubber hand illusion</w:t>
      </w:r>
      <w:r w:rsidRPr="00936D88">
        <w:rPr>
          <w:rFonts w:ascii="Times New Roman" w:eastAsia="Times New Roman" w:hAnsi="Times New Roman" w:cs="Times New Roman"/>
          <w:kern w:val="0"/>
          <w14:ligatures w14:val="none"/>
        </w:rPr>
        <w:t xml:space="preserve"> applied to space: visual information about a space (a park with trees visible, a glass-walled office overlooking a street) modifies the acoustic experience of sounds within it. Maffei and Iachini (2019) showed that visual coherence between acoustic source and environment — seeing birds while hearing birdsong — amplifies the pleasantness response relative to either modality alone. This crossmodal amplification is precisely the MSI framework's territory. The practical implication is that acoustic comfort interventions that provide visual cues congruent with the acoustic source (a fountain visible as well as audible; trees seen through a window while hearing wind) will outperform those that address the acoustic channel alone.</w:t>
      </w:r>
    </w:p>
    <w:p w14:paraId="3C0D7165"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IE-DPT Modulation</w:t>
      </w:r>
    </w:p>
    <w:p w14:paraId="6AC3F90B"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The IE-DPT layer is arguably more important for Soundscape Theory than for any other T1.5 theory except possibly Adaptive Thermal Comfort. The entire ISO 12913-1 "in context" qualifier is IE-DPT. The key templates activated are:</w:t>
      </w:r>
    </w:p>
    <w:p w14:paraId="7B361487" w14:textId="77777777" w:rsidR="00936D88" w:rsidRPr="00936D88" w:rsidRDefault="00936D88" w:rsidP="00936D8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T_IE_001 (Activity-Frame Complexity Retuning)</w:t>
      </w:r>
      <w:r w:rsidRPr="00936D88">
        <w:rPr>
          <w:rFonts w:ascii="Times New Roman" w:eastAsia="Times New Roman" w:hAnsi="Times New Roman" w:cs="Times New Roman"/>
          <w:kern w:val="0"/>
          <w14:ligatures w14:val="none"/>
        </w:rPr>
        <w:t>: A 55 dBA café ambiance is "pleasant" for a person in a relaxation frame and "distracting" for a person in a deep-work frame. Same acoustic signal, different activity-frame prediction, different interoceptive outcome.</w:t>
      </w:r>
    </w:p>
    <w:p w14:paraId="64BE70B5" w14:textId="77777777" w:rsidR="00936D88" w:rsidRPr="00936D88" w:rsidRDefault="00936D88" w:rsidP="00936D8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T_IE_003 (Semantic Override)</w:t>
      </w:r>
      <w:r w:rsidRPr="00936D88">
        <w:rPr>
          <w:rFonts w:ascii="Times New Roman" w:eastAsia="Times New Roman" w:hAnsi="Times New Roman" w:cs="Times New Roman"/>
          <w:kern w:val="0"/>
          <w14:ligatures w14:val="none"/>
        </w:rPr>
        <w:t>: A recording of industrial machinery labeled "avant-garde composition" versus "factory noise" produces different pleasantness ratings in experimental conditions (Schafer, 1977). The semantic label — an explicit-channel input — overrides the acoustic content in determining affective response.</w:t>
      </w:r>
    </w:p>
    <w:p w14:paraId="78F6BEB8" w14:textId="77777777" w:rsidR="00936D88" w:rsidRPr="00936D88" w:rsidRDefault="00936D88" w:rsidP="00936D8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T_IE_006 (Placebo Architecture)</w:t>
      </w:r>
      <w:r w:rsidRPr="00936D88">
        <w:rPr>
          <w:rFonts w:ascii="Times New Roman" w:eastAsia="Times New Roman" w:hAnsi="Times New Roman" w:cs="Times New Roman"/>
          <w:kern w:val="0"/>
          <w14:ligatures w14:val="none"/>
        </w:rPr>
        <w:t>: Telling workers that their open-plan office has "acoustic privacy panels" that are acoustically non-functional improves reported speech privacy satisfaction — the explicit expectation alters the interoceptive construction of the acoustic experience (Kim &amp; de Dear, 2013).</w:t>
      </w:r>
    </w:p>
    <w:p w14:paraId="2CFF996C"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Coverage Fractions (estimated)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1033"/>
        <w:gridCol w:w="6805"/>
      </w:tblGrid>
      <w:tr w:rsidR="00936D88" w:rsidRPr="00936D88" w14:paraId="1C384A6B" w14:textId="77777777">
        <w:trPr>
          <w:tblHeader/>
          <w:tblCellSpacing w:w="15" w:type="dxa"/>
        </w:trPr>
        <w:tc>
          <w:tcPr>
            <w:tcW w:w="0" w:type="auto"/>
            <w:vAlign w:val="center"/>
            <w:hideMark/>
          </w:tcPr>
          <w:p w14:paraId="64AD9262" w14:textId="77777777" w:rsidR="00936D88" w:rsidRPr="00936D88" w:rsidRDefault="00936D88" w:rsidP="00936D88">
            <w:pPr>
              <w:spacing w:after="0" w:line="240" w:lineRule="auto"/>
              <w:jc w:val="center"/>
              <w:rPr>
                <w:rFonts w:ascii="Times New Roman" w:eastAsia="Times New Roman" w:hAnsi="Times New Roman" w:cs="Times New Roman"/>
                <w:b/>
                <w:bCs/>
                <w:kern w:val="0"/>
                <w14:ligatures w14:val="none"/>
              </w:rPr>
            </w:pPr>
            <w:r w:rsidRPr="00936D88">
              <w:rPr>
                <w:rFonts w:ascii="Times New Roman" w:eastAsia="Times New Roman" w:hAnsi="Times New Roman" w:cs="Times New Roman"/>
                <w:b/>
                <w:bCs/>
                <w:kern w:val="0"/>
                <w14:ligatures w14:val="none"/>
              </w:rPr>
              <w:t>T1 Framework</w:t>
            </w:r>
          </w:p>
        </w:tc>
        <w:tc>
          <w:tcPr>
            <w:tcW w:w="0" w:type="auto"/>
            <w:vAlign w:val="center"/>
            <w:hideMark/>
          </w:tcPr>
          <w:p w14:paraId="71D5A4BF" w14:textId="77777777" w:rsidR="00936D88" w:rsidRPr="00936D88" w:rsidRDefault="00936D88" w:rsidP="00936D88">
            <w:pPr>
              <w:spacing w:after="0" w:line="240" w:lineRule="auto"/>
              <w:jc w:val="center"/>
              <w:rPr>
                <w:rFonts w:ascii="Times New Roman" w:eastAsia="Times New Roman" w:hAnsi="Times New Roman" w:cs="Times New Roman"/>
                <w:b/>
                <w:bCs/>
                <w:kern w:val="0"/>
                <w14:ligatures w14:val="none"/>
              </w:rPr>
            </w:pPr>
            <w:r w:rsidRPr="00936D88">
              <w:rPr>
                <w:rFonts w:ascii="Times New Roman" w:eastAsia="Times New Roman" w:hAnsi="Times New Roman" w:cs="Times New Roman"/>
                <w:b/>
                <w:bCs/>
                <w:kern w:val="0"/>
                <w14:ligatures w14:val="none"/>
              </w:rPr>
              <w:t>Coverage</w:t>
            </w:r>
          </w:p>
        </w:tc>
        <w:tc>
          <w:tcPr>
            <w:tcW w:w="0" w:type="auto"/>
            <w:vAlign w:val="center"/>
            <w:hideMark/>
          </w:tcPr>
          <w:p w14:paraId="2C1E29DA" w14:textId="77777777" w:rsidR="00936D88" w:rsidRPr="00936D88" w:rsidRDefault="00936D88" w:rsidP="00936D88">
            <w:pPr>
              <w:spacing w:after="0" w:line="240" w:lineRule="auto"/>
              <w:jc w:val="center"/>
              <w:rPr>
                <w:rFonts w:ascii="Times New Roman" w:eastAsia="Times New Roman" w:hAnsi="Times New Roman" w:cs="Times New Roman"/>
                <w:b/>
                <w:bCs/>
                <w:kern w:val="0"/>
                <w14:ligatures w14:val="none"/>
              </w:rPr>
            </w:pPr>
            <w:r w:rsidRPr="00936D88">
              <w:rPr>
                <w:rFonts w:ascii="Times New Roman" w:eastAsia="Times New Roman" w:hAnsi="Times New Roman" w:cs="Times New Roman"/>
                <w:b/>
                <w:bCs/>
                <w:kern w:val="0"/>
                <w14:ligatures w14:val="none"/>
              </w:rPr>
              <w:t>Primary Constructs Explained</w:t>
            </w:r>
          </w:p>
        </w:tc>
      </w:tr>
      <w:tr w:rsidR="00936D88" w:rsidRPr="00936D88" w14:paraId="0D897955" w14:textId="77777777">
        <w:trPr>
          <w:tblCellSpacing w:w="15" w:type="dxa"/>
        </w:trPr>
        <w:tc>
          <w:tcPr>
            <w:tcW w:w="0" w:type="auto"/>
            <w:vAlign w:val="center"/>
            <w:hideMark/>
          </w:tcPr>
          <w:p w14:paraId="368BA385"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IC</w:t>
            </w:r>
          </w:p>
        </w:tc>
        <w:tc>
          <w:tcPr>
            <w:tcW w:w="0" w:type="auto"/>
            <w:vAlign w:val="center"/>
            <w:hideMark/>
          </w:tcPr>
          <w:p w14:paraId="260CE515"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35%</w:t>
            </w:r>
          </w:p>
        </w:tc>
        <w:tc>
          <w:tcPr>
            <w:tcW w:w="0" w:type="auto"/>
            <w:vAlign w:val="center"/>
            <w:hideMark/>
          </w:tcPr>
          <w:p w14:paraId="57BD2035"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Pleasantness–unpleasantness axis, body-budget cost of noise, interoceptive valence</w:t>
            </w:r>
          </w:p>
        </w:tc>
      </w:tr>
      <w:tr w:rsidR="00936D88" w:rsidRPr="00936D88" w14:paraId="11FE1D46" w14:textId="77777777">
        <w:trPr>
          <w:tblCellSpacing w:w="15" w:type="dxa"/>
        </w:trPr>
        <w:tc>
          <w:tcPr>
            <w:tcW w:w="0" w:type="auto"/>
            <w:vAlign w:val="center"/>
            <w:hideMark/>
          </w:tcPr>
          <w:p w14:paraId="6E0070D1"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PP</w:t>
            </w:r>
          </w:p>
        </w:tc>
        <w:tc>
          <w:tcPr>
            <w:tcW w:w="0" w:type="auto"/>
            <w:vAlign w:val="center"/>
            <w:hideMark/>
          </w:tcPr>
          <w:p w14:paraId="21F4F1F2"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25%</w:t>
            </w:r>
          </w:p>
        </w:tc>
        <w:tc>
          <w:tcPr>
            <w:tcW w:w="0" w:type="auto"/>
            <w:vAlign w:val="center"/>
            <w:hideMark/>
          </w:tcPr>
          <w:p w14:paraId="4CF299AB"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Context-dependency, prediction error magnitude = eventfulness, hierarchical generative model</w:t>
            </w:r>
          </w:p>
        </w:tc>
      </w:tr>
      <w:tr w:rsidR="00936D88" w:rsidRPr="00936D88" w14:paraId="64842F03" w14:textId="77777777">
        <w:trPr>
          <w:tblCellSpacing w:w="15" w:type="dxa"/>
        </w:trPr>
        <w:tc>
          <w:tcPr>
            <w:tcW w:w="0" w:type="auto"/>
            <w:vAlign w:val="center"/>
            <w:hideMark/>
          </w:tcPr>
          <w:p w14:paraId="5CB5CC56"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NM</w:t>
            </w:r>
          </w:p>
        </w:tc>
        <w:tc>
          <w:tcPr>
            <w:tcW w:w="0" w:type="auto"/>
            <w:vAlign w:val="center"/>
            <w:hideMark/>
          </w:tcPr>
          <w:p w14:paraId="456CEB24"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20%</w:t>
            </w:r>
          </w:p>
        </w:tc>
        <w:tc>
          <w:tcPr>
            <w:tcW w:w="0" w:type="auto"/>
            <w:vAlign w:val="center"/>
            <w:hideMark/>
          </w:tcPr>
          <w:p w14:paraId="7E858D21"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Pleasantness anticipation (dopamine), chronic noise arousal (noradrenaline)</w:t>
            </w:r>
          </w:p>
        </w:tc>
      </w:tr>
      <w:tr w:rsidR="00936D88" w:rsidRPr="00936D88" w14:paraId="46473098" w14:textId="77777777">
        <w:trPr>
          <w:tblCellSpacing w:w="15" w:type="dxa"/>
        </w:trPr>
        <w:tc>
          <w:tcPr>
            <w:tcW w:w="0" w:type="auto"/>
            <w:vAlign w:val="center"/>
            <w:hideMark/>
          </w:tcPr>
          <w:p w14:paraId="3E0C61E1"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MSI</w:t>
            </w:r>
          </w:p>
        </w:tc>
        <w:tc>
          <w:tcPr>
            <w:tcW w:w="0" w:type="auto"/>
            <w:vAlign w:val="center"/>
            <w:hideMark/>
          </w:tcPr>
          <w:p w14:paraId="7C13BBC4"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10%</w:t>
            </w:r>
          </w:p>
        </w:tc>
        <w:tc>
          <w:tcPr>
            <w:tcW w:w="0" w:type="auto"/>
            <w:vAlign w:val="center"/>
            <w:hideMark/>
          </w:tcPr>
          <w:p w14:paraId="1C1755E7"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Cross-modal coherence amplification, visual-acoustic congruence</w:t>
            </w:r>
          </w:p>
        </w:tc>
      </w:tr>
      <w:tr w:rsidR="00936D88" w:rsidRPr="00936D88" w14:paraId="7DC6E54C" w14:textId="77777777">
        <w:trPr>
          <w:tblCellSpacing w:w="15" w:type="dxa"/>
        </w:trPr>
        <w:tc>
          <w:tcPr>
            <w:tcW w:w="0" w:type="auto"/>
            <w:vAlign w:val="center"/>
            <w:hideMark/>
          </w:tcPr>
          <w:p w14:paraId="34202178"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IE-DPT</w:t>
            </w:r>
          </w:p>
        </w:tc>
        <w:tc>
          <w:tcPr>
            <w:tcW w:w="0" w:type="auto"/>
            <w:vAlign w:val="center"/>
            <w:hideMark/>
          </w:tcPr>
          <w:p w14:paraId="4FB0C1CC"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10%</w:t>
            </w:r>
          </w:p>
        </w:tc>
        <w:tc>
          <w:tcPr>
            <w:tcW w:w="0" w:type="auto"/>
            <w:vAlign w:val="center"/>
            <w:hideMark/>
          </w:tcPr>
          <w:p w14:paraId="4B079AB5"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Activity-frame modulation, semantic override, placebo acoustic effects</w:t>
            </w:r>
          </w:p>
        </w:tc>
      </w:tr>
    </w:tbl>
    <w:p w14:paraId="525782C1"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lastRenderedPageBreak/>
        <w:t>Irreducible Residual (~10%):</w:t>
      </w:r>
      <w:r w:rsidRPr="00936D88">
        <w:rPr>
          <w:rFonts w:ascii="Times New Roman" w:eastAsia="Times New Roman" w:hAnsi="Times New Roman" w:cs="Times New Roman"/>
          <w:kern w:val="0"/>
          <w14:ligatures w14:val="none"/>
        </w:rPr>
        <w:t xml:space="preserve"> Individual variation in </w:t>
      </w:r>
      <w:r w:rsidRPr="00936D88">
        <w:rPr>
          <w:rFonts w:ascii="Times New Roman" w:eastAsia="Times New Roman" w:hAnsi="Times New Roman" w:cs="Times New Roman"/>
          <w:b/>
          <w:bCs/>
          <w:kern w:val="0"/>
          <w14:ligatures w14:val="none"/>
        </w:rPr>
        <w:t>auditory sensitivity</w:t>
      </w:r>
      <w:r w:rsidRPr="00936D88">
        <w:rPr>
          <w:rFonts w:ascii="Times New Roman" w:eastAsia="Times New Roman" w:hAnsi="Times New Roman" w:cs="Times New Roman"/>
          <w:kern w:val="0"/>
          <w14:ligatures w14:val="none"/>
        </w:rPr>
        <w:t xml:space="preserve"> — particularly hyperacusis, misophonia, and noise sensitivity trait (Stansfeld, 1992) — which involves subcortical auditory processing differences below the cognitive level captured by T1 frameworks. This is the "individual physiological variation" residual category identified in §5 of the transfer document.</w:t>
      </w:r>
    </w:p>
    <w:p w14:paraId="02400068" w14:textId="77777777" w:rsidR="00936D88" w:rsidRPr="00936D88" w:rsidRDefault="00936D88" w:rsidP="00936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6D88">
        <w:rPr>
          <w:rFonts w:ascii="Times New Roman" w:eastAsia="Times New Roman" w:hAnsi="Times New Roman" w:cs="Times New Roman"/>
          <w:b/>
          <w:bCs/>
          <w:kern w:val="0"/>
          <w:sz w:val="27"/>
          <w:szCs w:val="27"/>
          <w14:ligatures w14:val="none"/>
        </w:rPr>
        <w:t>2.3 Proposed T2 Templates</w:t>
      </w:r>
    </w:p>
    <w:p w14:paraId="6C5C4489"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SND1 — Interoceptive Acoustic Valence Construction</w:t>
      </w:r>
    </w:p>
    <w:p w14:paraId="2ABE22CD" w14:textId="77777777" w:rsidR="00936D88" w:rsidRPr="00936D88" w:rsidRDefault="00936D88" w:rsidP="00936D8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Pathway: Acoustic signal (frequency, amplitude, source) → auditory cortex + anterior insula → interoceptive valence prediction (body-budget cost vs. benefit) → pleasantness/unpleasantness judgment</w:t>
      </w:r>
    </w:p>
    <w:p w14:paraId="5B49D396" w14:textId="77777777" w:rsidR="00936D88" w:rsidRPr="00936D88" w:rsidRDefault="00936D88" w:rsidP="00936D8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Frameworks: IC primary, NM secondary</w:t>
      </w:r>
    </w:p>
    <w:p w14:paraId="3A46F56A" w14:textId="77777777" w:rsidR="00936D88" w:rsidRPr="00936D88" w:rsidRDefault="00936D88" w:rsidP="00936D8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Maturity: </w:t>
      </w:r>
      <w:r w:rsidRPr="00936D88">
        <w:rPr>
          <w:rFonts w:ascii="Times New Roman" w:eastAsia="Times New Roman" w:hAnsi="Times New Roman" w:cs="Times New Roman"/>
          <w:b/>
          <w:bCs/>
          <w:kern w:val="0"/>
          <w14:ligatures w14:val="none"/>
        </w:rPr>
        <w:t>How-plausibly</w:t>
      </w:r>
      <w:r w:rsidRPr="00936D88">
        <w:rPr>
          <w:rFonts w:ascii="Times New Roman" w:eastAsia="Times New Roman" w:hAnsi="Times New Roman" w:cs="Times New Roman"/>
          <w:kern w:val="0"/>
          <w14:ligatures w14:val="none"/>
        </w:rPr>
        <w:t xml:space="preserve"> (interoceptive pathway to acoustic affect supported by Todd &amp; Cody, 2000; direct architectural demonstration pending)</w:t>
      </w:r>
    </w:p>
    <w:p w14:paraId="4F41A7C4" w14:textId="77777777" w:rsidR="00936D88" w:rsidRPr="00936D88" w:rsidRDefault="00936D88" w:rsidP="00936D8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Bridge warrant: MECHANISM → P = 0.60</w:t>
      </w:r>
    </w:p>
    <w:p w14:paraId="24CDF640"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SND2 — Contextual Acoustic Prediction Error</w:t>
      </w:r>
    </w:p>
    <w:p w14:paraId="0C6CCC3F" w14:textId="77777777" w:rsidR="00936D88" w:rsidRPr="00936D88" w:rsidRDefault="00936D88" w:rsidP="00936D8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Pathway: Acoustic environment (absolute SPL and spectral content) × activity-frame prior (generative model) → mismatch between predicted and received acoustic signal → prediction error magnitude → eventfulness percept; signed PE direction → pleasantness axis</w:t>
      </w:r>
    </w:p>
    <w:p w14:paraId="44E43BF1" w14:textId="77777777" w:rsidR="00936D88" w:rsidRPr="00936D88" w:rsidRDefault="00936D88" w:rsidP="00936D8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Frameworks: PP primary, IC secondary</w:t>
      </w:r>
    </w:p>
    <w:p w14:paraId="02DC6917" w14:textId="77777777" w:rsidR="00936D88" w:rsidRPr="00936D88" w:rsidRDefault="00936D88" w:rsidP="00936D8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Maturity: </w:t>
      </w:r>
      <w:r w:rsidRPr="00936D88">
        <w:rPr>
          <w:rFonts w:ascii="Times New Roman" w:eastAsia="Times New Roman" w:hAnsi="Times New Roman" w:cs="Times New Roman"/>
          <w:b/>
          <w:bCs/>
          <w:kern w:val="0"/>
          <w14:ligatures w14:val="none"/>
        </w:rPr>
        <w:t>How-plausibly</w:t>
      </w:r>
      <w:r w:rsidRPr="00936D88">
        <w:rPr>
          <w:rFonts w:ascii="Times New Roman" w:eastAsia="Times New Roman" w:hAnsi="Times New Roman" w:cs="Times New Roman"/>
          <w:kern w:val="0"/>
          <w14:ligatures w14:val="none"/>
        </w:rPr>
        <w:t xml:space="preserve"> (Auksztulewicz &amp; Friston, 2015 provides mechanism; architectural context application is extrapolation)</w:t>
      </w:r>
    </w:p>
    <w:p w14:paraId="5CB85758" w14:textId="77777777" w:rsidR="00936D88" w:rsidRPr="00936D88" w:rsidRDefault="00936D88" w:rsidP="00936D8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Bridge warrant: MECHANISM → P = 0.60</w:t>
      </w:r>
    </w:p>
    <w:p w14:paraId="26FBA975"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SND3 — Visual-Acoustic Congruence Amplification</w:t>
      </w:r>
    </w:p>
    <w:p w14:paraId="1FA0B9DC" w14:textId="77777777" w:rsidR="00936D88" w:rsidRPr="00936D88" w:rsidRDefault="00936D88" w:rsidP="00936D8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Pathway: Congruent visual source cue (seeing a fountain) × acoustic signal (water sound) → MSI convergence zone (superior temporal sulcus) → amplified pleasantness relative to acoustic-alone condition</w:t>
      </w:r>
    </w:p>
    <w:p w14:paraId="7406E3EB" w14:textId="77777777" w:rsidR="00936D88" w:rsidRPr="00936D88" w:rsidRDefault="00936D88" w:rsidP="00936D8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Frameworks: MSI primary</w:t>
      </w:r>
    </w:p>
    <w:p w14:paraId="476294A6" w14:textId="77777777" w:rsidR="00936D88" w:rsidRPr="00936D88" w:rsidRDefault="00936D88" w:rsidP="00936D8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Maturity: </w:t>
      </w:r>
      <w:r w:rsidRPr="00936D88">
        <w:rPr>
          <w:rFonts w:ascii="Times New Roman" w:eastAsia="Times New Roman" w:hAnsi="Times New Roman" w:cs="Times New Roman"/>
          <w:b/>
          <w:bCs/>
          <w:kern w:val="0"/>
          <w14:ligatures w14:val="none"/>
        </w:rPr>
        <w:t>How-possibly</w:t>
      </w:r>
      <w:r w:rsidRPr="00936D88">
        <w:rPr>
          <w:rFonts w:ascii="Times New Roman" w:eastAsia="Times New Roman" w:hAnsi="Times New Roman" w:cs="Times New Roman"/>
          <w:kern w:val="0"/>
          <w14:ligatures w14:val="none"/>
        </w:rPr>
        <w:t xml:space="preserve"> (crossmodal pleasantness amplification in Maffei &amp; Iachini, 2019; architectural generalization is speculative)</w:t>
      </w:r>
    </w:p>
    <w:p w14:paraId="2BED7BE6" w14:textId="77777777" w:rsidR="00936D88" w:rsidRPr="00936D88" w:rsidRDefault="00936D88" w:rsidP="00936D8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Bridge warrant: ANALOGICAL → P = 0.35</w:t>
      </w:r>
    </w:p>
    <w:p w14:paraId="50B6E6FE"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SND4 — Chronic Noise Body-Budget Depletion</w:t>
      </w:r>
    </w:p>
    <w:p w14:paraId="13C88035" w14:textId="77777777" w:rsidR="00936D88" w:rsidRPr="00936D88" w:rsidRDefault="00936D88" w:rsidP="00936D8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Pathway: Sustained background noise (particularly speech-frequency noise in open-plan offices) → sustained noradrenergic LC activation → elevated allostatic load → cognitive fatigue, reduced working memory capacity, impaired task performance</w:t>
      </w:r>
    </w:p>
    <w:p w14:paraId="0DEB343E" w14:textId="77777777" w:rsidR="00936D88" w:rsidRPr="00936D88" w:rsidRDefault="00936D88" w:rsidP="00936D8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Frameworks: NM, IC</w:t>
      </w:r>
    </w:p>
    <w:p w14:paraId="133FF0D7" w14:textId="77777777" w:rsidR="00936D88" w:rsidRPr="00936D88" w:rsidRDefault="00936D88" w:rsidP="00936D8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lastRenderedPageBreak/>
        <w:t xml:space="preserve">Maturity: </w:t>
      </w:r>
      <w:r w:rsidRPr="00936D88">
        <w:rPr>
          <w:rFonts w:ascii="Times New Roman" w:eastAsia="Times New Roman" w:hAnsi="Times New Roman" w:cs="Times New Roman"/>
          <w:b/>
          <w:bCs/>
          <w:kern w:val="0"/>
          <w14:ligatures w14:val="none"/>
        </w:rPr>
        <w:t>How-actually</w:t>
      </w:r>
      <w:r w:rsidRPr="00936D88">
        <w:rPr>
          <w:rFonts w:ascii="Times New Roman" w:eastAsia="Times New Roman" w:hAnsi="Times New Roman" w:cs="Times New Roman"/>
          <w:kern w:val="0"/>
          <w14:ligatures w14:val="none"/>
        </w:rPr>
        <w:t xml:space="preserve"> (strongest maturity rating in the soundscape cluster — LC-noradrenaline pathway is established; Evans &amp; Johnson, 2000 demonstrate direct cognitive impairment)</w:t>
      </w:r>
    </w:p>
    <w:p w14:paraId="17071211" w14:textId="77777777" w:rsidR="00936D88" w:rsidRPr="00936D88" w:rsidRDefault="00936D88" w:rsidP="00936D8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Bridge warrant: CONSTITUTIVE → P = 0.75</w:t>
      </w:r>
    </w:p>
    <w:p w14:paraId="054CE53B"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SND5 — Activity-Frame Acoustic Threshold Modulation</w:t>
      </w:r>
      <w:r w:rsidRPr="00936D88">
        <w:rPr>
          <w:rFonts w:ascii="Times New Roman" w:eastAsia="Times New Roman" w:hAnsi="Times New Roman" w:cs="Times New Roman"/>
          <w:kern w:val="0"/>
          <w14:ligatures w14:val="none"/>
        </w:rPr>
        <w:t xml:space="preserve"> (IE-DPT template)</w:t>
      </w:r>
    </w:p>
    <w:p w14:paraId="7202ADBF" w14:textId="77777777" w:rsidR="00936D88" w:rsidRPr="00936D88" w:rsidRDefault="00936D88" w:rsidP="00936D8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Pathway: Activity frame (work vs. rest vs. social) → explicit-channel prior setting → differential prediction-error threshold for same acoustic input → same SPL produces satisfaction or disturbance depending on frame</w:t>
      </w:r>
    </w:p>
    <w:p w14:paraId="6BD063C2" w14:textId="77777777" w:rsidR="00936D88" w:rsidRPr="00936D88" w:rsidRDefault="00936D88" w:rsidP="00936D8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Frameworks: PP, IE-DPT (T_IE_001)</w:t>
      </w:r>
    </w:p>
    <w:p w14:paraId="348FEE8E" w14:textId="77777777" w:rsidR="00936D88" w:rsidRPr="00936D88" w:rsidRDefault="00936D88" w:rsidP="00936D8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Maturity: </w:t>
      </w:r>
      <w:r w:rsidRPr="00936D88">
        <w:rPr>
          <w:rFonts w:ascii="Times New Roman" w:eastAsia="Times New Roman" w:hAnsi="Times New Roman" w:cs="Times New Roman"/>
          <w:b/>
          <w:bCs/>
          <w:kern w:val="0"/>
          <w14:ligatures w14:val="none"/>
        </w:rPr>
        <w:t>How-actually</w:t>
      </w:r>
      <w:r w:rsidRPr="00936D88">
        <w:rPr>
          <w:rFonts w:ascii="Times New Roman" w:eastAsia="Times New Roman" w:hAnsi="Times New Roman" w:cs="Times New Roman"/>
          <w:kern w:val="0"/>
          <w14:ligatures w14:val="none"/>
        </w:rPr>
        <w:t xml:space="preserve"> (Kim &amp; de Dear, 2013; Haapakangas et al., 2008 document frame-dependent noise sensitivity in field studies)</w:t>
      </w:r>
    </w:p>
    <w:p w14:paraId="10BF98C7" w14:textId="77777777" w:rsidR="00936D88" w:rsidRPr="00936D88" w:rsidRDefault="00936D88" w:rsidP="00936D8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Bridge warrant: EMPIRICAL_COVARIANCE → P = 0.60</w:t>
      </w:r>
    </w:p>
    <w:p w14:paraId="2154BFF2" w14:textId="77777777" w:rsidR="00936D88" w:rsidRPr="00936D88" w:rsidRDefault="00936D88" w:rsidP="00936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6D88">
        <w:rPr>
          <w:rFonts w:ascii="Times New Roman" w:eastAsia="Times New Roman" w:hAnsi="Times New Roman" w:cs="Times New Roman"/>
          <w:b/>
          <w:bCs/>
          <w:kern w:val="0"/>
          <w:sz w:val="27"/>
          <w:szCs w:val="27"/>
          <w14:ligatures w14:val="none"/>
        </w:rPr>
        <w:t>2.4 Operationalization for Article Eater</w:t>
      </w:r>
    </w:p>
    <w:p w14:paraId="4B545C7D"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OUTCOME_DOMAIN additions:</w:t>
      </w:r>
    </w:p>
    <w:p w14:paraId="7E6CFC60"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"acoustic.comfort":         ["Soundscape_Theory", "SRT"],</w:t>
      </w:r>
    </w:p>
    <w:p w14:paraId="361AEE54"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"acoustic.pleasantness":    ["Soundscape_Theory"],</w:t>
      </w:r>
    </w:p>
    <w:p w14:paraId="4235E54E"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"acoustic.eventfulness":    ["Soundscape_Theory"],</w:t>
      </w:r>
    </w:p>
    <w:p w14:paraId="28AAC48B"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"perc.noise":               ["Soundscape_Theory"],</w:t>
      </w:r>
    </w:p>
    <w:p w14:paraId="3A42CEDB"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"IEQ.acoustic":             ["Soundscape_Theory"],</w:t>
      </w:r>
    </w:p>
    <w:p w14:paraId="3006708A"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"health.noise_stress":      ["Soundscape_Theory", "SRT"],</w:t>
      </w:r>
    </w:p>
    <w:p w14:paraId="021834D4"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"cogn.distraction":         ["Soundscape_Theory", "ART"],</w:t>
      </w:r>
    </w:p>
    <w:p w14:paraId="75AF628F"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THEORY_KEYWORDS:</w:t>
      </w:r>
    </w:p>
    <w:p w14:paraId="6464F4F8"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"Soundscape_Theory": [</w:t>
      </w:r>
    </w:p>
    <w:p w14:paraId="1016C9F4"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 xml:space="preserve">    "soundscape", "acoustic environment", "ISO 12913", "acoustic comfort",</w:t>
      </w:r>
    </w:p>
    <w:p w14:paraId="554E52C8"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 xml:space="preserve">    "pleasantness", "eventfulness", "noise annoyance", "schafer",</w:t>
      </w:r>
    </w:p>
    <w:p w14:paraId="38CAA4E3"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 xml:space="preserve">    "kang soundscape", "brown soundscape", "axelsson", "perceptual circumplex",</w:t>
      </w:r>
    </w:p>
    <w:p w14:paraId="51247753"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 xml:space="preserve">    "acoustic quality", "sound level", "speech intelligibility",</w:t>
      </w:r>
    </w:p>
    <w:p w14:paraId="7F028357"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 xml:space="preserve">    "background noise", "noise sensitivity", "open plan acoustic"</w:t>
      </w:r>
    </w:p>
    <w:p w14:paraId="1E7598CB"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w:t>
      </w:r>
    </w:p>
    <w:p w14:paraId="207364B6" w14:textId="77777777" w:rsidR="00936D88" w:rsidRPr="00936D88" w:rsidRDefault="00513B94" w:rsidP="00936D88">
      <w:pPr>
        <w:spacing w:after="0" w:line="240" w:lineRule="auto"/>
        <w:rPr>
          <w:rFonts w:ascii="Times New Roman" w:eastAsia="Times New Roman" w:hAnsi="Times New Roman" w:cs="Times New Roman"/>
          <w:kern w:val="0"/>
          <w14:ligatures w14:val="none"/>
        </w:rPr>
      </w:pPr>
      <w:r w:rsidRPr="00513B94">
        <w:rPr>
          <w:rFonts w:ascii="Times New Roman" w:eastAsia="Times New Roman" w:hAnsi="Times New Roman" w:cs="Times New Roman"/>
          <w:noProof/>
          <w:kern w:val="0"/>
        </w:rPr>
        <w:pict w14:anchorId="38A26680">
          <v:rect id="_x0000_i1027" alt="" style="width:468pt;height:.05pt;mso-width-percent:0;mso-height-percent:0;mso-width-percent:0;mso-height-percent:0" o:hralign="center" o:hrstd="t" o:hr="t" fillcolor="#a0a0a0" stroked="f"/>
        </w:pict>
      </w:r>
    </w:p>
    <w:p w14:paraId="05EB601B" w14:textId="77777777" w:rsidR="00936D88" w:rsidRPr="00936D88" w:rsidRDefault="00936D88" w:rsidP="00936D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D88">
        <w:rPr>
          <w:rFonts w:ascii="Times New Roman" w:eastAsia="Times New Roman" w:hAnsi="Times New Roman" w:cs="Times New Roman"/>
          <w:b/>
          <w:bCs/>
          <w:kern w:val="0"/>
          <w:sz w:val="36"/>
          <w:szCs w:val="36"/>
          <w14:ligatures w14:val="none"/>
        </w:rPr>
        <w:t>PART III: PLACE ATTACHMENT</w:t>
      </w:r>
    </w:p>
    <w:p w14:paraId="31D291F3" w14:textId="77777777" w:rsidR="00936D88" w:rsidRPr="00936D88" w:rsidRDefault="00936D88" w:rsidP="00936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6D88">
        <w:rPr>
          <w:rFonts w:ascii="Times New Roman" w:eastAsia="Times New Roman" w:hAnsi="Times New Roman" w:cs="Times New Roman"/>
          <w:b/>
          <w:bCs/>
          <w:kern w:val="0"/>
          <w:sz w:val="27"/>
          <w:szCs w:val="27"/>
          <w14:ligatures w14:val="none"/>
        </w:rPr>
        <w:t>3.1 Theoretical Précis</w:t>
      </w:r>
    </w:p>
    <w:p w14:paraId="7635DC35"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Place Attachment refers to the affective bonds that develop between persons and places through sustained experience, and is the subject of a substantial empirical literature organized most influentially by Scannell and Gifford's (2010) tripartite Person × Process × Place framework (~3,000 GS). The Person dimension captures who is attached (individuals, groups, cultures) and what they bring (identity, biography, prior experience). The Process dimension distinguishes </w:t>
      </w:r>
      <w:r w:rsidRPr="00936D88">
        <w:rPr>
          <w:rFonts w:ascii="Times New Roman" w:eastAsia="Times New Roman" w:hAnsi="Times New Roman" w:cs="Times New Roman"/>
          <w:kern w:val="0"/>
          <w14:ligatures w14:val="none"/>
        </w:rPr>
        <w:lastRenderedPageBreak/>
        <w:t>cognitive (knowledge, memory, schemas), affective (emotional bonds), and behavioral (place-seeking, dwelling, identity defense) components. The Place dimension distinguishes social (relationships formed there) from physical (architectural and natural features) aspects of the place itself. Lewicka's (2011) comprehensive review identified no fewer than eight distinct constructs that have been called "place attachment" in the literature — place identity, place dependence, rootedness, insideness, place belongingness, civic engagement, neighborliness, and memorial place attachment — which creates the definitional instability your briefing rightly flagged as the primary risk.</w:t>
      </w:r>
    </w:p>
    <w:p w14:paraId="0B4DE1A8"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The critical phenomenological insight is temporal: place attachment is about what happens over months and years. The same apartment is experienced as "home" after six months of occupation — not because of any change in its physical features, but because of hippocampal episodic memory binding (Tuan, 1977; Rowles, 1983). This temporal depth distinguishes Place Attachment from all other T1.5 theories in the current roster, which operate on timescales of seconds to minutes.</w:t>
      </w:r>
    </w:p>
    <w:p w14:paraId="45D69C02" w14:textId="77777777" w:rsidR="00936D88" w:rsidRPr="00936D88" w:rsidRDefault="00936D88" w:rsidP="00936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6D88">
        <w:rPr>
          <w:rFonts w:ascii="Times New Roman" w:eastAsia="Times New Roman" w:hAnsi="Times New Roman" w:cs="Times New Roman"/>
          <w:b/>
          <w:bCs/>
          <w:kern w:val="0"/>
          <w:sz w:val="27"/>
          <w:szCs w:val="27"/>
          <w14:ligatures w14:val="none"/>
        </w:rPr>
        <w:t>3.2 Reduction: T1 Framework Coverage</w:t>
      </w:r>
    </w:p>
    <w:p w14:paraId="552BD87C"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Primary framework: MS (Memory Systems)</w:t>
      </w:r>
    </w:p>
    <w:p w14:paraId="0E1CEC22"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McClelland, McNaughton, and O'Reilly's (1995) complementary learning systems framework — distinguishing fast, pattern-separated hippocampal episodic encoding from slow, pattern-completing neocortical semantic consolidation — is the most precise neural substrate for place attachment. The development of attachment across time is, mechanistically, the process by which idiosyncratic episodic memories of a specific place (encoded in hippocampal CA3-DG circuits with high pattern separation) are gradually consolidated into a semantic representation in neocortex that becomes part of the person's self-model. Tuan's (1977) phenomenological distinction between "space" (abstract, generic) and "place" (specific, meaningful) corresponds almost exactly to the episodic–semantic distinction in memory systems: you have semantic representations of "apartment" as a category, and episodic representations of this apartment on the morning you received a particular piece of news. Place attachment is the process by which enough episodic memories associated with a location accumulate sufficient neocortical consolidation weight to alter the semantic self-representation — "this is my apartment" becomes "I am a person who lives here," which eventually becomes "I am the kind of person who lives in places like this."</w:t>
      </w:r>
    </w:p>
    <w:p w14:paraId="069B9B16"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Secondary framework: SN (Spatial Navigation / Cognitive Mapping)</w:t>
      </w:r>
    </w:p>
    <w:p w14:paraId="1A996074"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The hippocampal cognitive map is not merely navigational; it is contextual and identity-binding. Maguire, Intraub, and Mullally (2016) showed that scene construction — the hippocampus's ability to reconstruct the spatial context of a remembered event — is critical to both autobiographical memory retrieval and prospection. A place to which one is attached is, neurally, a place that serves as a rich retrieval cue: entering it reactivates a dense network of episodic memories associated with that context. This is the "rootedness" of Rowles (1983) — the felt sense that one's biographical past is spatially anchored. The loss of a place (demolition, forced displacement) is correspondingly a disruption of the memory retrieval system for a large portion </w:t>
      </w:r>
      <w:r w:rsidRPr="00936D88">
        <w:rPr>
          <w:rFonts w:ascii="Times New Roman" w:eastAsia="Times New Roman" w:hAnsi="Times New Roman" w:cs="Times New Roman"/>
          <w:kern w:val="0"/>
          <w14:ligatures w14:val="none"/>
        </w:rPr>
        <w:lastRenderedPageBreak/>
        <w:t>of one's autobiographical archive — a finding with important clinical implications for the psychological devastation of post-disaster displacement documented by Manzo and Perkins (2006).</w:t>
      </w:r>
    </w:p>
    <w:p w14:paraId="0916043B"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Secondary framework: IC (Interoceptive / Constructionist Affect)</w:t>
      </w:r>
    </w:p>
    <w:p w14:paraId="2CAD06DA"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Barrett's (2017) constructionist account provides the mechanism for the affective component of place attachment — the felt sense that "this is home." This is not a neutral cognitive fact but an interoceptive construction: the body in a familiar, attachment-saturated place has a calibrated interoceptive prior that generates lower prediction errors, lower arousal, and lower body-budget cost than the same body in an unfamiliar place. This is the neural basis of Tuan's (1977) "topophilia" — the love of place — and of Rowles's (1983) observation that elderly residents feel bodily calm in familiar spaces that are objectively suboptimal by health or comfort standards. The body has been conditioned, through thousands of episodes, to predict low threat and moderate reward in the familiar space, and this conditioning is an interoceptive prior that is itself part of the place attachment complex.</w:t>
      </w:r>
    </w:p>
    <w:p w14:paraId="04ECB49D"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Secondary framework: NM (Neuromodulatory Systems)</w:t>
      </w:r>
    </w:p>
    <w:p w14:paraId="07D98F3B"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The development of attachment over time involves the gradual establishment of what might be termed a </w:t>
      </w:r>
      <w:r w:rsidRPr="00936D88">
        <w:rPr>
          <w:rFonts w:ascii="Times New Roman" w:eastAsia="Times New Roman" w:hAnsi="Times New Roman" w:cs="Times New Roman"/>
          <w:b/>
          <w:bCs/>
          <w:kern w:val="0"/>
          <w14:ligatures w14:val="none"/>
        </w:rPr>
        <w:t>place-specific reward landscape</w:t>
      </w:r>
      <w:r w:rsidRPr="00936D88">
        <w:rPr>
          <w:rFonts w:ascii="Times New Roman" w:eastAsia="Times New Roman" w:hAnsi="Times New Roman" w:cs="Times New Roman"/>
          <w:kern w:val="0"/>
          <w14:ligatures w14:val="none"/>
        </w:rPr>
        <w:t xml:space="preserve"> via dopaminergic reinforcement. Each positive experience in a location contributes a small dopaminergic prediction error update (Schultz, Dayan, &amp; Montague, 1997) to the value associated with that location's contextual representation. Over months and years, these updates accumulate into a robust dopaminergic prior — the place is now strongly associated with reward expectation — which is part of what is phenomenologically experienced as "attachment." Deprivation of the place (eviction, relocation) then constitutes a disruption of the learned reward landscape, which is experienced as loss and grief. This is not merely metaphor; it implicates the same NM mechanisms as other forms of reward deprivation.</w:t>
      </w:r>
    </w:p>
    <w:p w14:paraId="405873A5"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IE-DPT Modulation — The Critical Dimension</w:t>
      </w:r>
    </w:p>
    <w:p w14:paraId="1C595709"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The IE-DPT layer is especially consequential for Place Attachment because the theory's most distinctive phenomena are explicitly-mediated. Three templates are particularly salient:</w:t>
      </w:r>
    </w:p>
    <w:p w14:paraId="2A6CC2CC" w14:textId="77777777" w:rsidR="00936D88" w:rsidRPr="00936D88" w:rsidRDefault="00936D88" w:rsidP="00936D8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T_IE_003 (Semantic Override)</w:t>
      </w:r>
      <w:r w:rsidRPr="00936D88">
        <w:rPr>
          <w:rFonts w:ascii="Times New Roman" w:eastAsia="Times New Roman" w:hAnsi="Times New Roman" w:cs="Times New Roman"/>
          <w:kern w:val="0"/>
          <w14:ligatures w14:val="none"/>
        </w:rPr>
        <w:t>: The decision to move to a place, versus being assigned or forced into it, creates a fundamentally different attachment trajectory. Tversky and Kahneman's (1981) work on choice-framing effects, applied to spatial context, predicts that people who chose their apartment will construe its features more favorably over time (cognitive dissonance reduction = explicit channel post-hoc rationalization) than people who were assigned it. This is not a minor modulation; it is a substantial predictor of attachment magnitude. The IKEA effect (Norton, Mochon, &amp; Ariely, 2012) generalizes here: places in which one has invested effortful labor (renovation, decoration, gardening) develop stronger attachment bonds than equivalent places into which no labor was invested — a phenomenon entirely invisible to an implicit-channel-only account.</w:t>
      </w:r>
    </w:p>
    <w:p w14:paraId="2979CD60" w14:textId="77777777" w:rsidR="00936D88" w:rsidRPr="00936D88" w:rsidRDefault="00936D88" w:rsidP="00936D8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lastRenderedPageBreak/>
        <w:t>T_IE_008 (Trauma-Space Interaction)</w:t>
      </w:r>
      <w:r w:rsidRPr="00936D88">
        <w:rPr>
          <w:rFonts w:ascii="Times New Roman" w:eastAsia="Times New Roman" w:hAnsi="Times New Roman" w:cs="Times New Roman"/>
          <w:kern w:val="0"/>
          <w14:ligatures w14:val="none"/>
        </w:rPr>
        <w:t>: Places can be the locus of traumatic episodes, producing negative attachment — avoidance, dread, intrusive recollection — rather than positive attachment. The same MS mechanism (hippocampal binding of episodic memories to location) produces radically different affective outcomes depending on whether the bound episodes are positively or negatively valenced. Post-disaster reconstruction research (Manzo &amp; Perkins, 2006) consistently shows that rebuilt structures that are physically identical to destroyed ones are not experienced as "home" — the episodic memory archive for that configuration of spatial features was destroyed along with the original structure, and the new structure has not yet accumulated sufficient binding. This is a finding with direct practical implications for healthcare facility design.</w:t>
      </w:r>
    </w:p>
    <w:p w14:paraId="40C8975E" w14:textId="77777777" w:rsidR="00936D88" w:rsidRPr="00936D88" w:rsidRDefault="00936D88" w:rsidP="00936D8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T_IE_002 (Expertise-Modulated Aesthetic Divergence)</w:t>
      </w:r>
      <w:r w:rsidRPr="00936D88">
        <w:rPr>
          <w:rFonts w:ascii="Times New Roman" w:eastAsia="Times New Roman" w:hAnsi="Times New Roman" w:cs="Times New Roman"/>
          <w:kern w:val="0"/>
          <w14:ligatures w14:val="none"/>
        </w:rPr>
        <w:t>: Professional users of a place — nurses on a ward, professors in a department building — develop expert schemas that organize their spatial experience differently from novice users or patients/students. The attachment that develops in expert users is partly identity-based (Proshansky, Fabian, &amp; Kaminoff, 1983): the place is experienced as a professional-identity extension, not merely as a physical location. This is an explicit-channel effect operating on the identity-place binding component of Scannell and Gifford's (2010) Person dimension.</w:t>
      </w:r>
    </w:p>
    <w:p w14:paraId="6A63D387"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The Lewicka Problem: Is Place Attachment One Theory or Many?</w:t>
      </w:r>
    </w:p>
    <w:p w14:paraId="12B6CED8"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The reduction supports your prediction that Place Attachment may be a construct cluster rather than a unitary theory. The following sub-components appear to be mechanistically distinct:</w:t>
      </w:r>
    </w:p>
    <w:p w14:paraId="0A29DE0F" w14:textId="77777777" w:rsidR="00936D88" w:rsidRPr="00936D88" w:rsidRDefault="00936D88" w:rsidP="00936D8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Memory-based familiarity</w:t>
      </w:r>
      <w:r w:rsidRPr="00936D88">
        <w:rPr>
          <w:rFonts w:ascii="Times New Roman" w:eastAsia="Times New Roman" w:hAnsi="Times New Roman" w:cs="Times New Roman"/>
          <w:kern w:val="0"/>
          <w14:ligatures w14:val="none"/>
        </w:rPr>
        <w:t xml:space="preserve"> (MS: hippocampal episodic accumulation) — this is the "rootedness" component, purely temporal, purely accumulative</w:t>
      </w:r>
    </w:p>
    <w:p w14:paraId="033891A9" w14:textId="77777777" w:rsidR="00936D88" w:rsidRPr="00936D88" w:rsidRDefault="00936D88" w:rsidP="00936D8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Territorial control</w:t>
      </w:r>
      <w:r w:rsidRPr="00936D88">
        <w:rPr>
          <w:rFonts w:ascii="Times New Roman" w:eastAsia="Times New Roman" w:hAnsi="Times New Roman" w:cs="Times New Roman"/>
          <w:kern w:val="0"/>
          <w14:ligatures w14:val="none"/>
        </w:rPr>
        <w:t xml:space="preserve"> (the proposed PR2 template: MS + SN) — the space as a possession whose boundaries are cognitively mapped and defended</w:t>
      </w:r>
    </w:p>
    <w:p w14:paraId="2C38BA51" w14:textId="77777777" w:rsidR="00936D88" w:rsidRPr="00936D88" w:rsidRDefault="00936D88" w:rsidP="00936D8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Identity-place binding</w:t>
      </w:r>
      <w:r w:rsidRPr="00936D88">
        <w:rPr>
          <w:rFonts w:ascii="Times New Roman" w:eastAsia="Times New Roman" w:hAnsi="Times New Roman" w:cs="Times New Roman"/>
          <w:kern w:val="0"/>
          <w14:ligatures w14:val="none"/>
        </w:rPr>
        <w:t xml:space="preserve"> (IC + explicit channel: self-model updating via interoceptive familiarity + conscious identity narrative) — "I am the kind of person who lives here"</w:t>
      </w:r>
    </w:p>
    <w:p w14:paraId="17507891" w14:textId="77777777" w:rsidR="00936D88" w:rsidRPr="00936D88" w:rsidRDefault="00936D88" w:rsidP="00936D8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Aesthetic preference from exposure</w:t>
      </w:r>
      <w:r w:rsidRPr="00936D88">
        <w:rPr>
          <w:rFonts w:ascii="Times New Roman" w:eastAsia="Times New Roman" w:hAnsi="Times New Roman" w:cs="Times New Roman"/>
          <w:kern w:val="0"/>
          <w14:ligatures w14:val="none"/>
        </w:rPr>
        <w:t xml:space="preserve"> (PP + NM: mere exposure → reduced prediction error → positive valence → preference) — the Zajonc (1968) effect applied to space</w:t>
      </w:r>
    </w:p>
    <w:p w14:paraId="052E1391"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These four sub-components co-occur in long-term occupancy but are separable. Sub-component 2 overlaps substantially with Privacy Regulation's PR2 template (already proposed). Sub-component 4 overlaps with Kaplan Preference Matrix and Berlyne's complexity-preference theory. This is a case where the reduction reveals that a T1.5 theory is better formalized as a named cluster pointing to several distinct T2 templates, rather than as a unified theory pointing to one primary T1 framework. The appropriate register in the Article Eater is to retain Place Attachment as a </w:t>
      </w:r>
      <w:r w:rsidRPr="00936D88">
        <w:rPr>
          <w:rFonts w:ascii="Courier New" w:eastAsia="Times New Roman" w:hAnsi="Courier New" w:cs="Courier New"/>
          <w:kern w:val="0"/>
          <w:sz w:val="20"/>
          <w:szCs w:val="20"/>
          <w14:ligatures w14:val="none"/>
        </w:rPr>
        <w:t>theory_id</w:t>
      </w:r>
      <w:r w:rsidRPr="00936D88">
        <w:rPr>
          <w:rFonts w:ascii="Times New Roman" w:eastAsia="Times New Roman" w:hAnsi="Times New Roman" w:cs="Times New Roman"/>
          <w:kern w:val="0"/>
          <w14:ligatures w14:val="none"/>
        </w:rPr>
        <w:t xml:space="preserve"> tag that activates a set of templates — rather than a single primary template — and to expose this multi-component structure in the credence aggregation logic.</w:t>
      </w:r>
    </w:p>
    <w:p w14:paraId="53B160B1"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Coverage Fractions (estimated)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1033"/>
        <w:gridCol w:w="6747"/>
      </w:tblGrid>
      <w:tr w:rsidR="00936D88" w:rsidRPr="00936D88" w14:paraId="2A7F135D" w14:textId="77777777">
        <w:trPr>
          <w:tblHeader/>
          <w:tblCellSpacing w:w="15" w:type="dxa"/>
        </w:trPr>
        <w:tc>
          <w:tcPr>
            <w:tcW w:w="0" w:type="auto"/>
            <w:vAlign w:val="center"/>
            <w:hideMark/>
          </w:tcPr>
          <w:p w14:paraId="56D736EC" w14:textId="77777777" w:rsidR="00936D88" w:rsidRPr="00936D88" w:rsidRDefault="00936D88" w:rsidP="00936D88">
            <w:pPr>
              <w:spacing w:after="0" w:line="240" w:lineRule="auto"/>
              <w:jc w:val="center"/>
              <w:rPr>
                <w:rFonts w:ascii="Times New Roman" w:eastAsia="Times New Roman" w:hAnsi="Times New Roman" w:cs="Times New Roman"/>
                <w:b/>
                <w:bCs/>
                <w:kern w:val="0"/>
                <w14:ligatures w14:val="none"/>
              </w:rPr>
            </w:pPr>
            <w:r w:rsidRPr="00936D88">
              <w:rPr>
                <w:rFonts w:ascii="Times New Roman" w:eastAsia="Times New Roman" w:hAnsi="Times New Roman" w:cs="Times New Roman"/>
                <w:b/>
                <w:bCs/>
                <w:kern w:val="0"/>
                <w14:ligatures w14:val="none"/>
              </w:rPr>
              <w:t>T1 Framework</w:t>
            </w:r>
          </w:p>
        </w:tc>
        <w:tc>
          <w:tcPr>
            <w:tcW w:w="0" w:type="auto"/>
            <w:vAlign w:val="center"/>
            <w:hideMark/>
          </w:tcPr>
          <w:p w14:paraId="1962E6A9" w14:textId="77777777" w:rsidR="00936D88" w:rsidRPr="00936D88" w:rsidRDefault="00936D88" w:rsidP="00936D88">
            <w:pPr>
              <w:spacing w:after="0" w:line="240" w:lineRule="auto"/>
              <w:jc w:val="center"/>
              <w:rPr>
                <w:rFonts w:ascii="Times New Roman" w:eastAsia="Times New Roman" w:hAnsi="Times New Roman" w:cs="Times New Roman"/>
                <w:b/>
                <w:bCs/>
                <w:kern w:val="0"/>
                <w14:ligatures w14:val="none"/>
              </w:rPr>
            </w:pPr>
            <w:r w:rsidRPr="00936D88">
              <w:rPr>
                <w:rFonts w:ascii="Times New Roman" w:eastAsia="Times New Roman" w:hAnsi="Times New Roman" w:cs="Times New Roman"/>
                <w:b/>
                <w:bCs/>
                <w:kern w:val="0"/>
                <w14:ligatures w14:val="none"/>
              </w:rPr>
              <w:t>Coverage</w:t>
            </w:r>
          </w:p>
        </w:tc>
        <w:tc>
          <w:tcPr>
            <w:tcW w:w="0" w:type="auto"/>
            <w:vAlign w:val="center"/>
            <w:hideMark/>
          </w:tcPr>
          <w:p w14:paraId="02379C98" w14:textId="77777777" w:rsidR="00936D88" w:rsidRPr="00936D88" w:rsidRDefault="00936D88" w:rsidP="00936D88">
            <w:pPr>
              <w:spacing w:after="0" w:line="240" w:lineRule="auto"/>
              <w:jc w:val="center"/>
              <w:rPr>
                <w:rFonts w:ascii="Times New Roman" w:eastAsia="Times New Roman" w:hAnsi="Times New Roman" w:cs="Times New Roman"/>
                <w:b/>
                <w:bCs/>
                <w:kern w:val="0"/>
                <w14:ligatures w14:val="none"/>
              </w:rPr>
            </w:pPr>
            <w:r w:rsidRPr="00936D88">
              <w:rPr>
                <w:rFonts w:ascii="Times New Roman" w:eastAsia="Times New Roman" w:hAnsi="Times New Roman" w:cs="Times New Roman"/>
                <w:b/>
                <w:bCs/>
                <w:kern w:val="0"/>
                <w14:ligatures w14:val="none"/>
              </w:rPr>
              <w:t>Primary Constructs Explained</w:t>
            </w:r>
          </w:p>
        </w:tc>
      </w:tr>
      <w:tr w:rsidR="00936D88" w:rsidRPr="00936D88" w14:paraId="6A4C7340" w14:textId="77777777">
        <w:trPr>
          <w:tblCellSpacing w:w="15" w:type="dxa"/>
        </w:trPr>
        <w:tc>
          <w:tcPr>
            <w:tcW w:w="0" w:type="auto"/>
            <w:vAlign w:val="center"/>
            <w:hideMark/>
          </w:tcPr>
          <w:p w14:paraId="6816ADB4"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MS</w:t>
            </w:r>
          </w:p>
        </w:tc>
        <w:tc>
          <w:tcPr>
            <w:tcW w:w="0" w:type="auto"/>
            <w:vAlign w:val="center"/>
            <w:hideMark/>
          </w:tcPr>
          <w:p w14:paraId="4912B7D8"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35%</w:t>
            </w:r>
          </w:p>
        </w:tc>
        <w:tc>
          <w:tcPr>
            <w:tcW w:w="0" w:type="auto"/>
            <w:vAlign w:val="center"/>
            <w:hideMark/>
          </w:tcPr>
          <w:p w14:paraId="6E23B10F"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Memory-based familiarity, episodic binding, biographical anchoring</w:t>
            </w:r>
          </w:p>
        </w:tc>
      </w:tr>
      <w:tr w:rsidR="00936D88" w:rsidRPr="00936D88" w14:paraId="7ECD2205" w14:textId="77777777">
        <w:trPr>
          <w:tblCellSpacing w:w="15" w:type="dxa"/>
        </w:trPr>
        <w:tc>
          <w:tcPr>
            <w:tcW w:w="0" w:type="auto"/>
            <w:vAlign w:val="center"/>
            <w:hideMark/>
          </w:tcPr>
          <w:p w14:paraId="11EE402F"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lastRenderedPageBreak/>
              <w:t>IC</w:t>
            </w:r>
          </w:p>
        </w:tc>
        <w:tc>
          <w:tcPr>
            <w:tcW w:w="0" w:type="auto"/>
            <w:vAlign w:val="center"/>
            <w:hideMark/>
          </w:tcPr>
          <w:p w14:paraId="7C210E0F"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25%</w:t>
            </w:r>
          </w:p>
        </w:tc>
        <w:tc>
          <w:tcPr>
            <w:tcW w:w="0" w:type="auto"/>
            <w:vAlign w:val="center"/>
            <w:hideMark/>
          </w:tcPr>
          <w:p w14:paraId="1B253E20"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Interoceptive prior calibration, body-at-home response, topophilic affect</w:t>
            </w:r>
          </w:p>
        </w:tc>
      </w:tr>
      <w:tr w:rsidR="00936D88" w:rsidRPr="00936D88" w14:paraId="4187AB5B" w14:textId="77777777">
        <w:trPr>
          <w:tblCellSpacing w:w="15" w:type="dxa"/>
        </w:trPr>
        <w:tc>
          <w:tcPr>
            <w:tcW w:w="0" w:type="auto"/>
            <w:vAlign w:val="center"/>
            <w:hideMark/>
          </w:tcPr>
          <w:p w14:paraId="1E9F1633"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SN</w:t>
            </w:r>
          </w:p>
        </w:tc>
        <w:tc>
          <w:tcPr>
            <w:tcW w:w="0" w:type="auto"/>
            <w:vAlign w:val="center"/>
            <w:hideMark/>
          </w:tcPr>
          <w:p w14:paraId="58236A15"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20%</w:t>
            </w:r>
          </w:p>
        </w:tc>
        <w:tc>
          <w:tcPr>
            <w:tcW w:w="0" w:type="auto"/>
            <w:vAlign w:val="center"/>
            <w:hideMark/>
          </w:tcPr>
          <w:p w14:paraId="61A99360"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Spatial context as retrieval cue, cognitive map saturation, territorial familiarity</w:t>
            </w:r>
          </w:p>
        </w:tc>
      </w:tr>
      <w:tr w:rsidR="00936D88" w:rsidRPr="00936D88" w14:paraId="516567BD" w14:textId="77777777">
        <w:trPr>
          <w:tblCellSpacing w:w="15" w:type="dxa"/>
        </w:trPr>
        <w:tc>
          <w:tcPr>
            <w:tcW w:w="0" w:type="auto"/>
            <w:vAlign w:val="center"/>
            <w:hideMark/>
          </w:tcPr>
          <w:p w14:paraId="0CC5A7F7"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NM</w:t>
            </w:r>
          </w:p>
        </w:tc>
        <w:tc>
          <w:tcPr>
            <w:tcW w:w="0" w:type="auto"/>
            <w:vAlign w:val="center"/>
            <w:hideMark/>
          </w:tcPr>
          <w:p w14:paraId="15C96368"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10%</w:t>
            </w:r>
          </w:p>
        </w:tc>
        <w:tc>
          <w:tcPr>
            <w:tcW w:w="0" w:type="auto"/>
            <w:vAlign w:val="center"/>
            <w:hideMark/>
          </w:tcPr>
          <w:p w14:paraId="69F75ADB"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Reward landscape accumulation, loss-as-deprivation</w:t>
            </w:r>
          </w:p>
        </w:tc>
      </w:tr>
      <w:tr w:rsidR="00936D88" w:rsidRPr="00936D88" w14:paraId="5F1DB1E4" w14:textId="77777777">
        <w:trPr>
          <w:tblCellSpacing w:w="15" w:type="dxa"/>
        </w:trPr>
        <w:tc>
          <w:tcPr>
            <w:tcW w:w="0" w:type="auto"/>
            <w:vAlign w:val="center"/>
            <w:hideMark/>
          </w:tcPr>
          <w:p w14:paraId="3A4991E1"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IE-DPT</w:t>
            </w:r>
          </w:p>
        </w:tc>
        <w:tc>
          <w:tcPr>
            <w:tcW w:w="0" w:type="auto"/>
            <w:vAlign w:val="center"/>
            <w:hideMark/>
          </w:tcPr>
          <w:p w14:paraId="336E44DF"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10%</w:t>
            </w:r>
          </w:p>
        </w:tc>
        <w:tc>
          <w:tcPr>
            <w:tcW w:w="0" w:type="auto"/>
            <w:vAlign w:val="center"/>
            <w:hideMark/>
          </w:tcPr>
          <w:p w14:paraId="2854FA93"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Choice effects, IKEA effect, trauma-space, identity binding</w:t>
            </w:r>
          </w:p>
        </w:tc>
      </w:tr>
    </w:tbl>
    <w:p w14:paraId="113E6587"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Irreducible Residual (~20%):</w:t>
      </w:r>
      <w:r w:rsidRPr="00936D88">
        <w:rPr>
          <w:rFonts w:ascii="Times New Roman" w:eastAsia="Times New Roman" w:hAnsi="Times New Roman" w:cs="Times New Roman"/>
          <w:kern w:val="0"/>
          <w14:ligatures w14:val="none"/>
        </w:rPr>
        <w:t xml:space="preserve"> This is the highest irreducible residual of the three reductions, and it falls into two categories: (a) cultural normative frameworks for attachment — what counts as an appropriate attachment relationship to a place is culturally specified in ways that are not yet within the T1 or IE-DPT framework (the §5 "cultural/social norms" residual category); and (b) social attachment to persons who inhabit a place, rather than to the physical place itself — Scannell and Gifford's (2010) social dimension, which is interpersonally mediated and cannot be reduced to individual neural mechanisms without a social cognition framework not yet in the T1 roster.</w:t>
      </w:r>
    </w:p>
    <w:p w14:paraId="21C99C86" w14:textId="77777777" w:rsidR="00936D88" w:rsidRPr="00936D88" w:rsidRDefault="00936D88" w:rsidP="00936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6D88">
        <w:rPr>
          <w:rFonts w:ascii="Times New Roman" w:eastAsia="Times New Roman" w:hAnsi="Times New Roman" w:cs="Times New Roman"/>
          <w:b/>
          <w:bCs/>
          <w:kern w:val="0"/>
          <w:sz w:val="27"/>
          <w:szCs w:val="27"/>
          <w14:ligatures w14:val="none"/>
        </w:rPr>
        <w:t>3.3 Proposed T2 Templates</w:t>
      </w:r>
    </w:p>
    <w:p w14:paraId="4E868829"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PA1 — Episodic Place Binding</w:t>
      </w:r>
    </w:p>
    <w:p w14:paraId="1A2271AD" w14:textId="77777777" w:rsidR="00936D88" w:rsidRPr="00936D88" w:rsidRDefault="00936D88" w:rsidP="00936D8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Pathway: Repeated occupancy of a specific location → hippocampal episodic encoding with spatial context tag → neocortical consolidation → place-specific semantic self-representation → behavioral place-seeking</w:t>
      </w:r>
    </w:p>
    <w:p w14:paraId="366FB917" w14:textId="77777777" w:rsidR="00936D88" w:rsidRPr="00936D88" w:rsidRDefault="00936D88" w:rsidP="00936D8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Frameworks: MS primary, SN secondary</w:t>
      </w:r>
    </w:p>
    <w:p w14:paraId="771C6684" w14:textId="77777777" w:rsidR="00936D88" w:rsidRPr="00936D88" w:rsidRDefault="00936D88" w:rsidP="00936D8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Maturity: </w:t>
      </w:r>
      <w:r w:rsidRPr="00936D88">
        <w:rPr>
          <w:rFonts w:ascii="Times New Roman" w:eastAsia="Times New Roman" w:hAnsi="Times New Roman" w:cs="Times New Roman"/>
          <w:b/>
          <w:bCs/>
          <w:kern w:val="0"/>
          <w14:ligatures w14:val="none"/>
        </w:rPr>
        <w:t>How-plausibly</w:t>
      </w:r>
      <w:r w:rsidRPr="00936D88">
        <w:rPr>
          <w:rFonts w:ascii="Times New Roman" w:eastAsia="Times New Roman" w:hAnsi="Times New Roman" w:cs="Times New Roman"/>
          <w:kern w:val="0"/>
          <w14:ligatures w14:val="none"/>
        </w:rPr>
        <w:t xml:space="preserve"> (memory consolidation mechanism is established; direct architectural demonstration is Maguire et al., 2016 on scene construction; behavioral prediction is strong)</w:t>
      </w:r>
    </w:p>
    <w:p w14:paraId="1795DAE1" w14:textId="77777777" w:rsidR="00936D88" w:rsidRPr="00936D88" w:rsidRDefault="00936D88" w:rsidP="00936D8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Bridge warrant: MECHANISM → P = 0.60</w:t>
      </w:r>
    </w:p>
    <w:p w14:paraId="6AFAA60E"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PA2 — Interoceptive Familiarity Calibration</w:t>
      </w:r>
    </w:p>
    <w:p w14:paraId="2CC14965" w14:textId="77777777" w:rsidR="00936D88" w:rsidRPr="00936D88" w:rsidRDefault="00936D88" w:rsidP="00936D8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Pathway: Cumulative occupancy → interoceptive prior calibration for that spatial context → reduced prediction error in familiar place → positive valence, reduced arousal → phenomenological "homeliness"</w:t>
      </w:r>
    </w:p>
    <w:p w14:paraId="0E296729" w14:textId="77777777" w:rsidR="00936D88" w:rsidRPr="00936D88" w:rsidRDefault="00936D88" w:rsidP="00936D8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Frameworks: IC primary, PP secondary</w:t>
      </w:r>
    </w:p>
    <w:p w14:paraId="65673D99" w14:textId="77777777" w:rsidR="00936D88" w:rsidRPr="00936D88" w:rsidRDefault="00936D88" w:rsidP="00936D8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Maturity: </w:t>
      </w:r>
      <w:r w:rsidRPr="00936D88">
        <w:rPr>
          <w:rFonts w:ascii="Times New Roman" w:eastAsia="Times New Roman" w:hAnsi="Times New Roman" w:cs="Times New Roman"/>
          <w:b/>
          <w:bCs/>
          <w:kern w:val="0"/>
          <w14:ligatures w14:val="none"/>
        </w:rPr>
        <w:t>How-plausibly</w:t>
      </w:r>
    </w:p>
    <w:p w14:paraId="44B30F24" w14:textId="77777777" w:rsidR="00936D88" w:rsidRPr="00936D88" w:rsidRDefault="00936D88" w:rsidP="00936D8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Bridge warrant: MECHANISM → P = 0.60</w:t>
      </w:r>
    </w:p>
    <w:p w14:paraId="2458BBE2"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PA3 — Place-Reward Landscape Accumulation</w:t>
      </w:r>
    </w:p>
    <w:p w14:paraId="7B2CA4D7" w14:textId="77777777" w:rsidR="00936D88" w:rsidRPr="00936D88" w:rsidRDefault="00936D88" w:rsidP="00936D8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Pathway: Repeated positive episodes in location → dopaminergic PE updates → gradually elevated reward prior for location context → attachment as accumulated reward prediction → loss as reward landscape disruption</w:t>
      </w:r>
    </w:p>
    <w:p w14:paraId="7ABCC0D7" w14:textId="77777777" w:rsidR="00936D88" w:rsidRPr="00936D88" w:rsidRDefault="00936D88" w:rsidP="00936D8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lastRenderedPageBreak/>
        <w:t>Frameworks: NM primary</w:t>
      </w:r>
    </w:p>
    <w:p w14:paraId="363EF829" w14:textId="77777777" w:rsidR="00936D88" w:rsidRPr="00936D88" w:rsidRDefault="00936D88" w:rsidP="00936D8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Maturity: </w:t>
      </w:r>
      <w:r w:rsidRPr="00936D88">
        <w:rPr>
          <w:rFonts w:ascii="Times New Roman" w:eastAsia="Times New Roman" w:hAnsi="Times New Roman" w:cs="Times New Roman"/>
          <w:b/>
          <w:bCs/>
          <w:kern w:val="0"/>
          <w14:ligatures w14:val="none"/>
        </w:rPr>
        <w:t>How-possibly</w:t>
      </w:r>
    </w:p>
    <w:p w14:paraId="28C300B5" w14:textId="77777777" w:rsidR="00936D88" w:rsidRPr="00936D88" w:rsidRDefault="00936D88" w:rsidP="00936D8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Bridge warrant: ANALOGICAL → P = 0.35</w:t>
      </w:r>
    </w:p>
    <w:p w14:paraId="5BFEE1FD"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PA4 — Identity-Place Binding via Explicit Channel</w:t>
      </w:r>
      <w:r w:rsidRPr="00936D88">
        <w:rPr>
          <w:rFonts w:ascii="Times New Roman" w:eastAsia="Times New Roman" w:hAnsi="Times New Roman" w:cs="Times New Roman"/>
          <w:kern w:val="0"/>
          <w14:ligatures w14:val="none"/>
        </w:rPr>
        <w:t xml:space="preserve"> (IE-DPT template)</w:t>
      </w:r>
    </w:p>
    <w:p w14:paraId="5C3096A0" w14:textId="77777777" w:rsidR="00936D88" w:rsidRPr="00936D88" w:rsidRDefault="00936D88" w:rsidP="00936D8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Pathway: Deliberate choice to occupy / labor investment in place → explicit-channel rationalization + identity narrative formation → place incorporated into self-model → defense of place as identity defense</w:t>
      </w:r>
    </w:p>
    <w:p w14:paraId="4F0F71A8" w14:textId="77777777" w:rsidR="00936D88" w:rsidRPr="00936D88" w:rsidRDefault="00936D88" w:rsidP="00936D8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Frameworks: MS, IC, IE-DPT (T_IE_003, T_IE_002)</w:t>
      </w:r>
    </w:p>
    <w:p w14:paraId="1E882BB3" w14:textId="77777777" w:rsidR="00936D88" w:rsidRPr="00936D88" w:rsidRDefault="00936D88" w:rsidP="00936D8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Maturity: </w:t>
      </w:r>
      <w:r w:rsidRPr="00936D88">
        <w:rPr>
          <w:rFonts w:ascii="Times New Roman" w:eastAsia="Times New Roman" w:hAnsi="Times New Roman" w:cs="Times New Roman"/>
          <w:b/>
          <w:bCs/>
          <w:kern w:val="0"/>
          <w14:ligatures w14:val="none"/>
        </w:rPr>
        <w:t>How-plausibly</w:t>
      </w:r>
      <w:r w:rsidRPr="00936D88">
        <w:rPr>
          <w:rFonts w:ascii="Times New Roman" w:eastAsia="Times New Roman" w:hAnsi="Times New Roman" w:cs="Times New Roman"/>
          <w:kern w:val="0"/>
          <w14:ligatures w14:val="none"/>
        </w:rPr>
        <w:t xml:space="preserve"> (Norton et al., 2012 on IKEA effect; Proshansky et al., 1983 on place-identity)</w:t>
      </w:r>
    </w:p>
    <w:p w14:paraId="69013A8E" w14:textId="77777777" w:rsidR="00936D88" w:rsidRPr="00936D88" w:rsidRDefault="00936D88" w:rsidP="00936D8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Bridge warrant: EMPIRICAL_COVARIANCE → P = 0.60</w:t>
      </w:r>
    </w:p>
    <w:p w14:paraId="6F305331"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PA5 — Displacement Memory Archive Disruption</w:t>
      </w:r>
    </w:p>
    <w:p w14:paraId="2BF47770" w14:textId="77777777" w:rsidR="00936D88" w:rsidRPr="00936D88" w:rsidRDefault="00936D88" w:rsidP="00936D8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Pathway: Involuntary place loss (demolition, eviction, disaster) → disruption of spatial context as episodic retrieval cue → impaired autobiographical memory access → grief, disorientation, reduced wellbeing</w:t>
      </w:r>
    </w:p>
    <w:p w14:paraId="5C96C818" w14:textId="77777777" w:rsidR="00936D88" w:rsidRPr="00936D88" w:rsidRDefault="00936D88" w:rsidP="00936D8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Frameworks: MS, SN, IC</w:t>
      </w:r>
    </w:p>
    <w:p w14:paraId="1F873AB4" w14:textId="77777777" w:rsidR="00936D88" w:rsidRPr="00936D88" w:rsidRDefault="00936D88" w:rsidP="00936D8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Maturity: </w:t>
      </w:r>
      <w:r w:rsidRPr="00936D88">
        <w:rPr>
          <w:rFonts w:ascii="Times New Roman" w:eastAsia="Times New Roman" w:hAnsi="Times New Roman" w:cs="Times New Roman"/>
          <w:b/>
          <w:bCs/>
          <w:kern w:val="0"/>
          <w14:ligatures w14:val="none"/>
        </w:rPr>
        <w:t>How-plausibly</w:t>
      </w:r>
      <w:r w:rsidRPr="00936D88">
        <w:rPr>
          <w:rFonts w:ascii="Times New Roman" w:eastAsia="Times New Roman" w:hAnsi="Times New Roman" w:cs="Times New Roman"/>
          <w:kern w:val="0"/>
          <w14:ligatures w14:val="none"/>
        </w:rPr>
        <w:t xml:space="preserve"> (Manzo &amp; Perkins, 2006; clinical literature on place disruption in aging; architectural inference)</w:t>
      </w:r>
    </w:p>
    <w:p w14:paraId="21E3DA24" w14:textId="77777777" w:rsidR="00936D88" w:rsidRPr="00936D88" w:rsidRDefault="00936D88" w:rsidP="00936D8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Bridge warrant: EMPIRICAL_COVARIANCE → P = 0.60</w:t>
      </w:r>
    </w:p>
    <w:p w14:paraId="3D346D3F" w14:textId="77777777" w:rsidR="00936D88" w:rsidRPr="00936D88" w:rsidRDefault="00936D88" w:rsidP="00936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6D88">
        <w:rPr>
          <w:rFonts w:ascii="Times New Roman" w:eastAsia="Times New Roman" w:hAnsi="Times New Roman" w:cs="Times New Roman"/>
          <w:b/>
          <w:bCs/>
          <w:kern w:val="0"/>
          <w:sz w:val="27"/>
          <w:szCs w:val="27"/>
          <w14:ligatures w14:val="none"/>
        </w:rPr>
        <w:t>3.4 Operationalization for Article Eater</w:t>
      </w:r>
    </w:p>
    <w:p w14:paraId="1F4FDF62"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OUTCOME_DOMAIN additions:</w:t>
      </w:r>
    </w:p>
    <w:p w14:paraId="56396FBE"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"social.place_attachment":  ["Place_Attachment"],</w:t>
      </w:r>
    </w:p>
    <w:p w14:paraId="7480AE40"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"social.belonging":         ["Place_Attachment", "Privacy_Regulation"],</w:t>
      </w:r>
    </w:p>
    <w:p w14:paraId="07A9D27A"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"affect.home":              ["Place_Attachment"],</w:t>
      </w:r>
    </w:p>
    <w:p w14:paraId="18FC4426"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"behav.place_seeking":      ["Place_Attachment"],</w:t>
      </w:r>
    </w:p>
    <w:p w14:paraId="20CF37A1"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"temporal.familiarity":     ["Place_Attachment"],</w:t>
      </w:r>
    </w:p>
    <w:p w14:paraId="4895DC73"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"health.relocation_stress": ["Place_Attachment", "SRT"],</w:t>
      </w:r>
    </w:p>
    <w:p w14:paraId="38371420"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"identity.place":           ["Place_Attachment"],</w:t>
      </w:r>
    </w:p>
    <w:p w14:paraId="340BDC21"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THEORY_KEYWORDS:</w:t>
      </w:r>
    </w:p>
    <w:p w14:paraId="4608A2EC"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"Place_Attachment": [</w:t>
      </w:r>
    </w:p>
    <w:p w14:paraId="545F15C5"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 xml:space="preserve">    "place attachment", "place identity", "place dependence",</w:t>
      </w:r>
    </w:p>
    <w:p w14:paraId="5ED2FED5"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 xml:space="preserve">    "topophilia", "scannell gifford", "lewicka", "tuan", "rowles",</w:t>
      </w:r>
    </w:p>
    <w:p w14:paraId="5F870A2B"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 xml:space="preserve">    "rootedness", "sense of place", "home attachment", "relocation",</w:t>
      </w:r>
    </w:p>
    <w:p w14:paraId="5A9DF6D3"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 xml:space="preserve">    "displacement", "place meaning", "aging in place", "place bonding",</w:t>
      </w:r>
    </w:p>
    <w:p w14:paraId="7912E95F"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 xml:space="preserve">    "proshansky", "place belonging", "manzo"</w:t>
      </w:r>
    </w:p>
    <w:p w14:paraId="658FD0DA" w14:textId="77777777" w:rsidR="00936D88" w:rsidRPr="00936D88" w:rsidRDefault="00936D88" w:rsidP="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6D88">
        <w:rPr>
          <w:rFonts w:ascii="Courier New" w:eastAsia="Times New Roman" w:hAnsi="Courier New" w:cs="Courier New"/>
          <w:kern w:val="0"/>
          <w:sz w:val="20"/>
          <w:szCs w:val="20"/>
          <w14:ligatures w14:val="none"/>
        </w:rPr>
        <w:t>]</w:t>
      </w:r>
    </w:p>
    <w:p w14:paraId="594C3840" w14:textId="77777777" w:rsidR="00936D88" w:rsidRPr="00936D88" w:rsidRDefault="00513B94" w:rsidP="00936D88">
      <w:pPr>
        <w:spacing w:after="0" w:line="240" w:lineRule="auto"/>
        <w:rPr>
          <w:rFonts w:ascii="Times New Roman" w:eastAsia="Times New Roman" w:hAnsi="Times New Roman" w:cs="Times New Roman"/>
          <w:kern w:val="0"/>
          <w14:ligatures w14:val="none"/>
        </w:rPr>
      </w:pPr>
      <w:r w:rsidRPr="00513B94">
        <w:rPr>
          <w:rFonts w:ascii="Times New Roman" w:eastAsia="Times New Roman" w:hAnsi="Times New Roman" w:cs="Times New Roman"/>
          <w:noProof/>
          <w:kern w:val="0"/>
        </w:rPr>
        <w:pict w14:anchorId="605BEF94">
          <v:rect id="_x0000_i1026" alt="" style="width:468pt;height:.05pt;mso-width-percent:0;mso-height-percent:0;mso-width-percent:0;mso-height-percent:0" o:hralign="center" o:hrstd="t" o:hr="t" fillcolor="#a0a0a0" stroked="f"/>
        </w:pict>
      </w:r>
    </w:p>
    <w:p w14:paraId="5C16CF28" w14:textId="77777777" w:rsidR="00936D88" w:rsidRPr="00936D88" w:rsidRDefault="00936D88" w:rsidP="00936D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D88">
        <w:rPr>
          <w:rFonts w:ascii="Times New Roman" w:eastAsia="Times New Roman" w:hAnsi="Times New Roman" w:cs="Times New Roman"/>
          <w:b/>
          <w:bCs/>
          <w:kern w:val="0"/>
          <w:sz w:val="36"/>
          <w:szCs w:val="36"/>
          <w14:ligatures w14:val="none"/>
        </w:rPr>
        <w:lastRenderedPageBreak/>
        <w:t>PART IV: CROSS-CUTTING OBSERVATIONS FROM ALL THREE REDUCTIONS</w:t>
      </w:r>
    </w:p>
    <w:p w14:paraId="72161E8D" w14:textId="77777777" w:rsidR="00936D88" w:rsidRPr="00936D88" w:rsidRDefault="00936D88" w:rsidP="00936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6D88">
        <w:rPr>
          <w:rFonts w:ascii="Times New Roman" w:eastAsia="Times New Roman" w:hAnsi="Times New Roman" w:cs="Times New Roman"/>
          <w:b/>
          <w:bCs/>
          <w:kern w:val="0"/>
          <w:sz w:val="27"/>
          <w:szCs w:val="27"/>
          <w14:ligatures w14:val="none"/>
        </w:rPr>
        <w:t>4.1 Super-Template Confirmations</w:t>
      </w:r>
    </w:p>
    <w:p w14:paraId="559EEC13"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The §5 Finding 2 prediction — that AX4 (Perceived Control) and IC2 (Body Budget Prediction) would recur across all T1.5 reductions — is confirmed in all three cases here:</w:t>
      </w:r>
    </w:p>
    <w:p w14:paraId="4CD38179"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Perceived Control (AX4)</w:t>
      </w:r>
      <w:r w:rsidRPr="00936D88">
        <w:rPr>
          <w:rFonts w:ascii="Times New Roman" w:eastAsia="Times New Roman" w:hAnsi="Times New Roman" w:cs="Times New Roman"/>
          <w:kern w:val="0"/>
          <w14:ligatures w14:val="none"/>
        </w:rPr>
        <w:t>: In Space Syntax, intelligibility is a form of navigational control — the degree to which the local configuration allows reliable prediction of the global. In Soundscape, the distinction between controllable and uncontrollable noise (the primary moderator of noise annoyance; Stansfeld, 1992) is precisely an AX4 effect. In Place Attachment, the deliberate-choice effect on attachment magnitude (T_IE_003, PA4) turns on perceived control over the decision to occupy. AX4 should be formally elevated to super-template status or given explicit cross-reference weight in the credence aggregation.</w:t>
      </w:r>
    </w:p>
    <w:p w14:paraId="691AE05D"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Body Budget Prediction (IC2)</w:t>
      </w:r>
      <w:r w:rsidRPr="00936D88">
        <w:rPr>
          <w:rFonts w:ascii="Times New Roman" w:eastAsia="Times New Roman" w:hAnsi="Times New Roman" w:cs="Times New Roman"/>
          <w:kern w:val="0"/>
          <w14:ligatures w14:val="none"/>
        </w:rPr>
        <w:t>: In Space Syntax, high integration environments reduce navigational uncertainty, which reduces body-budget cost. In Soundscape, the pleasantness axis of the perceptual circumplex is an interoceptive valence dimension (SND1 = IC2 applied acoustically). In Place Attachment, "homeliness" is body-budget prior calibration (PA2 = IC2 applied temporally). IC2 is appearing in spatial configuration, acoustic, and temporal-biographical domains — convergent evidence from three phenomenologically unrelated theories that body-budget minimization is a universal principle of environmental experience, consistent with the allostatic meta-principle identified in §2.1 of the transfer document.</w:t>
      </w:r>
    </w:p>
    <w:p w14:paraId="471E2EB8" w14:textId="77777777" w:rsidR="00936D88" w:rsidRPr="00936D88" w:rsidRDefault="00936D88" w:rsidP="00936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6D88">
        <w:rPr>
          <w:rFonts w:ascii="Times New Roman" w:eastAsia="Times New Roman" w:hAnsi="Times New Roman" w:cs="Times New Roman"/>
          <w:b/>
          <w:bCs/>
          <w:kern w:val="0"/>
          <w:sz w:val="27"/>
          <w:szCs w:val="27"/>
          <w14:ligatures w14:val="none"/>
        </w:rPr>
        <w:t>4.2 Structural Finding: The Timescale Ladder</w:t>
      </w:r>
    </w:p>
    <w:p w14:paraId="6BF32800"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The current T1.5 roster now covers four distinct timescales of environmental response, which is a useful organizing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6516"/>
        <w:gridCol w:w="1216"/>
      </w:tblGrid>
      <w:tr w:rsidR="00936D88" w:rsidRPr="00936D88" w14:paraId="6F0A2DA8" w14:textId="77777777">
        <w:trPr>
          <w:tblHeader/>
          <w:tblCellSpacing w:w="15" w:type="dxa"/>
        </w:trPr>
        <w:tc>
          <w:tcPr>
            <w:tcW w:w="0" w:type="auto"/>
            <w:vAlign w:val="center"/>
            <w:hideMark/>
          </w:tcPr>
          <w:p w14:paraId="6A527C10" w14:textId="77777777" w:rsidR="00936D88" w:rsidRPr="00936D88" w:rsidRDefault="00936D88" w:rsidP="00936D88">
            <w:pPr>
              <w:spacing w:after="0" w:line="240" w:lineRule="auto"/>
              <w:jc w:val="center"/>
              <w:rPr>
                <w:rFonts w:ascii="Times New Roman" w:eastAsia="Times New Roman" w:hAnsi="Times New Roman" w:cs="Times New Roman"/>
                <w:b/>
                <w:bCs/>
                <w:kern w:val="0"/>
                <w14:ligatures w14:val="none"/>
              </w:rPr>
            </w:pPr>
            <w:r w:rsidRPr="00936D88">
              <w:rPr>
                <w:rFonts w:ascii="Times New Roman" w:eastAsia="Times New Roman" w:hAnsi="Times New Roman" w:cs="Times New Roman"/>
                <w:b/>
                <w:bCs/>
                <w:kern w:val="0"/>
                <w14:ligatures w14:val="none"/>
              </w:rPr>
              <w:t>Timescale</w:t>
            </w:r>
          </w:p>
        </w:tc>
        <w:tc>
          <w:tcPr>
            <w:tcW w:w="0" w:type="auto"/>
            <w:vAlign w:val="center"/>
            <w:hideMark/>
          </w:tcPr>
          <w:p w14:paraId="796E5996" w14:textId="77777777" w:rsidR="00936D88" w:rsidRPr="00936D88" w:rsidRDefault="00936D88" w:rsidP="00936D88">
            <w:pPr>
              <w:spacing w:after="0" w:line="240" w:lineRule="auto"/>
              <w:jc w:val="center"/>
              <w:rPr>
                <w:rFonts w:ascii="Times New Roman" w:eastAsia="Times New Roman" w:hAnsi="Times New Roman" w:cs="Times New Roman"/>
                <w:b/>
                <w:bCs/>
                <w:kern w:val="0"/>
                <w14:ligatures w14:val="none"/>
              </w:rPr>
            </w:pPr>
            <w:r w:rsidRPr="00936D88">
              <w:rPr>
                <w:rFonts w:ascii="Times New Roman" w:eastAsia="Times New Roman" w:hAnsi="Times New Roman" w:cs="Times New Roman"/>
                <w:b/>
                <w:bCs/>
                <w:kern w:val="0"/>
                <w14:ligatures w14:val="none"/>
              </w:rPr>
              <w:t>Theory</w:t>
            </w:r>
          </w:p>
        </w:tc>
        <w:tc>
          <w:tcPr>
            <w:tcW w:w="0" w:type="auto"/>
            <w:vAlign w:val="center"/>
            <w:hideMark/>
          </w:tcPr>
          <w:p w14:paraId="196FBF4A" w14:textId="77777777" w:rsidR="00936D88" w:rsidRPr="00936D88" w:rsidRDefault="00936D88" w:rsidP="00936D88">
            <w:pPr>
              <w:spacing w:after="0" w:line="240" w:lineRule="auto"/>
              <w:jc w:val="center"/>
              <w:rPr>
                <w:rFonts w:ascii="Times New Roman" w:eastAsia="Times New Roman" w:hAnsi="Times New Roman" w:cs="Times New Roman"/>
                <w:b/>
                <w:bCs/>
                <w:kern w:val="0"/>
                <w14:ligatures w14:val="none"/>
              </w:rPr>
            </w:pPr>
            <w:r w:rsidRPr="00936D88">
              <w:rPr>
                <w:rFonts w:ascii="Times New Roman" w:eastAsia="Times New Roman" w:hAnsi="Times New Roman" w:cs="Times New Roman"/>
                <w:b/>
                <w:bCs/>
                <w:kern w:val="0"/>
                <w14:ligatures w14:val="none"/>
              </w:rPr>
              <w:t>Primary T1</w:t>
            </w:r>
          </w:p>
        </w:tc>
      </w:tr>
      <w:tr w:rsidR="00936D88" w:rsidRPr="00936D88" w14:paraId="73E99827" w14:textId="77777777">
        <w:trPr>
          <w:tblCellSpacing w:w="15" w:type="dxa"/>
        </w:trPr>
        <w:tc>
          <w:tcPr>
            <w:tcW w:w="0" w:type="auto"/>
            <w:vAlign w:val="center"/>
            <w:hideMark/>
          </w:tcPr>
          <w:p w14:paraId="74867393"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Seconds–minutes</w:t>
            </w:r>
          </w:p>
        </w:tc>
        <w:tc>
          <w:tcPr>
            <w:tcW w:w="0" w:type="auto"/>
            <w:vAlign w:val="center"/>
            <w:hideMark/>
          </w:tcPr>
          <w:p w14:paraId="650CBDAB"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ART, SRT, Biophilia, Prospect-Refuge, Soundscape, Space Syntax (movement)</w:t>
            </w:r>
          </w:p>
        </w:tc>
        <w:tc>
          <w:tcPr>
            <w:tcW w:w="0" w:type="auto"/>
            <w:vAlign w:val="center"/>
            <w:hideMark/>
          </w:tcPr>
          <w:p w14:paraId="34D53F49"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PP, NM, IC</w:t>
            </w:r>
          </w:p>
        </w:tc>
      </w:tr>
      <w:tr w:rsidR="00936D88" w:rsidRPr="00936D88" w14:paraId="5AD32F45" w14:textId="77777777">
        <w:trPr>
          <w:tblCellSpacing w:w="15" w:type="dxa"/>
        </w:trPr>
        <w:tc>
          <w:tcPr>
            <w:tcW w:w="0" w:type="auto"/>
            <w:vAlign w:val="center"/>
            <w:hideMark/>
          </w:tcPr>
          <w:p w14:paraId="637EF8B1"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Minutes–hours</w:t>
            </w:r>
          </w:p>
        </w:tc>
        <w:tc>
          <w:tcPr>
            <w:tcW w:w="0" w:type="auto"/>
            <w:vAlign w:val="center"/>
            <w:hideMark/>
          </w:tcPr>
          <w:p w14:paraId="19178721"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Kaplan Preference Matrix, Adaptive Thermal Comfort, Proxemics</w:t>
            </w:r>
          </w:p>
        </w:tc>
        <w:tc>
          <w:tcPr>
            <w:tcW w:w="0" w:type="auto"/>
            <w:vAlign w:val="center"/>
            <w:hideMark/>
          </w:tcPr>
          <w:p w14:paraId="36A7B4E3"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PP, IC, SN</w:t>
            </w:r>
          </w:p>
        </w:tc>
      </w:tr>
      <w:tr w:rsidR="00936D88" w:rsidRPr="00936D88" w14:paraId="73A80285" w14:textId="77777777">
        <w:trPr>
          <w:tblCellSpacing w:w="15" w:type="dxa"/>
        </w:trPr>
        <w:tc>
          <w:tcPr>
            <w:tcW w:w="0" w:type="auto"/>
            <w:vAlign w:val="center"/>
            <w:hideMark/>
          </w:tcPr>
          <w:p w14:paraId="72C95CDB"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Hours–months</w:t>
            </w:r>
          </w:p>
        </w:tc>
        <w:tc>
          <w:tcPr>
            <w:tcW w:w="0" w:type="auto"/>
            <w:vAlign w:val="center"/>
            <w:hideMark/>
          </w:tcPr>
          <w:p w14:paraId="31FC21E4"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Privacy Regulation, Place Attachment (early formation)</w:t>
            </w:r>
          </w:p>
        </w:tc>
        <w:tc>
          <w:tcPr>
            <w:tcW w:w="0" w:type="auto"/>
            <w:vAlign w:val="center"/>
            <w:hideMark/>
          </w:tcPr>
          <w:p w14:paraId="30ACE3B2"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SN, MS</w:t>
            </w:r>
          </w:p>
        </w:tc>
      </w:tr>
      <w:tr w:rsidR="00936D88" w:rsidRPr="00936D88" w14:paraId="5677F3A0" w14:textId="77777777">
        <w:trPr>
          <w:tblCellSpacing w:w="15" w:type="dxa"/>
        </w:trPr>
        <w:tc>
          <w:tcPr>
            <w:tcW w:w="0" w:type="auto"/>
            <w:vAlign w:val="center"/>
            <w:hideMark/>
          </w:tcPr>
          <w:p w14:paraId="0F75A6E0"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Months–years</w:t>
            </w:r>
          </w:p>
        </w:tc>
        <w:tc>
          <w:tcPr>
            <w:tcW w:w="0" w:type="auto"/>
            <w:vAlign w:val="center"/>
            <w:hideMark/>
          </w:tcPr>
          <w:p w14:paraId="2F8F8AE9"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Place Attachment (full development)</w:t>
            </w:r>
          </w:p>
        </w:tc>
        <w:tc>
          <w:tcPr>
            <w:tcW w:w="0" w:type="auto"/>
            <w:vAlign w:val="center"/>
            <w:hideMark/>
          </w:tcPr>
          <w:p w14:paraId="30D0D494" w14:textId="77777777" w:rsidR="00936D88" w:rsidRPr="00936D88" w:rsidRDefault="00936D88" w:rsidP="00936D88">
            <w:pPr>
              <w:spacing w:after="0"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MS primary</w:t>
            </w:r>
          </w:p>
        </w:tc>
      </w:tr>
    </w:tbl>
    <w:p w14:paraId="52CA345D"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This ladder reveals that the T1 frameworks are not equally recruited across timescales: PP and IC dominate short-timescale responses, SN bridges short and medium, MS dominates the long timescale. This is functionally sensible: predictive processing updates rapidly, spatial navigation learns over hours, memory consolidation operates over months.</w:t>
      </w:r>
    </w:p>
    <w:p w14:paraId="3247BB90" w14:textId="77777777" w:rsidR="00936D88" w:rsidRPr="00936D88" w:rsidRDefault="00936D88" w:rsidP="00936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6D88">
        <w:rPr>
          <w:rFonts w:ascii="Times New Roman" w:eastAsia="Times New Roman" w:hAnsi="Times New Roman" w:cs="Times New Roman"/>
          <w:b/>
          <w:bCs/>
          <w:kern w:val="0"/>
          <w:sz w:val="27"/>
          <w:szCs w:val="27"/>
          <w14:ligatures w14:val="none"/>
        </w:rPr>
        <w:lastRenderedPageBreak/>
        <w:t>4.3 The Proxemics Question Clarified</w:t>
      </w:r>
    </w:p>
    <w:p w14:paraId="04F34CBF"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The proposed three reductions sharpen the answer to the question your briefing raised: does Proxemics collapse into Privacy Regulation upon reduction?</w:t>
      </w:r>
    </w:p>
    <w:p w14:paraId="04D3EF2B"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The emerging picture is that there are three distinct social-spatial theories with different temporal signatures and different primary T1 frameworks:</w:t>
      </w:r>
    </w:p>
    <w:p w14:paraId="518AE570" w14:textId="77777777" w:rsidR="00936D88" w:rsidRPr="00936D88" w:rsidRDefault="00936D88" w:rsidP="00936D8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Proxemics</w:t>
      </w:r>
      <w:r w:rsidRPr="00936D88">
        <w:rPr>
          <w:rFonts w:ascii="Times New Roman" w:eastAsia="Times New Roman" w:hAnsi="Times New Roman" w:cs="Times New Roman"/>
          <w:kern w:val="0"/>
          <w14:ligatures w14:val="none"/>
        </w:rPr>
        <w:t xml:space="preserve"> (Hall, 1966): Immediate, sub-second, pre-reflective interpersonal distance regulation. Primary T1: NM (amygdala-mediated threat detection — Kennedy et al., 2009). This is the PR1 template already proposed.</w:t>
      </w:r>
    </w:p>
    <w:p w14:paraId="5890E8F4" w14:textId="77777777" w:rsidR="00936D88" w:rsidRPr="00936D88" w:rsidRDefault="00936D88" w:rsidP="00936D8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Privacy Regulation</w:t>
      </w:r>
      <w:r w:rsidRPr="00936D88">
        <w:rPr>
          <w:rFonts w:ascii="Times New Roman" w:eastAsia="Times New Roman" w:hAnsi="Times New Roman" w:cs="Times New Roman"/>
          <w:kern w:val="0"/>
          <w14:ligatures w14:val="none"/>
        </w:rPr>
        <w:t xml:space="preserve"> (Altman, 1975): Short-to-medium timescale, dialectical, explicitly-mediated boundary management. Primary T1: IC, SN, IE-DPT. This is the five-template PR theory already reduced.</w:t>
      </w:r>
    </w:p>
    <w:p w14:paraId="4A45CEBA" w14:textId="77777777" w:rsidR="00936D88" w:rsidRPr="00936D88" w:rsidRDefault="00936D88" w:rsidP="00936D8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b/>
          <w:bCs/>
          <w:kern w:val="0"/>
          <w14:ligatures w14:val="none"/>
        </w:rPr>
        <w:t>Place Attachment territorial component</w:t>
      </w:r>
      <w:r w:rsidRPr="00936D88">
        <w:rPr>
          <w:rFonts w:ascii="Times New Roman" w:eastAsia="Times New Roman" w:hAnsi="Times New Roman" w:cs="Times New Roman"/>
          <w:kern w:val="0"/>
          <w14:ligatures w14:val="none"/>
        </w:rPr>
        <w:t xml:space="preserve"> (PA2, PA4): Long timescale, identity-integrated territorial familiarity. Primary T1: MS, IC.</w:t>
      </w:r>
    </w:p>
    <w:p w14:paraId="73189999"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These are genuinely distinct and do not collapse. They are better understood as the same architectural concern (spatial boundaries and social contact) operating at three different timescales and three different neural levels — which is itself a theoretically significant finding for the practitioner who wants to know whether a design intervention targeting social comfort will work on the timescale of the first visit, the habitual visit, or the years-long occupancy.</w:t>
      </w:r>
    </w:p>
    <w:p w14:paraId="11C96F3B" w14:textId="77777777" w:rsidR="00936D88" w:rsidRPr="00936D88" w:rsidRDefault="00513B94" w:rsidP="00936D88">
      <w:pPr>
        <w:spacing w:after="0" w:line="240" w:lineRule="auto"/>
        <w:rPr>
          <w:rFonts w:ascii="Times New Roman" w:eastAsia="Times New Roman" w:hAnsi="Times New Roman" w:cs="Times New Roman"/>
          <w:kern w:val="0"/>
          <w14:ligatures w14:val="none"/>
        </w:rPr>
      </w:pPr>
      <w:r w:rsidRPr="00513B94">
        <w:rPr>
          <w:rFonts w:ascii="Times New Roman" w:eastAsia="Times New Roman" w:hAnsi="Times New Roman" w:cs="Times New Roman"/>
          <w:noProof/>
          <w:kern w:val="0"/>
        </w:rPr>
        <w:pict w14:anchorId="6B931A9B">
          <v:rect id="_x0000_i1025" alt="" style="width:468pt;height:.05pt;mso-width-percent:0;mso-height-percent:0;mso-width-percent:0;mso-height-percent:0" o:hralign="center" o:hrstd="t" o:hr="t" fillcolor="#a0a0a0" stroked="f"/>
        </w:pict>
      </w:r>
    </w:p>
    <w:p w14:paraId="77BCEC71" w14:textId="77777777" w:rsidR="00936D88" w:rsidRPr="00936D88" w:rsidRDefault="00936D88" w:rsidP="00936D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D88">
        <w:rPr>
          <w:rFonts w:ascii="Times New Roman" w:eastAsia="Times New Roman" w:hAnsi="Times New Roman" w:cs="Times New Roman"/>
          <w:b/>
          <w:bCs/>
          <w:kern w:val="0"/>
          <w:sz w:val="36"/>
          <w:szCs w:val="36"/>
          <w14:ligatures w14:val="none"/>
        </w:rPr>
        <w:t>References</w:t>
      </w:r>
    </w:p>
    <w:p w14:paraId="25C7AC3B"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Aletta, F., Kang, J., &amp; Axelsson, Ö. (2016). Soundscape descriptors and a conceptual framework for developing predictive soundscape models. </w:t>
      </w:r>
      <w:r w:rsidRPr="00936D88">
        <w:rPr>
          <w:rFonts w:ascii="Times New Roman" w:eastAsia="Times New Roman" w:hAnsi="Times New Roman" w:cs="Times New Roman"/>
          <w:i/>
          <w:iCs/>
          <w:kern w:val="0"/>
          <w14:ligatures w14:val="none"/>
        </w:rPr>
        <w:t>Landscape and Urban Planning</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149</w:t>
      </w:r>
      <w:r w:rsidRPr="00936D88">
        <w:rPr>
          <w:rFonts w:ascii="Times New Roman" w:eastAsia="Times New Roman" w:hAnsi="Times New Roman" w:cs="Times New Roman"/>
          <w:kern w:val="0"/>
          <w14:ligatures w14:val="none"/>
        </w:rPr>
        <w:t>, 65–74. https://doi.org/10.1016/j.landurbplan.2016.02.001</w:t>
      </w:r>
    </w:p>
    <w:p w14:paraId="78270C9A"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Altman, I., &amp; Low, S. M. (Eds.). (1992). </w:t>
      </w:r>
      <w:r w:rsidRPr="00936D88">
        <w:rPr>
          <w:rFonts w:ascii="Times New Roman" w:eastAsia="Times New Roman" w:hAnsi="Times New Roman" w:cs="Times New Roman"/>
          <w:i/>
          <w:iCs/>
          <w:kern w:val="0"/>
          <w14:ligatures w14:val="none"/>
        </w:rPr>
        <w:t>Place attachment</w:t>
      </w:r>
      <w:r w:rsidRPr="00936D88">
        <w:rPr>
          <w:rFonts w:ascii="Times New Roman" w:eastAsia="Times New Roman" w:hAnsi="Times New Roman" w:cs="Times New Roman"/>
          <w:kern w:val="0"/>
          <w14:ligatures w14:val="none"/>
        </w:rPr>
        <w:t>. Plenum Press.</w:t>
      </w:r>
    </w:p>
    <w:p w14:paraId="0D1B607E"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Auksztulewicz, R., &amp; Friston, K. (2015). Attentional enhancement of auditory mismatch responses: A DCM/MEG study. </w:t>
      </w:r>
      <w:r w:rsidRPr="00936D88">
        <w:rPr>
          <w:rFonts w:ascii="Times New Roman" w:eastAsia="Times New Roman" w:hAnsi="Times New Roman" w:cs="Times New Roman"/>
          <w:i/>
          <w:iCs/>
          <w:kern w:val="0"/>
          <w14:ligatures w14:val="none"/>
        </w:rPr>
        <w:t>Cerebral Cortex</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25</w:t>
      </w:r>
      <w:r w:rsidRPr="00936D88">
        <w:rPr>
          <w:rFonts w:ascii="Times New Roman" w:eastAsia="Times New Roman" w:hAnsi="Times New Roman" w:cs="Times New Roman"/>
          <w:kern w:val="0"/>
          <w14:ligatures w14:val="none"/>
        </w:rPr>
        <w:t>(11), 4273–4283. https://doi.org/10.1093/cercor/bhu323</w:t>
      </w:r>
    </w:p>
    <w:p w14:paraId="6E516E81"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Axelsson, Ö., Nilsson, M. E., &amp; Berglund, B. (2010). A principal components model of soundscape perception. </w:t>
      </w:r>
      <w:r w:rsidRPr="00936D88">
        <w:rPr>
          <w:rFonts w:ascii="Times New Roman" w:eastAsia="Times New Roman" w:hAnsi="Times New Roman" w:cs="Times New Roman"/>
          <w:i/>
          <w:iCs/>
          <w:kern w:val="0"/>
          <w14:ligatures w14:val="none"/>
        </w:rPr>
        <w:t>Journal of the Acoustical Society of America</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128</w:t>
      </w:r>
      <w:r w:rsidRPr="00936D88">
        <w:rPr>
          <w:rFonts w:ascii="Times New Roman" w:eastAsia="Times New Roman" w:hAnsi="Times New Roman" w:cs="Times New Roman"/>
          <w:kern w:val="0"/>
          <w14:ligatures w14:val="none"/>
        </w:rPr>
        <w:t>(5), 2836–2846. https://doi.org/10.1121/1.3493436</w:t>
      </w:r>
    </w:p>
    <w:p w14:paraId="45093590"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Barrett, L. F. (2017). </w:t>
      </w:r>
      <w:r w:rsidRPr="00936D88">
        <w:rPr>
          <w:rFonts w:ascii="Times New Roman" w:eastAsia="Times New Roman" w:hAnsi="Times New Roman" w:cs="Times New Roman"/>
          <w:i/>
          <w:iCs/>
          <w:kern w:val="0"/>
          <w14:ligatures w14:val="none"/>
        </w:rPr>
        <w:t>How emotions are made: The secret life of the brain</w:t>
      </w:r>
      <w:r w:rsidRPr="00936D88">
        <w:rPr>
          <w:rFonts w:ascii="Times New Roman" w:eastAsia="Times New Roman" w:hAnsi="Times New Roman" w:cs="Times New Roman"/>
          <w:kern w:val="0"/>
          <w14:ligatures w14:val="none"/>
        </w:rPr>
        <w:t>. Houghton Mifflin Harcourt.</w:t>
      </w:r>
    </w:p>
    <w:p w14:paraId="0D58A1F8"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lastRenderedPageBreak/>
        <w:t xml:space="preserve">Brown, A. L. (2012). A review of progress in soundscapes and an approach to soundscape planning. </w:t>
      </w:r>
      <w:r w:rsidRPr="00936D88">
        <w:rPr>
          <w:rFonts w:ascii="Times New Roman" w:eastAsia="Times New Roman" w:hAnsi="Times New Roman" w:cs="Times New Roman"/>
          <w:i/>
          <w:iCs/>
          <w:kern w:val="0"/>
          <w14:ligatures w14:val="none"/>
        </w:rPr>
        <w:t>International Journal of Acoustics and Vibration</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17</w:t>
      </w:r>
      <w:r w:rsidRPr="00936D88">
        <w:rPr>
          <w:rFonts w:ascii="Times New Roman" w:eastAsia="Times New Roman" w:hAnsi="Times New Roman" w:cs="Times New Roman"/>
          <w:kern w:val="0"/>
          <w14:ligatures w14:val="none"/>
        </w:rPr>
        <w:t>(2), 73–81. https://doi.org/10.20855/ijav.2012.17.2300</w:t>
      </w:r>
    </w:p>
    <w:p w14:paraId="1C4A539B"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Bubic, A., von Cramon, D. Y., &amp; Schubotz, R. I. (2010). Prediction, cognition and the brain. </w:t>
      </w:r>
      <w:r w:rsidRPr="00936D88">
        <w:rPr>
          <w:rFonts w:ascii="Times New Roman" w:eastAsia="Times New Roman" w:hAnsi="Times New Roman" w:cs="Times New Roman"/>
          <w:i/>
          <w:iCs/>
          <w:kern w:val="0"/>
          <w14:ligatures w14:val="none"/>
        </w:rPr>
        <w:t>Frontiers in Human Neuroscience</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4</w:t>
      </w:r>
      <w:r w:rsidRPr="00936D88">
        <w:rPr>
          <w:rFonts w:ascii="Times New Roman" w:eastAsia="Times New Roman" w:hAnsi="Times New Roman" w:cs="Times New Roman"/>
          <w:kern w:val="0"/>
          <w14:ligatures w14:val="none"/>
        </w:rPr>
        <w:t>, Article 25. https://doi.org/10.3389/fnhum.2010.00025</w:t>
      </w:r>
    </w:p>
    <w:p w14:paraId="6A7610BC"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Chemero, A. (2009). </w:t>
      </w:r>
      <w:r w:rsidRPr="00936D88">
        <w:rPr>
          <w:rFonts w:ascii="Times New Roman" w:eastAsia="Times New Roman" w:hAnsi="Times New Roman" w:cs="Times New Roman"/>
          <w:i/>
          <w:iCs/>
          <w:kern w:val="0"/>
          <w14:ligatures w14:val="none"/>
        </w:rPr>
        <w:t>Radical embodied cognitive science</w:t>
      </w:r>
      <w:r w:rsidRPr="00936D88">
        <w:rPr>
          <w:rFonts w:ascii="Times New Roman" w:eastAsia="Times New Roman" w:hAnsi="Times New Roman" w:cs="Times New Roman"/>
          <w:kern w:val="0"/>
          <w14:ligatures w14:val="none"/>
        </w:rPr>
        <w:t>. MIT Press. https://doi.org/10.7551/mitpress/8367.001.0001</w:t>
      </w:r>
    </w:p>
    <w:p w14:paraId="4E6CFBAD"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Evans, G. W., &amp; Johnson, D. (2000). Stress and open-office noise. </w:t>
      </w:r>
      <w:r w:rsidRPr="00936D88">
        <w:rPr>
          <w:rFonts w:ascii="Times New Roman" w:eastAsia="Times New Roman" w:hAnsi="Times New Roman" w:cs="Times New Roman"/>
          <w:i/>
          <w:iCs/>
          <w:kern w:val="0"/>
          <w14:ligatures w14:val="none"/>
        </w:rPr>
        <w:t>Journal of Applied Psychology</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85</w:t>
      </w:r>
      <w:r w:rsidRPr="00936D88">
        <w:rPr>
          <w:rFonts w:ascii="Times New Roman" w:eastAsia="Times New Roman" w:hAnsi="Times New Roman" w:cs="Times New Roman"/>
          <w:kern w:val="0"/>
          <w14:ligatures w14:val="none"/>
        </w:rPr>
        <w:t>(5), 779–783. https://doi.org/10.1037/0021-9010.85.5.779</w:t>
      </w:r>
    </w:p>
    <w:p w14:paraId="45FFED98"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Friston, K. (2010). The free-energy principle: A unified brain theory? </w:t>
      </w:r>
      <w:r w:rsidRPr="00936D88">
        <w:rPr>
          <w:rFonts w:ascii="Times New Roman" w:eastAsia="Times New Roman" w:hAnsi="Times New Roman" w:cs="Times New Roman"/>
          <w:i/>
          <w:iCs/>
          <w:kern w:val="0"/>
          <w14:ligatures w14:val="none"/>
        </w:rPr>
        <w:t>Nature Reviews Neuroscience</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11</w:t>
      </w:r>
      <w:r w:rsidRPr="00936D88">
        <w:rPr>
          <w:rFonts w:ascii="Times New Roman" w:eastAsia="Times New Roman" w:hAnsi="Times New Roman" w:cs="Times New Roman"/>
          <w:kern w:val="0"/>
          <w14:ligatures w14:val="none"/>
        </w:rPr>
        <w:t>(2), 127–138. https://doi.org/10.1038/nrn2787</w:t>
      </w:r>
    </w:p>
    <w:p w14:paraId="064AC095"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Gibson, J. J. (1979). </w:t>
      </w:r>
      <w:r w:rsidRPr="00936D88">
        <w:rPr>
          <w:rFonts w:ascii="Times New Roman" w:eastAsia="Times New Roman" w:hAnsi="Times New Roman" w:cs="Times New Roman"/>
          <w:i/>
          <w:iCs/>
          <w:kern w:val="0"/>
          <w14:ligatures w14:val="none"/>
        </w:rPr>
        <w:t>The ecological approach to visual perception</w:t>
      </w:r>
      <w:r w:rsidRPr="00936D88">
        <w:rPr>
          <w:rFonts w:ascii="Times New Roman" w:eastAsia="Times New Roman" w:hAnsi="Times New Roman" w:cs="Times New Roman"/>
          <w:kern w:val="0"/>
          <w14:ligatures w14:val="none"/>
        </w:rPr>
        <w:t>. Houghton Mifflin.</w:t>
      </w:r>
    </w:p>
    <w:p w14:paraId="7CCAB7DE"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Haapakangas, A., Helenius, R., Keskinen, E., &amp; Hongisto, V. (2008). Perceived acoustic environment, work performance and well-being — Survey results from Finnish offices. </w:t>
      </w:r>
      <w:r w:rsidRPr="00936D88">
        <w:rPr>
          <w:rFonts w:ascii="Times New Roman" w:eastAsia="Times New Roman" w:hAnsi="Times New Roman" w:cs="Times New Roman"/>
          <w:i/>
          <w:iCs/>
          <w:kern w:val="0"/>
          <w14:ligatures w14:val="none"/>
        </w:rPr>
        <w:t>Proceedings of the 9th International Congress on Noise as a Public Health Problem</w:t>
      </w:r>
      <w:r w:rsidRPr="00936D88">
        <w:rPr>
          <w:rFonts w:ascii="Times New Roman" w:eastAsia="Times New Roman" w:hAnsi="Times New Roman" w:cs="Times New Roman"/>
          <w:kern w:val="0"/>
          <w14:ligatures w14:val="none"/>
        </w:rPr>
        <w:t>, 48–55.</w:t>
      </w:r>
    </w:p>
    <w:p w14:paraId="07FCB225"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Hillier, B., &amp; Hanson, J. (1984). </w:t>
      </w:r>
      <w:r w:rsidRPr="00936D88">
        <w:rPr>
          <w:rFonts w:ascii="Times New Roman" w:eastAsia="Times New Roman" w:hAnsi="Times New Roman" w:cs="Times New Roman"/>
          <w:i/>
          <w:iCs/>
          <w:kern w:val="0"/>
          <w14:ligatures w14:val="none"/>
        </w:rPr>
        <w:t>The social logic of space</w:t>
      </w:r>
      <w:r w:rsidRPr="00936D88">
        <w:rPr>
          <w:rFonts w:ascii="Times New Roman" w:eastAsia="Times New Roman" w:hAnsi="Times New Roman" w:cs="Times New Roman"/>
          <w:kern w:val="0"/>
          <w14:ligatures w14:val="none"/>
        </w:rPr>
        <w:t>. Cambridge University Press. https://doi.org/10.1017/CBO9780511597237</w:t>
      </w:r>
    </w:p>
    <w:p w14:paraId="044AD78A"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Hillier, B., Penn, A., Hanson, J., Grajewski, T., &amp; Xu, J. (1993). Natural movement: Or, configuration and attraction in urban pedestrian movement. </w:t>
      </w:r>
      <w:r w:rsidRPr="00936D88">
        <w:rPr>
          <w:rFonts w:ascii="Times New Roman" w:eastAsia="Times New Roman" w:hAnsi="Times New Roman" w:cs="Times New Roman"/>
          <w:i/>
          <w:iCs/>
          <w:kern w:val="0"/>
          <w14:ligatures w14:val="none"/>
        </w:rPr>
        <w:t>Environment and Planning B: Planning and Design</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20</w:t>
      </w:r>
      <w:r w:rsidRPr="00936D88">
        <w:rPr>
          <w:rFonts w:ascii="Times New Roman" w:eastAsia="Times New Roman" w:hAnsi="Times New Roman" w:cs="Times New Roman"/>
          <w:kern w:val="0"/>
          <w14:ligatures w14:val="none"/>
        </w:rPr>
        <w:t>(1), 29–66. https://doi.org/10.1068/b200029</w:t>
      </w:r>
    </w:p>
    <w:p w14:paraId="463B6F0C"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International Organization for Standardization. (2014). </w:t>
      </w:r>
      <w:r w:rsidRPr="00936D88">
        <w:rPr>
          <w:rFonts w:ascii="Times New Roman" w:eastAsia="Times New Roman" w:hAnsi="Times New Roman" w:cs="Times New Roman"/>
          <w:i/>
          <w:iCs/>
          <w:kern w:val="0"/>
          <w14:ligatures w14:val="none"/>
        </w:rPr>
        <w:t>ISO 12913-1:2014: Acoustics — Soundscape — Part 1: Definition and conceptual framework</w:t>
      </w:r>
      <w:r w:rsidRPr="00936D88">
        <w:rPr>
          <w:rFonts w:ascii="Times New Roman" w:eastAsia="Times New Roman" w:hAnsi="Times New Roman" w:cs="Times New Roman"/>
          <w:kern w:val="0"/>
          <w14:ligatures w14:val="none"/>
        </w:rPr>
        <w:t>. ISO.</w:t>
      </w:r>
    </w:p>
    <w:p w14:paraId="711FF5C0"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Kang, J., Aletta, F., Gjestland, T. T., Brown, L. A., Botteldooren, D., Schulte-Fortkamp, B., Lercher, P., van Kamp, I., Genuit, K., Fiebig, A., Bento Coelho, J. L., Maffei, L., &amp; Lavia, L. (2016). Ten questions on the soundscapes of the built environment. </w:t>
      </w:r>
      <w:r w:rsidRPr="00936D88">
        <w:rPr>
          <w:rFonts w:ascii="Times New Roman" w:eastAsia="Times New Roman" w:hAnsi="Times New Roman" w:cs="Times New Roman"/>
          <w:i/>
          <w:iCs/>
          <w:kern w:val="0"/>
          <w14:ligatures w14:val="none"/>
        </w:rPr>
        <w:t>Building and Environment</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108</w:t>
      </w:r>
      <w:r w:rsidRPr="00936D88">
        <w:rPr>
          <w:rFonts w:ascii="Times New Roman" w:eastAsia="Times New Roman" w:hAnsi="Times New Roman" w:cs="Times New Roman"/>
          <w:kern w:val="0"/>
          <w14:ligatures w14:val="none"/>
        </w:rPr>
        <w:t>, 284–294. https://doi.org/10.1016/j.buildenv.2016.08.011</w:t>
      </w:r>
    </w:p>
    <w:p w14:paraId="7223B125"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Kennedy, D. P., Gläscher, J., Tyszka, J. M., &amp; Adolphs, R. (2009). Personal space regulation by the human amygdala. </w:t>
      </w:r>
      <w:r w:rsidRPr="00936D88">
        <w:rPr>
          <w:rFonts w:ascii="Times New Roman" w:eastAsia="Times New Roman" w:hAnsi="Times New Roman" w:cs="Times New Roman"/>
          <w:i/>
          <w:iCs/>
          <w:kern w:val="0"/>
          <w14:ligatures w14:val="none"/>
        </w:rPr>
        <w:t>Nature Neuroscience</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12</w:t>
      </w:r>
      <w:r w:rsidRPr="00936D88">
        <w:rPr>
          <w:rFonts w:ascii="Times New Roman" w:eastAsia="Times New Roman" w:hAnsi="Times New Roman" w:cs="Times New Roman"/>
          <w:kern w:val="0"/>
          <w14:ligatures w14:val="none"/>
        </w:rPr>
        <w:t>(10), 1226–1227. https://doi.org/10.1038/nn.2381</w:t>
      </w:r>
    </w:p>
    <w:p w14:paraId="5E4FD5F2"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Kesner, R. P., &amp; Rolls, E. T. (2015). A computational theory of hippocampal function, and tests of the theory: New developments. </w:t>
      </w:r>
      <w:r w:rsidRPr="00936D88">
        <w:rPr>
          <w:rFonts w:ascii="Times New Roman" w:eastAsia="Times New Roman" w:hAnsi="Times New Roman" w:cs="Times New Roman"/>
          <w:i/>
          <w:iCs/>
          <w:kern w:val="0"/>
          <w14:ligatures w14:val="none"/>
        </w:rPr>
        <w:t>Neuroscience &amp; Biobehavioral Reviews</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48</w:t>
      </w:r>
      <w:r w:rsidRPr="00936D88">
        <w:rPr>
          <w:rFonts w:ascii="Times New Roman" w:eastAsia="Times New Roman" w:hAnsi="Times New Roman" w:cs="Times New Roman"/>
          <w:kern w:val="0"/>
          <w14:ligatures w14:val="none"/>
        </w:rPr>
        <w:t>, 92–147. https://doi.org/10.1016/j.neubiorev.2014.11.009</w:t>
      </w:r>
    </w:p>
    <w:p w14:paraId="37CF8858"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lastRenderedPageBreak/>
        <w:t xml:space="preserve">Kim, J., &amp; de Dear, R. (2013). Workspace satisfaction: The privacy-communication trade-off in open-plan offices. </w:t>
      </w:r>
      <w:r w:rsidRPr="00936D88">
        <w:rPr>
          <w:rFonts w:ascii="Times New Roman" w:eastAsia="Times New Roman" w:hAnsi="Times New Roman" w:cs="Times New Roman"/>
          <w:i/>
          <w:iCs/>
          <w:kern w:val="0"/>
          <w14:ligatures w14:val="none"/>
        </w:rPr>
        <w:t>Journal of Environmental Psychology</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36</w:t>
      </w:r>
      <w:r w:rsidRPr="00936D88">
        <w:rPr>
          <w:rFonts w:ascii="Times New Roman" w:eastAsia="Times New Roman" w:hAnsi="Times New Roman" w:cs="Times New Roman"/>
          <w:kern w:val="0"/>
          <w14:ligatures w14:val="none"/>
        </w:rPr>
        <w:t>, 18–26. https://doi.org/10.1016/j.jenvp.2013.06.007</w:t>
      </w:r>
    </w:p>
    <w:p w14:paraId="2FAE733C"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Lewicka, M. (2011). Place attachment: How much does it depend on place and how much on people? </w:t>
      </w:r>
      <w:r w:rsidRPr="00936D88">
        <w:rPr>
          <w:rFonts w:ascii="Times New Roman" w:eastAsia="Times New Roman" w:hAnsi="Times New Roman" w:cs="Times New Roman"/>
          <w:i/>
          <w:iCs/>
          <w:kern w:val="0"/>
          <w14:ligatures w14:val="none"/>
        </w:rPr>
        <w:t>Environmental and Behavior</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43</w:t>
      </w:r>
      <w:r w:rsidRPr="00936D88">
        <w:rPr>
          <w:rFonts w:ascii="Times New Roman" w:eastAsia="Times New Roman" w:hAnsi="Times New Roman" w:cs="Times New Roman"/>
          <w:kern w:val="0"/>
          <w14:ligatures w14:val="none"/>
        </w:rPr>
        <w:t>(2), 149–169. https://doi.org/10.1177/0013916510361769</w:t>
      </w:r>
    </w:p>
    <w:p w14:paraId="5287816A"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Maffei, L., &amp; Iachini, T. (2019). Acoustic and visual factors in the perception of soundscapes. </w:t>
      </w:r>
      <w:r w:rsidRPr="00936D88">
        <w:rPr>
          <w:rFonts w:ascii="Times New Roman" w:eastAsia="Times New Roman" w:hAnsi="Times New Roman" w:cs="Times New Roman"/>
          <w:i/>
          <w:iCs/>
          <w:kern w:val="0"/>
          <w14:ligatures w14:val="none"/>
        </w:rPr>
        <w:t>Frontiers in Psychology</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10</w:t>
      </w:r>
      <w:r w:rsidRPr="00936D88">
        <w:rPr>
          <w:rFonts w:ascii="Times New Roman" w:eastAsia="Times New Roman" w:hAnsi="Times New Roman" w:cs="Times New Roman"/>
          <w:kern w:val="0"/>
          <w14:ligatures w14:val="none"/>
        </w:rPr>
        <w:t>, Article 2789. https://doi.org/10.3389/fpsyg.2019.02789</w:t>
      </w:r>
    </w:p>
    <w:p w14:paraId="337C9753"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Maguire, E. A., Intraub, H., &amp; Mullally, S. L. (2016). Scenes, spaces, and memory traces: What does the hippocampus do? </w:t>
      </w:r>
      <w:r w:rsidRPr="00936D88">
        <w:rPr>
          <w:rFonts w:ascii="Times New Roman" w:eastAsia="Times New Roman" w:hAnsi="Times New Roman" w:cs="Times New Roman"/>
          <w:i/>
          <w:iCs/>
          <w:kern w:val="0"/>
          <w14:ligatures w14:val="none"/>
        </w:rPr>
        <w:t>Neuroscientist</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22</w:t>
      </w:r>
      <w:r w:rsidRPr="00936D88">
        <w:rPr>
          <w:rFonts w:ascii="Times New Roman" w:eastAsia="Times New Roman" w:hAnsi="Times New Roman" w:cs="Times New Roman"/>
          <w:kern w:val="0"/>
          <w14:ligatures w14:val="none"/>
        </w:rPr>
        <w:t>(5), 432–439. https://doi.org/10.1177/1073858415600389</w:t>
      </w:r>
    </w:p>
    <w:p w14:paraId="4DC6207F"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Manzo, L. C., &amp; Perkins, D. D. (2006). Finding common ground: The importance of place attachment to community participation and planning. </w:t>
      </w:r>
      <w:r w:rsidRPr="00936D88">
        <w:rPr>
          <w:rFonts w:ascii="Times New Roman" w:eastAsia="Times New Roman" w:hAnsi="Times New Roman" w:cs="Times New Roman"/>
          <w:i/>
          <w:iCs/>
          <w:kern w:val="0"/>
          <w14:ligatures w14:val="none"/>
        </w:rPr>
        <w:t>Journal of Planning Literature</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20</w:t>
      </w:r>
      <w:r w:rsidRPr="00936D88">
        <w:rPr>
          <w:rFonts w:ascii="Times New Roman" w:eastAsia="Times New Roman" w:hAnsi="Times New Roman" w:cs="Times New Roman"/>
          <w:kern w:val="0"/>
          <w14:ligatures w14:val="none"/>
        </w:rPr>
        <w:t>(4), 335–350. https://doi.org/10.1177/0885412205286160</w:t>
      </w:r>
    </w:p>
    <w:p w14:paraId="44D97DB4"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McClelland, J. L., McNaughton, B. L., &amp; O'Reilly, R. C. (1995). Why there are complementary learning systems in the hippocampus and neocortex: Insights from the successes and failures of connectionist models of learning and memory. </w:t>
      </w:r>
      <w:r w:rsidRPr="00936D88">
        <w:rPr>
          <w:rFonts w:ascii="Times New Roman" w:eastAsia="Times New Roman" w:hAnsi="Times New Roman" w:cs="Times New Roman"/>
          <w:i/>
          <w:iCs/>
          <w:kern w:val="0"/>
          <w14:ligatures w14:val="none"/>
        </w:rPr>
        <w:t>Psychological Review</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102</w:t>
      </w:r>
      <w:r w:rsidRPr="00936D88">
        <w:rPr>
          <w:rFonts w:ascii="Times New Roman" w:eastAsia="Times New Roman" w:hAnsi="Times New Roman" w:cs="Times New Roman"/>
          <w:kern w:val="0"/>
          <w14:ligatures w14:val="none"/>
        </w:rPr>
        <w:t>(3), 419–457. https://doi.org/10.1037/0033-295X.102.3.419</w:t>
      </w:r>
    </w:p>
    <w:p w14:paraId="66B84CDD"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Moser, E. I., Kropff, E., &amp; Moser, M.-B. (2008). Place cells, grid cells, and the brain's spatial representation system. </w:t>
      </w:r>
      <w:r w:rsidRPr="00936D88">
        <w:rPr>
          <w:rFonts w:ascii="Times New Roman" w:eastAsia="Times New Roman" w:hAnsi="Times New Roman" w:cs="Times New Roman"/>
          <w:i/>
          <w:iCs/>
          <w:kern w:val="0"/>
          <w14:ligatures w14:val="none"/>
        </w:rPr>
        <w:t>Annual Review of Neuroscience</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31</w:t>
      </w:r>
      <w:r w:rsidRPr="00936D88">
        <w:rPr>
          <w:rFonts w:ascii="Times New Roman" w:eastAsia="Times New Roman" w:hAnsi="Times New Roman" w:cs="Times New Roman"/>
          <w:kern w:val="0"/>
          <w14:ligatures w14:val="none"/>
        </w:rPr>
        <w:t>, 69–89. https://doi.org/10.1146/annurev.neuro.31.061307.090723</w:t>
      </w:r>
    </w:p>
    <w:p w14:paraId="47699865"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Norton, M. I., Mochon, D., &amp; Ariely, D. (2012). The IKEA effect: When labor leads to love. </w:t>
      </w:r>
      <w:r w:rsidRPr="00936D88">
        <w:rPr>
          <w:rFonts w:ascii="Times New Roman" w:eastAsia="Times New Roman" w:hAnsi="Times New Roman" w:cs="Times New Roman"/>
          <w:i/>
          <w:iCs/>
          <w:kern w:val="0"/>
          <w14:ligatures w14:val="none"/>
        </w:rPr>
        <w:t>Journal of Consumer Psychology</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22</w:t>
      </w:r>
      <w:r w:rsidRPr="00936D88">
        <w:rPr>
          <w:rFonts w:ascii="Times New Roman" w:eastAsia="Times New Roman" w:hAnsi="Times New Roman" w:cs="Times New Roman"/>
          <w:kern w:val="0"/>
          <w14:ligatures w14:val="none"/>
        </w:rPr>
        <w:t>(3), 453–460. https://doi.org/10.1016/j.jcps.2011.08.002</w:t>
      </w:r>
    </w:p>
    <w:p w14:paraId="390839ED"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O'Keefe, J., &amp; Nadel, L. (1978). </w:t>
      </w:r>
      <w:r w:rsidRPr="00936D88">
        <w:rPr>
          <w:rFonts w:ascii="Times New Roman" w:eastAsia="Times New Roman" w:hAnsi="Times New Roman" w:cs="Times New Roman"/>
          <w:i/>
          <w:iCs/>
          <w:kern w:val="0"/>
          <w14:ligatures w14:val="none"/>
        </w:rPr>
        <w:t>The hippocampus as a cognitive map</w:t>
      </w:r>
      <w:r w:rsidRPr="00936D88">
        <w:rPr>
          <w:rFonts w:ascii="Times New Roman" w:eastAsia="Times New Roman" w:hAnsi="Times New Roman" w:cs="Times New Roman"/>
          <w:kern w:val="0"/>
          <w14:ligatures w14:val="none"/>
        </w:rPr>
        <w:t>. Oxford University Press.</w:t>
      </w:r>
    </w:p>
    <w:p w14:paraId="0BA30DC5"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Penn, A. (2003). Space syntax and spatial cognition: Or why the axial line? </w:t>
      </w:r>
      <w:r w:rsidRPr="00936D88">
        <w:rPr>
          <w:rFonts w:ascii="Times New Roman" w:eastAsia="Times New Roman" w:hAnsi="Times New Roman" w:cs="Times New Roman"/>
          <w:i/>
          <w:iCs/>
          <w:kern w:val="0"/>
          <w14:ligatures w14:val="none"/>
        </w:rPr>
        <w:t>Environment and Behavior</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35</w:t>
      </w:r>
      <w:r w:rsidRPr="00936D88">
        <w:rPr>
          <w:rFonts w:ascii="Times New Roman" w:eastAsia="Times New Roman" w:hAnsi="Times New Roman" w:cs="Times New Roman"/>
          <w:kern w:val="0"/>
          <w14:ligatures w14:val="none"/>
        </w:rPr>
        <w:t>(1), 30–65. https://doi.org/10.1177/0013916502238864</w:t>
      </w:r>
    </w:p>
    <w:p w14:paraId="0953FBC9"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Peponis, J., Zimring, C., &amp; Choi, Y. K. (2004). Finding the building in wayfinding. </w:t>
      </w:r>
      <w:r w:rsidRPr="00936D88">
        <w:rPr>
          <w:rFonts w:ascii="Times New Roman" w:eastAsia="Times New Roman" w:hAnsi="Times New Roman" w:cs="Times New Roman"/>
          <w:i/>
          <w:iCs/>
          <w:kern w:val="0"/>
          <w14:ligatures w14:val="none"/>
        </w:rPr>
        <w:t>Environment and Behavior</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36</w:t>
      </w:r>
      <w:r w:rsidRPr="00936D88">
        <w:rPr>
          <w:rFonts w:ascii="Times New Roman" w:eastAsia="Times New Roman" w:hAnsi="Times New Roman" w:cs="Times New Roman"/>
          <w:kern w:val="0"/>
          <w14:ligatures w14:val="none"/>
        </w:rPr>
        <w:t>(4), 534–568. https://doi.org/10.1177/0013916503261070</w:t>
      </w:r>
    </w:p>
    <w:p w14:paraId="75EF10DA"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Proshansky, H. M., Fabian, A. K., &amp; Kaminoff, R. (1983). Place-identity: Physical world socialization of the self. </w:t>
      </w:r>
      <w:r w:rsidRPr="00936D88">
        <w:rPr>
          <w:rFonts w:ascii="Times New Roman" w:eastAsia="Times New Roman" w:hAnsi="Times New Roman" w:cs="Times New Roman"/>
          <w:i/>
          <w:iCs/>
          <w:kern w:val="0"/>
          <w14:ligatures w14:val="none"/>
        </w:rPr>
        <w:t>Journal of Environmental Psychology</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3</w:t>
      </w:r>
      <w:r w:rsidRPr="00936D88">
        <w:rPr>
          <w:rFonts w:ascii="Times New Roman" w:eastAsia="Times New Roman" w:hAnsi="Times New Roman" w:cs="Times New Roman"/>
          <w:kern w:val="0"/>
          <w14:ligatures w14:val="none"/>
        </w:rPr>
        <w:t>(1), 57–83. https://doi.org/10.1016/S0272-4944(83)80021-8</w:t>
      </w:r>
    </w:p>
    <w:p w14:paraId="6F667C4B"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Rowles, G. D. (1983). Geographical dimensions of social support in rural Appalachia. In G. D. Rowles &amp; R. J. Ohta (Eds.), </w:t>
      </w:r>
      <w:r w:rsidRPr="00936D88">
        <w:rPr>
          <w:rFonts w:ascii="Times New Roman" w:eastAsia="Times New Roman" w:hAnsi="Times New Roman" w:cs="Times New Roman"/>
          <w:i/>
          <w:iCs/>
          <w:kern w:val="0"/>
          <w14:ligatures w14:val="none"/>
        </w:rPr>
        <w:t>Aging and milieu: Environmental perspectives on growing old</w:t>
      </w:r>
      <w:r w:rsidRPr="00936D88">
        <w:rPr>
          <w:rFonts w:ascii="Times New Roman" w:eastAsia="Times New Roman" w:hAnsi="Times New Roman" w:cs="Times New Roman"/>
          <w:kern w:val="0"/>
          <w14:ligatures w14:val="none"/>
        </w:rPr>
        <w:t xml:space="preserve"> (pp. 111–130). Academic Press. https://doi.org/10.1016/B978-0-12-600380-4.50013-1</w:t>
      </w:r>
    </w:p>
    <w:p w14:paraId="49BB4840"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lastRenderedPageBreak/>
        <w:t xml:space="preserve">Salimpoor, V. N., Benovoy, M., Larcher, K., Dagher, A., &amp; Zatorre, R. J. (2011). Anatomically distinct dopamine release during anticipation and experience of peak emotion to music. </w:t>
      </w:r>
      <w:r w:rsidRPr="00936D88">
        <w:rPr>
          <w:rFonts w:ascii="Times New Roman" w:eastAsia="Times New Roman" w:hAnsi="Times New Roman" w:cs="Times New Roman"/>
          <w:i/>
          <w:iCs/>
          <w:kern w:val="0"/>
          <w14:ligatures w14:val="none"/>
        </w:rPr>
        <w:t>Nature Neuroscience</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14</w:t>
      </w:r>
      <w:r w:rsidRPr="00936D88">
        <w:rPr>
          <w:rFonts w:ascii="Times New Roman" w:eastAsia="Times New Roman" w:hAnsi="Times New Roman" w:cs="Times New Roman"/>
          <w:kern w:val="0"/>
          <w14:ligatures w14:val="none"/>
        </w:rPr>
        <w:t>(2), 257–262. https://doi.org/10.1038/nn.2726</w:t>
      </w:r>
    </w:p>
    <w:p w14:paraId="30CF9498"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Scannell, L., &amp; Gifford, R. (2010). Defining place attachment: A tripartite organizing framework. </w:t>
      </w:r>
      <w:r w:rsidRPr="00936D88">
        <w:rPr>
          <w:rFonts w:ascii="Times New Roman" w:eastAsia="Times New Roman" w:hAnsi="Times New Roman" w:cs="Times New Roman"/>
          <w:i/>
          <w:iCs/>
          <w:kern w:val="0"/>
          <w14:ligatures w14:val="none"/>
        </w:rPr>
        <w:t>Journal of Environmental Psychology</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30</w:t>
      </w:r>
      <w:r w:rsidRPr="00936D88">
        <w:rPr>
          <w:rFonts w:ascii="Times New Roman" w:eastAsia="Times New Roman" w:hAnsi="Times New Roman" w:cs="Times New Roman"/>
          <w:kern w:val="0"/>
          <w14:ligatures w14:val="none"/>
        </w:rPr>
        <w:t>(1), 1–10. https://doi.org/10.1016/j.jenvp.2009.09.006</w:t>
      </w:r>
    </w:p>
    <w:p w14:paraId="268460CA"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Schafer, R. M. (1977). </w:t>
      </w:r>
      <w:r w:rsidRPr="00936D88">
        <w:rPr>
          <w:rFonts w:ascii="Times New Roman" w:eastAsia="Times New Roman" w:hAnsi="Times New Roman" w:cs="Times New Roman"/>
          <w:i/>
          <w:iCs/>
          <w:kern w:val="0"/>
          <w14:ligatures w14:val="none"/>
        </w:rPr>
        <w:t>The tuning of the world</w:t>
      </w:r>
      <w:r w:rsidRPr="00936D88">
        <w:rPr>
          <w:rFonts w:ascii="Times New Roman" w:eastAsia="Times New Roman" w:hAnsi="Times New Roman" w:cs="Times New Roman"/>
          <w:kern w:val="0"/>
          <w14:ligatures w14:val="none"/>
        </w:rPr>
        <w:t>. Knopf.</w:t>
      </w:r>
    </w:p>
    <w:p w14:paraId="3F81E97E"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Schultz, W., Dayan, P., &amp; Montague, P. R. (1997). A neural substrate of prediction and reward. </w:t>
      </w:r>
      <w:r w:rsidRPr="00936D88">
        <w:rPr>
          <w:rFonts w:ascii="Times New Roman" w:eastAsia="Times New Roman" w:hAnsi="Times New Roman" w:cs="Times New Roman"/>
          <w:i/>
          <w:iCs/>
          <w:kern w:val="0"/>
          <w14:ligatures w14:val="none"/>
        </w:rPr>
        <w:t>Science</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275</w:t>
      </w:r>
      <w:r w:rsidRPr="00936D88">
        <w:rPr>
          <w:rFonts w:ascii="Times New Roman" w:eastAsia="Times New Roman" w:hAnsi="Times New Roman" w:cs="Times New Roman"/>
          <w:kern w:val="0"/>
          <w14:ligatures w14:val="none"/>
        </w:rPr>
        <w:t>(5306), 1593–1599. https://doi.org/10.1126/science.275.5306.1593</w:t>
      </w:r>
    </w:p>
    <w:p w14:paraId="75E764E1"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Seth, A. K. (2013). Interoceptive inference, emotion, and the embodied self. </w:t>
      </w:r>
      <w:r w:rsidRPr="00936D88">
        <w:rPr>
          <w:rFonts w:ascii="Times New Roman" w:eastAsia="Times New Roman" w:hAnsi="Times New Roman" w:cs="Times New Roman"/>
          <w:i/>
          <w:iCs/>
          <w:kern w:val="0"/>
          <w14:ligatures w14:val="none"/>
        </w:rPr>
        <w:t>Trends in Cognitive Sciences</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17</w:t>
      </w:r>
      <w:r w:rsidRPr="00936D88">
        <w:rPr>
          <w:rFonts w:ascii="Times New Roman" w:eastAsia="Times New Roman" w:hAnsi="Times New Roman" w:cs="Times New Roman"/>
          <w:kern w:val="0"/>
          <w14:ligatures w14:val="none"/>
        </w:rPr>
        <w:t>(11), 565–573. https://doi.org/10.1016/j.tics.2013.09.007</w:t>
      </w:r>
    </w:p>
    <w:p w14:paraId="49161156"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Stansfeld, S. A. (1992). Noise, noise sensitivity and psychiatric disorder: Epidemiological and psychophysiological studies. </w:t>
      </w:r>
      <w:r w:rsidRPr="00936D88">
        <w:rPr>
          <w:rFonts w:ascii="Times New Roman" w:eastAsia="Times New Roman" w:hAnsi="Times New Roman" w:cs="Times New Roman"/>
          <w:i/>
          <w:iCs/>
          <w:kern w:val="0"/>
          <w14:ligatures w14:val="none"/>
        </w:rPr>
        <w:t>Psychological Medicine — Monograph Supplement</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22</w:t>
      </w:r>
      <w:r w:rsidRPr="00936D88">
        <w:rPr>
          <w:rFonts w:ascii="Times New Roman" w:eastAsia="Times New Roman" w:hAnsi="Times New Roman" w:cs="Times New Roman"/>
          <w:kern w:val="0"/>
          <w14:ligatures w14:val="none"/>
        </w:rPr>
        <w:t>, 1–44. https://doi.org/10.1017/S0264180100000187</w:t>
      </w:r>
    </w:p>
    <w:p w14:paraId="6EA3E4FC"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Todd, N. P. M., &amp; Cody, F. W. (2000). Vestibular responses to loud dance music: A physiological basis of the "rock and roll threshold"? </w:t>
      </w:r>
      <w:r w:rsidRPr="00936D88">
        <w:rPr>
          <w:rFonts w:ascii="Times New Roman" w:eastAsia="Times New Roman" w:hAnsi="Times New Roman" w:cs="Times New Roman"/>
          <w:i/>
          <w:iCs/>
          <w:kern w:val="0"/>
          <w14:ligatures w14:val="none"/>
        </w:rPr>
        <w:t>Journal of the Acoustical Society of America</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107</w:t>
      </w:r>
      <w:r w:rsidRPr="00936D88">
        <w:rPr>
          <w:rFonts w:ascii="Times New Roman" w:eastAsia="Times New Roman" w:hAnsi="Times New Roman" w:cs="Times New Roman"/>
          <w:kern w:val="0"/>
          <w14:ligatures w14:val="none"/>
        </w:rPr>
        <w:t>(1), 496–500. https://doi.org/10.1121/1.428317</w:t>
      </w:r>
    </w:p>
    <w:p w14:paraId="20948219"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Tuan, Y.-F. (1977). </w:t>
      </w:r>
      <w:r w:rsidRPr="00936D88">
        <w:rPr>
          <w:rFonts w:ascii="Times New Roman" w:eastAsia="Times New Roman" w:hAnsi="Times New Roman" w:cs="Times New Roman"/>
          <w:i/>
          <w:iCs/>
          <w:kern w:val="0"/>
          <w14:ligatures w14:val="none"/>
        </w:rPr>
        <w:t>Space and place: The perspective of experience</w:t>
      </w:r>
      <w:r w:rsidRPr="00936D88">
        <w:rPr>
          <w:rFonts w:ascii="Times New Roman" w:eastAsia="Times New Roman" w:hAnsi="Times New Roman" w:cs="Times New Roman"/>
          <w:kern w:val="0"/>
          <w14:ligatures w14:val="none"/>
        </w:rPr>
        <w:t>. University of Minnesota Press.</w:t>
      </w:r>
    </w:p>
    <w:p w14:paraId="7C4FB7CB"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Tversky, A., &amp; Kahneman, D. (1981). The framing of decisions and the psychology of choice. </w:t>
      </w:r>
      <w:r w:rsidRPr="00936D88">
        <w:rPr>
          <w:rFonts w:ascii="Times New Roman" w:eastAsia="Times New Roman" w:hAnsi="Times New Roman" w:cs="Times New Roman"/>
          <w:i/>
          <w:iCs/>
          <w:kern w:val="0"/>
          <w14:ligatures w14:val="none"/>
        </w:rPr>
        <w:t>Science</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211</w:t>
      </w:r>
      <w:r w:rsidRPr="00936D88">
        <w:rPr>
          <w:rFonts w:ascii="Times New Roman" w:eastAsia="Times New Roman" w:hAnsi="Times New Roman" w:cs="Times New Roman"/>
          <w:kern w:val="0"/>
          <w14:ligatures w14:val="none"/>
        </w:rPr>
        <w:t>(4481), 453–458. https://doi.org/10.1126/science.7455683</w:t>
      </w:r>
    </w:p>
    <w:p w14:paraId="194AE83A" w14:textId="77777777" w:rsidR="00936D88" w:rsidRPr="00936D88" w:rsidRDefault="00936D88" w:rsidP="00936D88">
      <w:pPr>
        <w:spacing w:before="100" w:beforeAutospacing="1" w:after="100" w:afterAutospacing="1" w:line="240" w:lineRule="auto"/>
        <w:rPr>
          <w:rFonts w:ascii="Times New Roman" w:eastAsia="Times New Roman" w:hAnsi="Times New Roman" w:cs="Times New Roman"/>
          <w:kern w:val="0"/>
          <w14:ligatures w14:val="none"/>
        </w:rPr>
      </w:pPr>
      <w:r w:rsidRPr="00936D88">
        <w:rPr>
          <w:rFonts w:ascii="Times New Roman" w:eastAsia="Times New Roman" w:hAnsi="Times New Roman" w:cs="Times New Roman"/>
          <w:kern w:val="0"/>
          <w14:ligatures w14:val="none"/>
        </w:rPr>
        <w:t xml:space="preserve">Zajonc, R. B. (1968). Attitudinal effects of mere exposure. </w:t>
      </w:r>
      <w:r w:rsidRPr="00936D88">
        <w:rPr>
          <w:rFonts w:ascii="Times New Roman" w:eastAsia="Times New Roman" w:hAnsi="Times New Roman" w:cs="Times New Roman"/>
          <w:i/>
          <w:iCs/>
          <w:kern w:val="0"/>
          <w14:ligatures w14:val="none"/>
        </w:rPr>
        <w:t>Journal of Personality and Social Psychology</w:t>
      </w:r>
      <w:r w:rsidRPr="00936D88">
        <w:rPr>
          <w:rFonts w:ascii="Times New Roman" w:eastAsia="Times New Roman" w:hAnsi="Times New Roman" w:cs="Times New Roman"/>
          <w:kern w:val="0"/>
          <w14:ligatures w14:val="none"/>
        </w:rPr>
        <w:t xml:space="preserve">, </w:t>
      </w:r>
      <w:r w:rsidRPr="00936D88">
        <w:rPr>
          <w:rFonts w:ascii="Times New Roman" w:eastAsia="Times New Roman" w:hAnsi="Times New Roman" w:cs="Times New Roman"/>
          <w:i/>
          <w:iCs/>
          <w:kern w:val="0"/>
          <w14:ligatures w14:val="none"/>
        </w:rPr>
        <w:t>9</w:t>
      </w:r>
      <w:r w:rsidRPr="00936D88">
        <w:rPr>
          <w:rFonts w:ascii="Times New Roman" w:eastAsia="Times New Roman" w:hAnsi="Times New Roman" w:cs="Times New Roman"/>
          <w:kern w:val="0"/>
          <w14:ligatures w14:val="none"/>
        </w:rPr>
        <w:t>(2, Pt. 2), 1–27. https://doi.org/10.1037/h0025848</w:t>
      </w:r>
    </w:p>
    <w:p w14:paraId="0BEFFA9A" w14:textId="77777777" w:rsidR="002B26E5" w:rsidRDefault="002B26E5"/>
    <w:sectPr w:rsidR="002B2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577A5"/>
    <w:multiLevelType w:val="multilevel"/>
    <w:tmpl w:val="9760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E5CE5"/>
    <w:multiLevelType w:val="multilevel"/>
    <w:tmpl w:val="2D6E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B1F31"/>
    <w:multiLevelType w:val="multilevel"/>
    <w:tmpl w:val="9F8C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D05AD"/>
    <w:multiLevelType w:val="multilevel"/>
    <w:tmpl w:val="D5B6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C0094"/>
    <w:multiLevelType w:val="multilevel"/>
    <w:tmpl w:val="92A6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529E5"/>
    <w:multiLevelType w:val="multilevel"/>
    <w:tmpl w:val="F48A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72E24"/>
    <w:multiLevelType w:val="multilevel"/>
    <w:tmpl w:val="8D4C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AB0A63"/>
    <w:multiLevelType w:val="multilevel"/>
    <w:tmpl w:val="69F4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9025A7"/>
    <w:multiLevelType w:val="multilevel"/>
    <w:tmpl w:val="57E6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2F0172"/>
    <w:multiLevelType w:val="multilevel"/>
    <w:tmpl w:val="2716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666497"/>
    <w:multiLevelType w:val="multilevel"/>
    <w:tmpl w:val="831E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AA5875"/>
    <w:multiLevelType w:val="multilevel"/>
    <w:tmpl w:val="A078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47677"/>
    <w:multiLevelType w:val="multilevel"/>
    <w:tmpl w:val="EC00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062F2B"/>
    <w:multiLevelType w:val="multilevel"/>
    <w:tmpl w:val="629A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DA6837"/>
    <w:multiLevelType w:val="multilevel"/>
    <w:tmpl w:val="A60A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EF7CF7"/>
    <w:multiLevelType w:val="multilevel"/>
    <w:tmpl w:val="C6867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9D6863"/>
    <w:multiLevelType w:val="multilevel"/>
    <w:tmpl w:val="D1A8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F641EC"/>
    <w:multiLevelType w:val="multilevel"/>
    <w:tmpl w:val="5CC8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284942">
    <w:abstractNumId w:val="13"/>
  </w:num>
  <w:num w:numId="2" w16cid:durableId="767505671">
    <w:abstractNumId w:val="16"/>
  </w:num>
  <w:num w:numId="3" w16cid:durableId="480656691">
    <w:abstractNumId w:val="2"/>
  </w:num>
  <w:num w:numId="4" w16cid:durableId="486091459">
    <w:abstractNumId w:val="1"/>
  </w:num>
  <w:num w:numId="5" w16cid:durableId="1046442237">
    <w:abstractNumId w:val="7"/>
  </w:num>
  <w:num w:numId="6" w16cid:durableId="473986595">
    <w:abstractNumId w:val="9"/>
  </w:num>
  <w:num w:numId="7" w16cid:durableId="597371044">
    <w:abstractNumId w:val="14"/>
  </w:num>
  <w:num w:numId="8" w16cid:durableId="382602039">
    <w:abstractNumId w:val="11"/>
  </w:num>
  <w:num w:numId="9" w16cid:durableId="626620644">
    <w:abstractNumId w:val="12"/>
  </w:num>
  <w:num w:numId="10" w16cid:durableId="820731940">
    <w:abstractNumId w:val="3"/>
  </w:num>
  <w:num w:numId="11" w16cid:durableId="755132392">
    <w:abstractNumId w:val="0"/>
  </w:num>
  <w:num w:numId="12" w16cid:durableId="1153720736">
    <w:abstractNumId w:val="15"/>
  </w:num>
  <w:num w:numId="13" w16cid:durableId="919370941">
    <w:abstractNumId w:val="5"/>
  </w:num>
  <w:num w:numId="14" w16cid:durableId="137039063">
    <w:abstractNumId w:val="4"/>
  </w:num>
  <w:num w:numId="15" w16cid:durableId="2123843116">
    <w:abstractNumId w:val="8"/>
  </w:num>
  <w:num w:numId="16" w16cid:durableId="1866288295">
    <w:abstractNumId w:val="6"/>
  </w:num>
  <w:num w:numId="17" w16cid:durableId="577128969">
    <w:abstractNumId w:val="10"/>
  </w:num>
  <w:num w:numId="18" w16cid:durableId="10909339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D88"/>
    <w:rsid w:val="002B26E5"/>
    <w:rsid w:val="00447BDF"/>
    <w:rsid w:val="004B0898"/>
    <w:rsid w:val="00513B94"/>
    <w:rsid w:val="00936D88"/>
    <w:rsid w:val="00947EBA"/>
    <w:rsid w:val="009A5B89"/>
    <w:rsid w:val="00C61EC1"/>
    <w:rsid w:val="00D523F6"/>
    <w:rsid w:val="00E03E9D"/>
    <w:rsid w:val="00FE3E6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AE6D8"/>
  <w15:chartTrackingRefBased/>
  <w15:docId w15:val="{8B4F369B-46A2-604E-BE67-BC0924688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6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1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Heading3"/>
    <w:qFormat/>
    <w:rsid w:val="00C61EC1"/>
    <w:pPr>
      <w:shd w:val="clear" w:color="auto" w:fill="FFFFFF"/>
      <w:spacing w:before="100" w:beforeAutospacing="1" w:after="100" w:afterAutospacing="1" w:line="240" w:lineRule="auto"/>
    </w:pPr>
    <w:rPr>
      <w:rFonts w:ascii="Arial" w:eastAsia="Times New Roman" w:hAnsi="Arial" w:cs="Arial"/>
      <w:b/>
      <w:bCs/>
      <w:color w:val="222222"/>
      <w:kern w:val="0"/>
      <w14:ligatures w14:val="none"/>
    </w:rPr>
  </w:style>
  <w:style w:type="character" w:customStyle="1" w:styleId="Heading3Char">
    <w:name w:val="Heading 3 Char"/>
    <w:basedOn w:val="DefaultParagraphFont"/>
    <w:link w:val="Heading3"/>
    <w:uiPriority w:val="9"/>
    <w:rsid w:val="00C61EC1"/>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936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6D88"/>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936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D88"/>
    <w:rPr>
      <w:rFonts w:eastAsiaTheme="majorEastAsia" w:cstheme="majorBidi"/>
      <w:color w:val="272727" w:themeColor="text1" w:themeTint="D8"/>
    </w:rPr>
  </w:style>
  <w:style w:type="paragraph" w:styleId="Title">
    <w:name w:val="Title"/>
    <w:basedOn w:val="Normal"/>
    <w:next w:val="Normal"/>
    <w:link w:val="TitleChar"/>
    <w:uiPriority w:val="10"/>
    <w:qFormat/>
    <w:rsid w:val="00936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D88"/>
    <w:pPr>
      <w:spacing w:before="160"/>
      <w:jc w:val="center"/>
    </w:pPr>
    <w:rPr>
      <w:i/>
      <w:iCs/>
      <w:color w:val="404040" w:themeColor="text1" w:themeTint="BF"/>
    </w:rPr>
  </w:style>
  <w:style w:type="character" w:customStyle="1" w:styleId="QuoteChar">
    <w:name w:val="Quote Char"/>
    <w:basedOn w:val="DefaultParagraphFont"/>
    <w:link w:val="Quote"/>
    <w:uiPriority w:val="29"/>
    <w:rsid w:val="00936D88"/>
    <w:rPr>
      <w:i/>
      <w:iCs/>
      <w:color w:val="404040" w:themeColor="text1" w:themeTint="BF"/>
    </w:rPr>
  </w:style>
  <w:style w:type="paragraph" w:styleId="ListParagraph">
    <w:name w:val="List Paragraph"/>
    <w:basedOn w:val="Normal"/>
    <w:uiPriority w:val="34"/>
    <w:qFormat/>
    <w:rsid w:val="00936D88"/>
    <w:pPr>
      <w:ind w:left="720"/>
      <w:contextualSpacing/>
    </w:pPr>
  </w:style>
  <w:style w:type="character" w:styleId="IntenseEmphasis">
    <w:name w:val="Intense Emphasis"/>
    <w:basedOn w:val="DefaultParagraphFont"/>
    <w:uiPriority w:val="21"/>
    <w:qFormat/>
    <w:rsid w:val="00936D88"/>
    <w:rPr>
      <w:i/>
      <w:iCs/>
      <w:color w:val="0F4761" w:themeColor="accent1" w:themeShade="BF"/>
    </w:rPr>
  </w:style>
  <w:style w:type="paragraph" w:styleId="IntenseQuote">
    <w:name w:val="Intense Quote"/>
    <w:basedOn w:val="Normal"/>
    <w:next w:val="Normal"/>
    <w:link w:val="IntenseQuoteChar"/>
    <w:uiPriority w:val="30"/>
    <w:qFormat/>
    <w:rsid w:val="00936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D88"/>
    <w:rPr>
      <w:i/>
      <w:iCs/>
      <w:color w:val="0F4761" w:themeColor="accent1" w:themeShade="BF"/>
    </w:rPr>
  </w:style>
  <w:style w:type="character" w:styleId="IntenseReference">
    <w:name w:val="Intense Reference"/>
    <w:basedOn w:val="DefaultParagraphFont"/>
    <w:uiPriority w:val="32"/>
    <w:qFormat/>
    <w:rsid w:val="00936D88"/>
    <w:rPr>
      <w:b/>
      <w:bCs/>
      <w:smallCaps/>
      <w:color w:val="0F4761" w:themeColor="accent1" w:themeShade="BF"/>
      <w:spacing w:val="5"/>
    </w:rPr>
  </w:style>
  <w:style w:type="paragraph" w:styleId="NormalWeb">
    <w:name w:val="Normal (Web)"/>
    <w:basedOn w:val="Normal"/>
    <w:uiPriority w:val="99"/>
    <w:semiHidden/>
    <w:unhideWhenUsed/>
    <w:rsid w:val="00936D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36D88"/>
    <w:rPr>
      <w:i/>
      <w:iCs/>
    </w:rPr>
  </w:style>
  <w:style w:type="character" w:styleId="Strong">
    <w:name w:val="Strong"/>
    <w:basedOn w:val="DefaultParagraphFont"/>
    <w:uiPriority w:val="22"/>
    <w:qFormat/>
    <w:rsid w:val="00936D88"/>
    <w:rPr>
      <w:b/>
      <w:bCs/>
    </w:rPr>
  </w:style>
  <w:style w:type="paragraph" w:styleId="HTMLPreformatted">
    <w:name w:val="HTML Preformatted"/>
    <w:basedOn w:val="Normal"/>
    <w:link w:val="HTMLPreformattedChar"/>
    <w:uiPriority w:val="99"/>
    <w:semiHidden/>
    <w:unhideWhenUsed/>
    <w:rsid w:val="0093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36D8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36D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6804</Words>
  <Characters>41509</Characters>
  <Application>Microsoft Office Word</Application>
  <DocSecurity>0</DocSecurity>
  <Lines>568</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Kirsh</dc:creator>
  <cp:keywords/>
  <dc:description/>
  <cp:lastModifiedBy>David Kirsh</cp:lastModifiedBy>
  <cp:revision>1</cp:revision>
  <dcterms:created xsi:type="dcterms:W3CDTF">2026-02-21T00:48:00Z</dcterms:created>
  <dcterms:modified xsi:type="dcterms:W3CDTF">2026-02-26T14:08:00Z</dcterms:modified>
</cp:coreProperties>
</file>