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A0234" w14:textId="77777777" w:rsidR="00AA670C" w:rsidRDefault="00000000" w:rsidP="002B42BA">
      <w:pPr>
        <w:pStyle w:val="Heading1"/>
      </w:pPr>
      <w:r>
        <w:t>Possible Replies to the Panel Critique:</w:t>
      </w:r>
    </w:p>
    <w:p w14:paraId="6FE337EA" w14:textId="77777777" w:rsidR="00AA670C" w:rsidRDefault="00000000" w:rsidP="002B42BA">
      <w:pPr>
        <w:pStyle w:val="Heading1"/>
      </w:pPr>
      <w:r>
        <w:t>Addressing the Three Essential Gaps</w:t>
      </w:r>
    </w:p>
    <w:p w14:paraId="3E54B956" w14:textId="77777777" w:rsidR="00AA670C" w:rsidRDefault="00AA670C">
      <w:pPr>
        <w:pStyle w:val="Body"/>
      </w:pPr>
    </w:p>
    <w:p w14:paraId="5356E44B" w14:textId="77777777" w:rsidR="00AA670C" w:rsidRDefault="00AA670C">
      <w:pPr>
        <w:pStyle w:val="Body"/>
      </w:pPr>
    </w:p>
    <w:p w14:paraId="4780F919" w14:textId="77777777" w:rsidR="00AA670C" w:rsidRDefault="00000000" w:rsidP="002B42BA">
      <w:pPr>
        <w:pStyle w:val="Heading2"/>
      </w:pPr>
      <w:r>
        <w:t>An Expanded Response with Examples for Advanced Undergraduates</w:t>
      </w:r>
    </w:p>
    <w:p w14:paraId="39E1047B" w14:textId="77777777" w:rsidR="00AA670C" w:rsidRDefault="00AA670C">
      <w:pPr>
        <w:pStyle w:val="Body"/>
      </w:pPr>
    </w:p>
    <w:p w14:paraId="0875B8B4" w14:textId="77777777" w:rsidR="00AA670C" w:rsidRDefault="00AA670C">
      <w:pPr>
        <w:pStyle w:val="Body"/>
      </w:pPr>
    </w:p>
    <w:p w14:paraId="273B98F3" w14:textId="77777777" w:rsidR="00AA670C" w:rsidRDefault="00AA670C">
      <w:pPr>
        <w:pStyle w:val="Body"/>
      </w:pPr>
    </w:p>
    <w:p w14:paraId="346767A9" w14:textId="77777777" w:rsidR="00AA670C" w:rsidRDefault="00AA670C">
      <w:pPr>
        <w:pStyle w:val="Body"/>
      </w:pPr>
    </w:p>
    <w:p w14:paraId="7E009FDF" w14:textId="77777777" w:rsidR="00AA670C" w:rsidRDefault="00000000">
      <w:pPr>
        <w:pStyle w:val="Body"/>
      </w:pPr>
      <w:r>
        <w:rPr>
          <w:sz w:val="24"/>
          <w:szCs w:val="24"/>
          <w:lang w:val="da-DK"/>
        </w:rPr>
        <w:t>David Kirsh</w:t>
      </w:r>
    </w:p>
    <w:p w14:paraId="79023A46" w14:textId="77777777" w:rsidR="00AA670C" w:rsidRDefault="00000000">
      <w:pPr>
        <w:pStyle w:val="Body"/>
      </w:pPr>
      <w:r>
        <w:rPr>
          <w:sz w:val="24"/>
          <w:szCs w:val="24"/>
        </w:rPr>
        <w:t>Department of Cognitive Science</w:t>
      </w:r>
    </w:p>
    <w:p w14:paraId="658290D4" w14:textId="77777777" w:rsidR="00AA670C" w:rsidRDefault="00000000">
      <w:pPr>
        <w:pStyle w:val="Body"/>
      </w:pPr>
      <w:r>
        <w:rPr>
          <w:sz w:val="24"/>
          <w:szCs w:val="24"/>
          <w:lang w:val="de-DE"/>
        </w:rPr>
        <w:t>UC San Diego</w:t>
      </w:r>
    </w:p>
    <w:p w14:paraId="5CFB0987" w14:textId="77777777" w:rsidR="00AA670C" w:rsidRDefault="00AA670C">
      <w:pPr>
        <w:pStyle w:val="Body"/>
      </w:pPr>
    </w:p>
    <w:p w14:paraId="25A96B31" w14:textId="77777777" w:rsidR="00AA670C" w:rsidRDefault="00AA670C">
      <w:pPr>
        <w:pStyle w:val="Body"/>
      </w:pPr>
    </w:p>
    <w:p w14:paraId="6F8206E6" w14:textId="77777777" w:rsidR="00AA670C" w:rsidRDefault="00000000">
      <w:pPr>
        <w:pStyle w:val="Body"/>
        <w:rPr>
          <w:sz w:val="24"/>
          <w:szCs w:val="24"/>
        </w:rPr>
      </w:pPr>
      <w:r>
        <w:rPr>
          <w:sz w:val="24"/>
          <w:szCs w:val="24"/>
        </w:rPr>
        <w:t>February 2026</w:t>
      </w:r>
    </w:p>
    <w:p w14:paraId="52082192" w14:textId="77777777" w:rsidR="002B42BA" w:rsidRDefault="002B42BA">
      <w:pPr>
        <w:pStyle w:val="Body"/>
      </w:pPr>
    </w:p>
    <w:p w14:paraId="6A4F860F" w14:textId="77777777" w:rsidR="00AA670C" w:rsidRDefault="00000000" w:rsidP="002B42BA">
      <w:pPr>
        <w:pStyle w:val="Heading2"/>
      </w:pPr>
      <w:r>
        <w:t>Table of Contents</w:t>
      </w:r>
    </w:p>
    <w:p w14:paraId="07D6EBDB" w14:textId="77777777" w:rsidR="00AA670C" w:rsidRDefault="00000000">
      <w:pPr>
        <w:pStyle w:val="Heading"/>
        <w:spacing w:after="200"/>
      </w:pPr>
      <w:r>
        <w:rPr>
          <w:color w:val="000000"/>
          <w:sz w:val="24"/>
          <w:szCs w:val="24"/>
          <w:u w:color="000000"/>
        </w:rPr>
        <w:t>Preface: What This Document Is</w:t>
      </w:r>
    </w:p>
    <w:p w14:paraId="5B22F471" w14:textId="77777777" w:rsidR="00AA670C" w:rsidRDefault="00000000">
      <w:pPr>
        <w:pStyle w:val="Heading"/>
        <w:spacing w:after="200"/>
      </w:pPr>
      <w:r>
        <w:rPr>
          <w:color w:val="000000"/>
          <w:sz w:val="24"/>
          <w:szCs w:val="24"/>
          <w:u w:color="000000"/>
        </w:rPr>
        <w:t xml:space="preserve">   From the Web of Belief to the Epistemic Warrant Graph</w:t>
      </w:r>
    </w:p>
    <w:p w14:paraId="6708829E" w14:textId="77777777" w:rsidR="00AA670C" w:rsidRDefault="00000000">
      <w:pPr>
        <w:pStyle w:val="Heading"/>
        <w:spacing w:after="200"/>
      </w:pPr>
      <w:r>
        <w:rPr>
          <w:color w:val="000000"/>
          <w:sz w:val="24"/>
          <w:szCs w:val="24"/>
          <w:u w:color="000000"/>
        </w:rPr>
        <w:t>1. Gap 1: Formal Specification of the Projection Function</w:t>
      </w:r>
    </w:p>
    <w:p w14:paraId="4C87D2FF" w14:textId="77777777" w:rsidR="00AA670C" w:rsidRDefault="00000000">
      <w:pPr>
        <w:pStyle w:val="Heading"/>
        <w:spacing w:after="200"/>
      </w:pPr>
      <w:r>
        <w:rPr>
          <w:color w:val="000000"/>
          <w:sz w:val="24"/>
          <w:szCs w:val="24"/>
          <w:u w:color="000000"/>
        </w:rPr>
        <w:t xml:space="preserve">   1.1 What the Panel Asked For</w:t>
      </w:r>
    </w:p>
    <w:p w14:paraId="11B6542F" w14:textId="77777777" w:rsidR="00AA670C" w:rsidRDefault="00000000">
      <w:pPr>
        <w:pStyle w:val="Heading"/>
        <w:spacing w:after="200"/>
      </w:pPr>
      <w:r>
        <w:rPr>
          <w:color w:val="000000"/>
          <w:sz w:val="24"/>
          <w:szCs w:val="24"/>
          <w:u w:color="000000"/>
        </w:rPr>
        <w:t xml:space="preserve">   1.2 The Intuition: What the Projection Function Actually Does</w:t>
      </w:r>
    </w:p>
    <w:p w14:paraId="1AC856DC" w14:textId="77777777" w:rsidR="00AA670C" w:rsidRDefault="00000000">
      <w:pPr>
        <w:pStyle w:val="Heading"/>
        <w:spacing w:after="200"/>
      </w:pPr>
      <w:r>
        <w:rPr>
          <w:color w:val="000000"/>
          <w:sz w:val="24"/>
          <w:szCs w:val="24"/>
          <w:u w:color="000000"/>
          <w:lang w:val="de-DE"/>
        </w:rPr>
        <w:t xml:space="preserve">   1.3 The Formal Definition</w:t>
      </w:r>
    </w:p>
    <w:p w14:paraId="12B8E9DA" w14:textId="77777777" w:rsidR="00AA670C" w:rsidRDefault="00000000">
      <w:pPr>
        <w:pStyle w:val="Heading"/>
        <w:spacing w:after="200"/>
      </w:pPr>
      <w:r>
        <w:rPr>
          <w:color w:val="000000"/>
          <w:sz w:val="24"/>
          <w:szCs w:val="24"/>
          <w:u w:color="000000"/>
        </w:rPr>
        <w:t xml:space="preserve">   1.4 What This Adds to the Paper</w:t>
      </w:r>
    </w:p>
    <w:p w14:paraId="5AEFFEF3" w14:textId="77777777" w:rsidR="00AA670C" w:rsidRDefault="00000000">
      <w:pPr>
        <w:pStyle w:val="Heading"/>
        <w:spacing w:after="200"/>
      </w:pPr>
      <w:r>
        <w:rPr>
          <w:color w:val="000000"/>
          <w:sz w:val="24"/>
          <w:szCs w:val="24"/>
          <w:u w:color="000000"/>
        </w:rPr>
        <w:t>2. Gap 2: Empirical Validation of the Discount Factors</w:t>
      </w:r>
    </w:p>
    <w:p w14:paraId="4414974E" w14:textId="77777777" w:rsidR="00AA670C" w:rsidRDefault="00000000">
      <w:pPr>
        <w:pStyle w:val="Heading"/>
        <w:spacing w:after="200"/>
      </w:pPr>
      <w:r>
        <w:rPr>
          <w:color w:val="000000"/>
          <w:sz w:val="24"/>
          <w:szCs w:val="24"/>
          <w:u w:color="000000"/>
        </w:rPr>
        <w:t xml:space="preserve">   2.1 What the Panel Asked For</w:t>
      </w:r>
    </w:p>
    <w:p w14:paraId="64FD5BCF" w14:textId="77777777" w:rsidR="00AA670C" w:rsidRDefault="00000000">
      <w:pPr>
        <w:pStyle w:val="Heading"/>
        <w:spacing w:after="200"/>
      </w:pPr>
      <w:r>
        <w:rPr>
          <w:color w:val="000000"/>
          <w:sz w:val="24"/>
          <w:szCs w:val="24"/>
          <w:u w:color="000000"/>
        </w:rPr>
        <w:t xml:space="preserve">   2.2 Why This Matters: The Problem of Arbitrary Parameters</w:t>
      </w:r>
    </w:p>
    <w:p w14:paraId="66B7F12F" w14:textId="77777777" w:rsidR="00AA670C" w:rsidRDefault="00000000">
      <w:pPr>
        <w:pStyle w:val="Heading"/>
        <w:spacing w:after="200"/>
      </w:pPr>
      <w:r>
        <w:rPr>
          <w:color w:val="000000"/>
          <w:sz w:val="24"/>
          <w:szCs w:val="24"/>
          <w:u w:color="000000"/>
        </w:rPr>
        <w:t xml:space="preserve">   2.3 Strategy A: Retrospective Calibration</w:t>
      </w:r>
    </w:p>
    <w:p w14:paraId="39AC81E0" w14:textId="77777777" w:rsidR="00AA670C" w:rsidRDefault="00000000">
      <w:pPr>
        <w:pStyle w:val="Heading"/>
        <w:spacing w:after="200"/>
      </w:pPr>
      <w:r>
        <w:rPr>
          <w:color w:val="000000"/>
          <w:sz w:val="24"/>
          <w:szCs w:val="24"/>
          <w:u w:color="000000"/>
        </w:rPr>
        <w:t xml:space="preserve">   2.4 Strategy B: Cross-Validation Within the Knowledge Graph</w:t>
      </w:r>
    </w:p>
    <w:p w14:paraId="29FF3423" w14:textId="77777777" w:rsidR="00AA670C" w:rsidRDefault="00000000">
      <w:pPr>
        <w:pStyle w:val="Heading"/>
        <w:spacing w:after="200"/>
      </w:pPr>
      <w:r>
        <w:rPr>
          <w:color w:val="000000"/>
          <w:sz w:val="24"/>
          <w:szCs w:val="24"/>
          <w:u w:color="000000"/>
        </w:rPr>
        <w:t xml:space="preserve">   2.5 Strategy C: Sensitivity Analysis (</w:t>
      </w:r>
      <w:proofErr w:type="spellStart"/>
      <w:r>
        <w:rPr>
          <w:color w:val="000000"/>
          <w:sz w:val="24"/>
          <w:szCs w:val="24"/>
          <w:u w:color="000000"/>
        </w:rPr>
        <w:t>Saltelli's</w:t>
      </w:r>
      <w:proofErr w:type="spellEnd"/>
      <w:r>
        <w:rPr>
          <w:color w:val="000000"/>
          <w:sz w:val="24"/>
          <w:szCs w:val="24"/>
          <w:u w:color="000000"/>
        </w:rPr>
        <w:t xml:space="preserve"> Own Method)</w:t>
      </w:r>
    </w:p>
    <w:p w14:paraId="3E7FDA50" w14:textId="77777777" w:rsidR="00AA670C" w:rsidRDefault="00000000">
      <w:pPr>
        <w:pStyle w:val="Heading"/>
        <w:spacing w:after="200"/>
      </w:pPr>
      <w:r>
        <w:rPr>
          <w:color w:val="000000"/>
          <w:sz w:val="24"/>
          <w:szCs w:val="24"/>
          <w:u w:color="000000"/>
        </w:rPr>
        <w:t xml:space="preserve">   2.6 What This Adds to the Paper</w:t>
      </w:r>
    </w:p>
    <w:p w14:paraId="49E7005C" w14:textId="77777777" w:rsidR="00AA670C" w:rsidRDefault="00000000">
      <w:pPr>
        <w:pStyle w:val="Heading"/>
        <w:spacing w:after="200"/>
      </w:pPr>
      <w:r>
        <w:rPr>
          <w:color w:val="000000"/>
          <w:sz w:val="24"/>
          <w:szCs w:val="24"/>
          <w:u w:color="000000"/>
        </w:rPr>
        <w:t>3. Gap 3: Semantic Clarity about Causation</w:t>
      </w:r>
    </w:p>
    <w:p w14:paraId="3E05A655" w14:textId="77777777" w:rsidR="00AA670C" w:rsidRDefault="00000000">
      <w:pPr>
        <w:pStyle w:val="Heading"/>
        <w:spacing w:after="200"/>
      </w:pPr>
      <w:r>
        <w:rPr>
          <w:color w:val="000000"/>
          <w:sz w:val="24"/>
          <w:szCs w:val="24"/>
          <w:u w:color="000000"/>
        </w:rPr>
        <w:t xml:space="preserve">   3.1 What the Panel Asked For</w:t>
      </w:r>
    </w:p>
    <w:p w14:paraId="79CAEDB5" w14:textId="77777777" w:rsidR="00AA670C" w:rsidRDefault="00000000">
      <w:pPr>
        <w:pStyle w:val="Heading"/>
        <w:spacing w:after="200"/>
      </w:pPr>
      <w:r>
        <w:rPr>
          <w:color w:val="000000"/>
          <w:sz w:val="24"/>
          <w:szCs w:val="24"/>
          <w:u w:color="000000"/>
        </w:rPr>
        <w:t xml:space="preserve">   3.2 The Intuition: Why Causal Semantics Matter</w:t>
      </w:r>
    </w:p>
    <w:p w14:paraId="790E28FE" w14:textId="77777777" w:rsidR="00AA670C" w:rsidRDefault="00000000">
      <w:pPr>
        <w:pStyle w:val="Heading"/>
        <w:spacing w:after="200"/>
      </w:pPr>
      <w:r>
        <w:rPr>
          <w:color w:val="000000"/>
          <w:sz w:val="24"/>
          <w:szCs w:val="24"/>
          <w:u w:color="000000"/>
        </w:rPr>
        <w:t xml:space="preserve">   3.3 Our Recommendation: Commit to Interventionism as Primary Semantics</w:t>
      </w:r>
    </w:p>
    <w:p w14:paraId="2F479C39" w14:textId="77777777" w:rsidR="00AA670C" w:rsidRDefault="00000000">
      <w:pPr>
        <w:pStyle w:val="Heading"/>
        <w:spacing w:after="200"/>
      </w:pPr>
      <w:r>
        <w:rPr>
          <w:color w:val="000000"/>
          <w:sz w:val="24"/>
          <w:szCs w:val="24"/>
          <w:u w:color="000000"/>
        </w:rPr>
        <w:lastRenderedPageBreak/>
        <w:t xml:space="preserve">   3.4 Handling Confounding</w:t>
      </w:r>
    </w:p>
    <w:p w14:paraId="69410B99" w14:textId="77777777" w:rsidR="00AA670C" w:rsidRDefault="00000000">
      <w:pPr>
        <w:pStyle w:val="Heading"/>
        <w:spacing w:after="200"/>
      </w:pPr>
      <w:r>
        <w:rPr>
          <w:color w:val="000000"/>
          <w:sz w:val="24"/>
          <w:szCs w:val="24"/>
          <w:u w:color="000000"/>
        </w:rPr>
        <w:t xml:space="preserve">   3.5 What This Adds to the Paper</w:t>
      </w:r>
    </w:p>
    <w:p w14:paraId="7F66E510" w14:textId="77777777" w:rsidR="00AA670C" w:rsidRDefault="00000000">
      <w:pPr>
        <w:pStyle w:val="Heading"/>
        <w:spacing w:after="200"/>
      </w:pPr>
      <w:r>
        <w:rPr>
          <w:color w:val="000000"/>
          <w:sz w:val="24"/>
          <w:szCs w:val="24"/>
          <w:u w:color="000000"/>
        </w:rPr>
        <w:t>4. How the Three Gaps Interconnect</w:t>
      </w:r>
    </w:p>
    <w:p w14:paraId="296E9A03" w14:textId="77777777" w:rsidR="00AA670C" w:rsidRDefault="00000000">
      <w:pPr>
        <w:pStyle w:val="Heading"/>
        <w:spacing w:after="200"/>
      </w:pPr>
      <w:r>
        <w:rPr>
          <w:color w:val="000000"/>
          <w:sz w:val="24"/>
          <w:szCs w:val="24"/>
          <w:u w:color="000000"/>
        </w:rPr>
        <w:t>5. A Note on Warrant Types: The Canonical Seven-Type System</w:t>
      </w:r>
    </w:p>
    <w:p w14:paraId="13174108" w14:textId="77777777" w:rsidR="00AA670C" w:rsidRDefault="00000000">
      <w:pPr>
        <w:pStyle w:val="Heading"/>
        <w:spacing w:after="200"/>
      </w:pPr>
      <w:r>
        <w:rPr>
          <w:color w:val="000000"/>
          <w:sz w:val="24"/>
          <w:szCs w:val="24"/>
          <w:u w:color="000000"/>
          <w:lang w:val="fr-FR"/>
        </w:rPr>
        <w:t xml:space="preserve">6. </w:t>
      </w:r>
      <w:proofErr w:type="spellStart"/>
      <w:r>
        <w:rPr>
          <w:color w:val="000000"/>
          <w:sz w:val="24"/>
          <w:szCs w:val="24"/>
          <w:u w:color="000000"/>
          <w:lang w:val="fr-FR"/>
        </w:rPr>
        <w:t>References</w:t>
      </w:r>
      <w:proofErr w:type="spellEnd"/>
    </w:p>
    <w:p w14:paraId="7E267E82" w14:textId="77777777" w:rsidR="00AA670C" w:rsidRDefault="00000000" w:rsidP="002B42BA">
      <w:pPr>
        <w:pStyle w:val="Heading2"/>
      </w:pPr>
      <w:r>
        <w:t>Preface: What This Document Is</w:t>
      </w:r>
    </w:p>
    <w:p w14:paraId="414E2C00" w14:textId="1CFCBB1A" w:rsidR="00AA670C" w:rsidRDefault="00000000" w:rsidP="002B42BA">
      <w:pPr>
        <w:pStyle w:val="Heading"/>
        <w:spacing w:after="200"/>
      </w:pPr>
      <w:r>
        <w:rPr>
          <w:color w:val="000000"/>
          <w:sz w:val="24"/>
          <w:szCs w:val="24"/>
          <w:u w:color="000000"/>
        </w:rPr>
        <w:t xml:space="preserve">This document responds to the three "essential gaps" identified by our simulated expert panel (Cartwright, Pearl, Der </w:t>
      </w:r>
      <w:proofErr w:type="spellStart"/>
      <w:r>
        <w:rPr>
          <w:color w:val="000000"/>
          <w:sz w:val="24"/>
          <w:szCs w:val="24"/>
          <w:u w:color="000000"/>
        </w:rPr>
        <w:t>Kiureghian</w:t>
      </w:r>
      <w:proofErr w:type="spellEnd"/>
      <w:r>
        <w:rPr>
          <w:color w:val="000000"/>
          <w:sz w:val="24"/>
          <w:szCs w:val="24"/>
          <w:u w:color="000000"/>
        </w:rPr>
        <w:t xml:space="preserve">, Moss, Thagard, </w:t>
      </w:r>
      <w:proofErr w:type="spellStart"/>
      <w:r>
        <w:rPr>
          <w:color w:val="000000"/>
          <w:sz w:val="24"/>
          <w:szCs w:val="24"/>
          <w:u w:color="000000"/>
        </w:rPr>
        <w:t>Saltelli</w:t>
      </w:r>
      <w:proofErr w:type="spellEnd"/>
      <w:r>
        <w:rPr>
          <w:color w:val="000000"/>
          <w:sz w:val="24"/>
          <w:szCs w:val="24"/>
          <w:u w:color="000000"/>
        </w:rPr>
        <w:t xml:space="preserve">, Woodward, and Fox) in their review of "Two Kinds of Uncertainty: Why the Distinction Matters for Computational Systems." The panel rated three issues as Priority 1 (essential for publication): (1) formal specification of the projection function, demanded primarily by Pearl; (2) empirical validation of the discount factors, demanded primarily by </w:t>
      </w:r>
      <w:proofErr w:type="spellStart"/>
      <w:r>
        <w:rPr>
          <w:color w:val="000000"/>
          <w:sz w:val="24"/>
          <w:szCs w:val="24"/>
          <w:u w:color="000000"/>
        </w:rPr>
        <w:t>Saltelli</w:t>
      </w:r>
      <w:proofErr w:type="spellEnd"/>
      <w:r>
        <w:rPr>
          <w:color w:val="000000"/>
          <w:sz w:val="24"/>
          <w:szCs w:val="24"/>
          <w:u w:color="000000"/>
        </w:rPr>
        <w:t>; and (3) semantic clarity about what "causation" means in the ATLAS (Architecture for Typed, Layered Assessment of Science) system, demanded jointly by Woodward and Cartwright.</w:t>
      </w:r>
    </w:p>
    <w:p w14:paraId="2951BA9D" w14:textId="26A29EDA" w:rsidR="00AA670C" w:rsidRDefault="00000000" w:rsidP="002B42BA">
      <w:pPr>
        <w:pStyle w:val="Heading"/>
        <w:spacing w:after="200"/>
      </w:pPr>
      <w:r>
        <w:rPr>
          <w:color w:val="000000"/>
          <w:sz w:val="24"/>
          <w:szCs w:val="24"/>
          <w:u w:color="000000"/>
        </w:rPr>
        <w:t>Rather than offering terse technical fixes, this document develops each reply at length with concrete examples, step-by-step reasoning, and analogies designed to make the material accessible to a third-year undergraduate in cognitive science or philosophy. The goal is to show not just what to add to the paper, but why each addition matters and how it connects to the broader intellectual architecture of the ATLAS system.</w:t>
      </w:r>
    </w:p>
    <w:p w14:paraId="3F70E217" w14:textId="77777777" w:rsidR="00AA670C" w:rsidRDefault="00000000">
      <w:pPr>
        <w:pStyle w:val="Heading"/>
        <w:spacing w:after="200"/>
      </w:pPr>
      <w:r>
        <w:rPr>
          <w:color w:val="000000"/>
          <w:sz w:val="24"/>
          <w:szCs w:val="24"/>
          <w:u w:color="000000"/>
        </w:rPr>
        <w:t>A note on warrant types: The ATLAS system uses seven canonical warrant types — CONSTITUTIVE, MECHANISM, EMPIRICAL_COVARIANCE, FUNCTIONAL, CAPACITY, ANALOGICAL, and THEORETICAL_DEFAULT — each with a default prior that reflects the strength of the evidential bridge from laboratory finding to architectural application. These priors range from 0.75 (CONSTITUTIVE, where the lab variable and the architectural variable are literally the same thing) down to below 0.50 (THEORETICAL_DEFAULT, an explicit placeholder). The reader should note that an earlier version of the worked example in the paper used a different five-type system (EMPIRICAL, MECHANISM, ANALOGICAL, AUTHORITY, STIPULATIVE) with different numerical values. The correct system is the seven-type hierarchy described above. This document uses only the canonical seven-type system throughout.</w:t>
      </w:r>
    </w:p>
    <w:p w14:paraId="689E6A04" w14:textId="77777777" w:rsidR="00AA670C" w:rsidRDefault="00AA670C">
      <w:pPr>
        <w:pStyle w:val="Heading"/>
        <w:spacing w:after="200"/>
      </w:pPr>
    </w:p>
    <w:p w14:paraId="2055F73E" w14:textId="77777777" w:rsidR="00AA670C" w:rsidRPr="002B42BA" w:rsidRDefault="00000000" w:rsidP="002B42BA">
      <w:pPr>
        <w:pStyle w:val="Heading2"/>
        <w:spacing w:after="120"/>
      </w:pPr>
      <w:r w:rsidRPr="002B42BA">
        <w:t>A Note on Terminology: From the Web of Belief to the Epistemic Warrant Graph</w:t>
      </w:r>
    </w:p>
    <w:p w14:paraId="5C8644EB" w14:textId="1A462142" w:rsidR="00AA670C" w:rsidRDefault="00000000" w:rsidP="002B42BA">
      <w:pPr>
        <w:pStyle w:val="Heading2"/>
        <w:spacing w:after="150"/>
      </w:pPr>
      <w:r>
        <w:rPr>
          <w:color w:val="000000"/>
          <w:sz w:val="24"/>
          <w:szCs w:val="24"/>
          <w:u w:color="000000"/>
        </w:rPr>
        <w:t>Throughout this document and in the revised paper, we use the term Epistemic Warrant Graph (EWG) to refer to the epistemic layer of the ATLAS dual architecture — the structure that was previously called the "Web of Belief." This terminological shift reflects a substantive intellectual development, not merely a rebranding, and it is worth explaining why.</w:t>
      </w:r>
    </w:p>
    <w:p w14:paraId="1F689D86" w14:textId="13D124D8" w:rsidR="00AA670C" w:rsidRDefault="00000000" w:rsidP="002B42BA">
      <w:pPr>
        <w:pStyle w:val="Heading2"/>
        <w:spacing w:after="150"/>
      </w:pPr>
      <w:r>
        <w:rPr>
          <w:color w:val="000000"/>
          <w:sz w:val="24"/>
          <w:szCs w:val="24"/>
          <w:u w:color="000000"/>
        </w:rPr>
        <w:t xml:space="preserve">The phrase "Web of Belief" comes from Quine and Ullian (1978), who proposed that our beliefs form an interconnected network in which no belief is immune to revision. Quine's picture was </w:t>
      </w:r>
      <w:proofErr w:type="spellStart"/>
      <w:r>
        <w:rPr>
          <w:color w:val="000000"/>
          <w:sz w:val="24"/>
          <w:szCs w:val="24"/>
          <w:u w:color="000000"/>
        </w:rPr>
        <w:t>coherentist</w:t>
      </w:r>
      <w:proofErr w:type="spellEnd"/>
      <w:r>
        <w:rPr>
          <w:color w:val="000000"/>
          <w:sz w:val="24"/>
          <w:szCs w:val="24"/>
          <w:u w:color="000000"/>
        </w:rPr>
        <w:t xml:space="preserve">: beliefs are justified not by resting on foundational certainties (as the older foundationalist epistemology claimed) but by cohering with one another. Beliefs at the periphery of the web — those most directly in contact with sensory experience — are the </w:t>
      </w:r>
      <w:r>
        <w:rPr>
          <w:color w:val="000000"/>
          <w:sz w:val="24"/>
          <w:szCs w:val="24"/>
          <w:u w:color="000000"/>
        </w:rPr>
        <w:lastRenderedPageBreak/>
        <w:t>most vulnerable to revision when experience contradicts them. Beliefs at the center — logic, mathematics, deeply entrenched theoretical commitments — are the most resistant, because revising them would require reorganizing large portions of the web. This was a revolutionary insight. It replaced the image of knowledge as a building resting on foundations with the image of knowledge as a net held together by mutual support</w:t>
      </w:r>
    </w:p>
    <w:p w14:paraId="5F977096" w14:textId="597F220C" w:rsidR="00AA670C" w:rsidRDefault="00000000" w:rsidP="002B42BA">
      <w:pPr>
        <w:pStyle w:val="Heading2"/>
        <w:spacing w:after="150"/>
      </w:pPr>
      <w:r>
        <w:rPr>
          <w:color w:val="000000"/>
          <w:sz w:val="24"/>
          <w:szCs w:val="24"/>
          <w:u w:color="000000"/>
        </w:rPr>
        <w:t>The ATLAS system inherits Quine's core insight: beliefs are interconnected, and revision propagates through the network. When new evidence undermines a warrant for a causal claim, the effects ripple outward to other claims that depended on it. In this sense, the ATLAS system's epistemic layer IS a web of belief. But it differs from Quine's web in two crucial respects that make the original term misleading.</w:t>
      </w:r>
    </w:p>
    <w:p w14:paraId="2093A757" w14:textId="4C0A75B4" w:rsidR="00AA670C" w:rsidRDefault="00000000" w:rsidP="002B42BA">
      <w:pPr>
        <w:pStyle w:val="Heading2"/>
        <w:spacing w:after="150"/>
      </w:pPr>
      <w:r>
        <w:rPr>
          <w:color w:val="000000"/>
          <w:sz w:val="24"/>
          <w:szCs w:val="24"/>
          <w:u w:color="000000"/>
        </w:rPr>
        <w:t>First, Quine's web is untyped. All connections have the same epistemic status — a link between a theoretical postulate and an observation is the same kind of link as a link between two observations. There is no way to distinguish a connection grounded in experimental evidence from one grounded in analogy or theoretical default</w:t>
      </w:r>
      <w:r w:rsidR="002B42BA">
        <w:rPr>
          <w:color w:val="000000"/>
          <w:sz w:val="24"/>
          <w:szCs w:val="24"/>
          <w:u w:color="000000"/>
        </w:rPr>
        <w:t xml:space="preserve"> (or semantics – synonymy)</w:t>
      </w:r>
      <w:r>
        <w:rPr>
          <w:color w:val="000000"/>
          <w:sz w:val="24"/>
          <w:szCs w:val="24"/>
          <w:u w:color="000000"/>
        </w:rPr>
        <w:t>. The ATLAS system, by contrast, assigns every connection an explicit warrant type drawn from a seven-type hierarchy (CONSTITUTIVE</w:t>
      </w:r>
      <w:r w:rsidR="002B42BA">
        <w:rPr>
          <w:color w:val="000000"/>
          <w:sz w:val="24"/>
          <w:szCs w:val="24"/>
          <w:u w:color="000000"/>
        </w:rPr>
        <w:t xml:space="preserve"> (criterial, part whole)</w:t>
      </w:r>
      <w:r>
        <w:rPr>
          <w:color w:val="000000"/>
          <w:sz w:val="24"/>
          <w:szCs w:val="24"/>
          <w:u w:color="000000"/>
        </w:rPr>
        <w:t xml:space="preserve"> through THEORETICAL_DEFAULT). This typing is not a cosmetic addition; it determines how the connection should be interpreted, how much it should be trusted for cross-context transfer, and what kind of new evidence would strengthen or weaken it. A MECHANISM warrant and an ANALOGICAL warrant are not merely different in degree of strength — they are different in kind, calling for different research strategies and carrying different vulnerabilities to confounding.</w:t>
      </w:r>
    </w:p>
    <w:p w14:paraId="747A21C1" w14:textId="638AB2F4" w:rsidR="00AA670C" w:rsidRDefault="00000000" w:rsidP="002B42BA">
      <w:pPr>
        <w:pStyle w:val="Heading2"/>
        <w:spacing w:after="150"/>
      </w:pPr>
      <w:r>
        <w:rPr>
          <w:color w:val="000000"/>
          <w:sz w:val="24"/>
          <w:szCs w:val="24"/>
          <w:u w:color="000000"/>
        </w:rPr>
        <w:t xml:space="preserve">Second, Quine's web is non-quantitative. Beliefs are either in the web or not, and their vulnerability to revision is described metaphorically (peripheral vs. central) rather than precisely. You cannot ask: how much would this belief change if that evidence arrived? The ATLAS system, by contrast, assigns every warrant edge a numerical confidence weight that </w:t>
      </w:r>
      <w:r w:rsidRPr="002B42BA">
        <w:rPr>
          <w:color w:val="EE0000"/>
          <w:sz w:val="24"/>
          <w:szCs w:val="24"/>
          <w:u w:color="000000"/>
        </w:rPr>
        <w:t xml:space="preserve">can be updated via Bayesian reasoning </w:t>
      </w:r>
      <w:r>
        <w:rPr>
          <w:color w:val="000000"/>
          <w:sz w:val="24"/>
          <w:szCs w:val="24"/>
          <w:u w:color="000000"/>
        </w:rPr>
        <w:t>when new evidence arrives. The system can compute exact answers to questions like: if a new study confirms the serotonin-mood pathway with effect size d = 0.45, how much should our confidence in the daylight-mood claim increase?</w:t>
      </w:r>
    </w:p>
    <w:p w14:paraId="6FC7B828" w14:textId="5B0029C2" w:rsidR="00AA670C" w:rsidRDefault="00000000" w:rsidP="002B42BA">
      <w:pPr>
        <w:pStyle w:val="Heading2"/>
        <w:spacing w:after="150"/>
      </w:pPr>
      <w:r>
        <w:rPr>
          <w:color w:val="000000"/>
          <w:sz w:val="24"/>
          <w:szCs w:val="24"/>
          <w:u w:color="000000"/>
        </w:rPr>
        <w:t xml:space="preserve">The term "Epistemic Warrant Graph" captures </w:t>
      </w:r>
      <w:proofErr w:type="gramStart"/>
      <w:r>
        <w:rPr>
          <w:color w:val="000000"/>
          <w:sz w:val="24"/>
          <w:szCs w:val="24"/>
          <w:u w:color="000000"/>
        </w:rPr>
        <w:t>both of these</w:t>
      </w:r>
      <w:proofErr w:type="gramEnd"/>
      <w:r>
        <w:rPr>
          <w:color w:val="000000"/>
          <w:sz w:val="24"/>
          <w:szCs w:val="24"/>
          <w:u w:color="000000"/>
        </w:rPr>
        <w:t xml:space="preserve"> advances. "Epistemic" signals that the structure concerns knowledge and evidence, not outcomes — it is the counterpart to the Bayesian Network, which concerns aleatory probabilities. "Warrant" invokes Toulmin's (1958) model of argumentation, in which a warrant is the inferential bridge from data to claim — exactly the role that the typed edges play in the ATLAS system. And "Graph" is the correct mathematical term: the structure is a labeled directed hypergraph with typed, weighted edges, not a generic "web."</w:t>
      </w:r>
    </w:p>
    <w:p w14:paraId="5BF0BED4" w14:textId="77777777" w:rsidR="00AA670C" w:rsidRDefault="00000000">
      <w:pPr>
        <w:pStyle w:val="Heading2"/>
        <w:spacing w:after="150"/>
      </w:pPr>
      <w:r>
        <w:rPr>
          <w:color w:val="000000"/>
          <w:sz w:val="24"/>
          <w:szCs w:val="24"/>
          <w:u w:color="000000"/>
        </w:rPr>
        <w:t xml:space="preserve">The intellectual lineage can be summarized as follows. Quine gave us the topology — the insight that beliefs form an interconnected network where revision propagates. Toulmin gave us the types — the insight that warrants connect data to claims with specific inferential force, and that different warrants have different strengths and vulnerabilities. And the ATLAS system gives us the quantification — each warrant carries a measurable confidence that can be projected into a Bayesian network for computation. The Epistemic Warrant Graph is what you get when you take Quine's web seriously enough to implement it — when you move from a philosophical metaphor to a computational data structure that can </w:t>
      </w:r>
      <w:proofErr w:type="gramStart"/>
      <w:r>
        <w:rPr>
          <w:color w:val="000000"/>
          <w:sz w:val="24"/>
          <w:szCs w:val="24"/>
          <w:u w:color="000000"/>
        </w:rPr>
        <w:t>actually reason</w:t>
      </w:r>
      <w:proofErr w:type="gramEnd"/>
      <w:r>
        <w:rPr>
          <w:color w:val="000000"/>
          <w:sz w:val="24"/>
          <w:szCs w:val="24"/>
          <w:u w:color="000000"/>
        </w:rPr>
        <w:t xml:space="preserve"> with the distinctions Quine pointed at but never formalized.</w:t>
      </w:r>
    </w:p>
    <w:p w14:paraId="3DD5C539" w14:textId="77777777" w:rsidR="00AA670C" w:rsidRDefault="00000000" w:rsidP="002B42BA">
      <w:pPr>
        <w:pStyle w:val="Heading2"/>
      </w:pPr>
      <w:r>
        <w:t>1. Gap 1: Formal Specification of the Projection Function</w:t>
      </w:r>
    </w:p>
    <w:p w14:paraId="4CFBFF5C" w14:textId="77777777" w:rsidR="00AA670C" w:rsidRDefault="00000000" w:rsidP="00BC44ED">
      <w:pPr>
        <w:pStyle w:val="Heading3"/>
      </w:pPr>
      <w:r>
        <w:lastRenderedPageBreak/>
        <w:t>1.1 What the Panel Asked For</w:t>
      </w:r>
    </w:p>
    <w:p w14:paraId="296CE379" w14:textId="0DAC66AE" w:rsidR="00AA670C" w:rsidRDefault="00000000" w:rsidP="00BC44ED">
      <w:pPr>
        <w:pStyle w:val="Heading2"/>
        <w:spacing w:after="150"/>
      </w:pPr>
      <w:r>
        <w:rPr>
          <w:color w:val="000000"/>
          <w:sz w:val="24"/>
          <w:szCs w:val="24"/>
          <w:u w:color="000000"/>
        </w:rPr>
        <w:t>Judea Pearl's critique was direct: "Show me the mathematics." He observed that the paper describes the projection function — the mapping from the Epistemic Warrant Graph (where epistemic uncertainty lives</w:t>
      </w:r>
      <w:r w:rsidR="002B42BA">
        <w:rPr>
          <w:color w:val="000000"/>
          <w:sz w:val="24"/>
          <w:szCs w:val="24"/>
          <w:u w:color="000000"/>
        </w:rPr>
        <w:t xml:space="preserve"> – </w:t>
      </w:r>
      <w:r w:rsidR="002B42BA" w:rsidRPr="002B42BA">
        <w:rPr>
          <w:color w:val="EE0000"/>
          <w:sz w:val="24"/>
          <w:szCs w:val="24"/>
          <w:u w:color="000000"/>
        </w:rPr>
        <w:t>shall we call this subjective prob</w:t>
      </w:r>
      <w:r>
        <w:rPr>
          <w:color w:val="000000"/>
          <w:sz w:val="24"/>
          <w:szCs w:val="24"/>
          <w:u w:color="000000"/>
        </w:rPr>
        <w:t>) to the Bayesian Network (where aleatory uncertainty lives</w:t>
      </w:r>
      <w:r w:rsidR="002B42BA">
        <w:rPr>
          <w:color w:val="000000"/>
          <w:sz w:val="24"/>
          <w:szCs w:val="24"/>
          <w:u w:color="000000"/>
        </w:rPr>
        <w:t xml:space="preserve"> – </w:t>
      </w:r>
      <w:r w:rsidR="002B42BA" w:rsidRPr="002B42BA">
        <w:rPr>
          <w:color w:val="EE0000"/>
          <w:sz w:val="24"/>
          <w:szCs w:val="24"/>
          <w:u w:color="000000"/>
        </w:rPr>
        <w:t>shall we call this frequentist probability</w:t>
      </w:r>
      <w:r>
        <w:rPr>
          <w:color w:val="000000"/>
          <w:sz w:val="24"/>
          <w:szCs w:val="24"/>
          <w:u w:color="000000"/>
        </w:rPr>
        <w:t>) — in informal, procedural terms. What is missing, he argued, is a formal definition with provable properties. Specifically, Pearl wanted three things: (a) a mathematical definition of how warrant types and discount factors map onto prior distributions over causal parameters; (b) a completeness result showing what information is preserved or lost in the projection; and (c) validation against benchmark datasets. Cartwright reinforced this concern from a different angle: she wanted to know whether the projection function respects the real causal structure of the world, or whether it is merely a useful computational fiction.</w:t>
      </w:r>
    </w:p>
    <w:p w14:paraId="56739F4F" w14:textId="090EAD07" w:rsidR="00BC44ED" w:rsidRDefault="00000000" w:rsidP="00BC44ED">
      <w:pPr>
        <w:pStyle w:val="Heading2"/>
        <w:spacing w:after="150"/>
        <w:rPr>
          <w:color w:val="000000"/>
          <w:sz w:val="24"/>
          <w:szCs w:val="24"/>
          <w:u w:color="000000"/>
        </w:rPr>
      </w:pPr>
      <w:r>
        <w:rPr>
          <w:color w:val="000000"/>
          <w:sz w:val="24"/>
          <w:szCs w:val="24"/>
          <w:u w:color="000000"/>
        </w:rPr>
        <w:t>These are serious demands. A projection function that lacks formal specification is, in Pearl's terms, an engineering heuristic dressed up as a theory. To meet these demands, we need to define π precisely, state its assumptions, and prove what it does and does not preserve.</w:t>
      </w:r>
    </w:p>
    <w:p w14:paraId="7F5AE005" w14:textId="77777777" w:rsidR="00BC44ED" w:rsidRDefault="00BC44ED" w:rsidP="00BC44ED">
      <w:pPr>
        <w:pStyle w:val="Heading2"/>
        <w:spacing w:after="150"/>
      </w:pPr>
    </w:p>
    <w:p w14:paraId="55A14F55" w14:textId="29EBCF12" w:rsidR="00AA670C" w:rsidRPr="00BC44ED" w:rsidRDefault="00000000" w:rsidP="00BC44ED">
      <w:pPr>
        <w:pStyle w:val="Heading3"/>
      </w:pPr>
      <w:r w:rsidRPr="00BC44ED">
        <w:t>1.2 The Intuition: What the Projection Function Actually Does</w:t>
      </w:r>
    </w:p>
    <w:p w14:paraId="054A1728" w14:textId="2CB37543" w:rsidR="00AA670C" w:rsidRDefault="00000000" w:rsidP="00BC44ED">
      <w:pPr>
        <w:pStyle w:val="Heading2"/>
        <w:spacing w:after="150"/>
      </w:pPr>
      <w:r>
        <w:rPr>
          <w:color w:val="000000"/>
          <w:sz w:val="24"/>
          <w:szCs w:val="24"/>
          <w:u w:color="000000"/>
        </w:rPr>
        <w:t>Before diving into formalism, let us build intuition about what the projection function is doing. Think of it this way.</w:t>
      </w:r>
    </w:p>
    <w:p w14:paraId="38E3E8FD" w14:textId="0DB8E1AA" w:rsidR="00AA670C" w:rsidRDefault="00000000" w:rsidP="00BC44ED">
      <w:pPr>
        <w:pStyle w:val="Heading2"/>
        <w:spacing w:after="150"/>
      </w:pPr>
      <w:r>
        <w:rPr>
          <w:color w:val="000000"/>
          <w:sz w:val="24"/>
          <w:szCs w:val="24"/>
          <w:u w:color="000000"/>
        </w:rPr>
        <w:t>Imagine you are a detective working a murder case. You have a big corkboard on your wall — the kind you see in crime dramas — with photographs, newspaper clippings, witness statements, and pieces of physical evidence, all connected by colored strings. Red strings mean "this person was seen at this location." Blue strings mean "this forensic evidence connects to this suspect." Green strings mean "this witness testimony supports this timeline." The corkboard is your Epistemic Warrant Graph. It is rich, messy, multi-typed, and it preserves the provenance of every connection (you can always ask: why do I believe suspect A was at the crime scene? Because of the red string from the security camera footage).</w:t>
      </w:r>
    </w:p>
    <w:p w14:paraId="08757111" w14:textId="08B5E358" w:rsidR="00AA670C" w:rsidRDefault="00000000" w:rsidP="00BC44ED">
      <w:pPr>
        <w:pStyle w:val="Heading2"/>
        <w:spacing w:after="150"/>
      </w:pPr>
      <w:r>
        <w:rPr>
          <w:color w:val="000000"/>
          <w:sz w:val="24"/>
          <w:szCs w:val="24"/>
          <w:u w:color="000000"/>
        </w:rPr>
        <w:t>Now imagine you need to present this case to a jury. The jury does not want to see your corkboard. They want a clear, quantitative summary: "What is the probability that suspect A committed the crime, given all the evidence?" To produce that summary, you need to translate your corkboard into a probability — a single number (or a set of conditional probabilities) that a juror can reason with.</w:t>
      </w:r>
    </w:p>
    <w:p w14:paraId="1C7F5126" w14:textId="77777777" w:rsidR="00AA670C" w:rsidRDefault="00000000">
      <w:pPr>
        <w:pStyle w:val="Heading2"/>
        <w:spacing w:after="150"/>
      </w:pPr>
      <w:r>
        <w:rPr>
          <w:color w:val="000000"/>
          <w:sz w:val="24"/>
          <w:szCs w:val="24"/>
          <w:u w:color="000000"/>
        </w:rPr>
        <w:t>That translation is the projection function. It takes your rich, typed, provenance-preserving knowledge structure (the EWG) and produces a compact probabilistic model (the Bayesian Network). And just as the jury's probability does not capture everything on your corkboard — it does not tell them which strings are red versus blue, or which evidence came from forensics versus witnesses — the Bayesian Network does not capture everything in the Web. The projection is necessarily lossy. But it should be lossy in a controlled, principled way, not in a haphazard way.</w:t>
      </w:r>
    </w:p>
    <w:p w14:paraId="5B58EC94" w14:textId="77777777" w:rsidR="00AA670C" w:rsidRDefault="00000000" w:rsidP="00BC44ED">
      <w:pPr>
        <w:pStyle w:val="Heading3"/>
      </w:pPr>
      <w:r>
        <w:t>1.3 The Formal Definition</w:t>
      </w:r>
    </w:p>
    <w:p w14:paraId="7D78D86E" w14:textId="77777777" w:rsidR="00AA670C" w:rsidRDefault="00000000">
      <w:pPr>
        <w:pStyle w:val="Heading2"/>
        <w:spacing w:after="150"/>
      </w:pPr>
      <w:r>
        <w:rPr>
          <w:color w:val="000000"/>
          <w:sz w:val="24"/>
          <w:szCs w:val="24"/>
          <w:u w:color="000000"/>
        </w:rPr>
        <w:t>We define the projection function π as a three-step mapping: structure projection, parameter projection, and information loss characterization.</w:t>
      </w:r>
    </w:p>
    <w:p w14:paraId="2013FF08" w14:textId="77777777" w:rsidR="00AA670C" w:rsidRDefault="00AA670C">
      <w:pPr>
        <w:pStyle w:val="Heading2"/>
        <w:spacing w:after="150"/>
      </w:pPr>
    </w:p>
    <w:p w14:paraId="33FA3DFF" w14:textId="44DF5D5E" w:rsidR="00AA670C" w:rsidRDefault="00000000" w:rsidP="00BC44ED">
      <w:pPr>
        <w:pStyle w:val="Heading2"/>
        <w:spacing w:after="150"/>
      </w:pPr>
      <w:r>
        <w:rPr>
          <w:color w:val="000000"/>
          <w:sz w:val="24"/>
          <w:szCs w:val="24"/>
          <w:u w:color="000000"/>
        </w:rPr>
        <w:lastRenderedPageBreak/>
        <w:t>Step 1: Structure Projection (π_S). The Epistemic Warrant Graph is a labeled directed hypergraph W = (N, E, τ, ω), where N is a set of proposition-nodes (e.g., "daylight exposure is high," "serotonin synthesis is elevated"), E is a set of typed directed hyperedges (each edge is a Toulmin warrant connecting data-nodes to claim-nodes), τ</w:t>
      </w:r>
      <w:r>
        <w:rPr>
          <w:color w:val="000000"/>
          <w:sz w:val="24"/>
          <w:szCs w:val="24"/>
          <w:u w:color="000000"/>
          <w:lang w:val="it-IT"/>
        </w:rPr>
        <w:t xml:space="preserve">: E </w:t>
      </w:r>
      <w:r>
        <w:rPr>
          <w:color w:val="000000"/>
          <w:sz w:val="24"/>
          <w:szCs w:val="24"/>
          <w:u w:color="000000"/>
        </w:rPr>
        <w:t>→ {CONSTITUTIVE, MECHANISM, EMPIRICAL_COVARIANCE, FUNCTIONAL, CAPACITY, ANALOGICAL, THEORETICAL_DEFAULT} assigns a warrant type to each edge, and ω</w:t>
      </w:r>
      <w:r>
        <w:rPr>
          <w:color w:val="000000"/>
          <w:sz w:val="24"/>
          <w:szCs w:val="24"/>
          <w:u w:color="000000"/>
          <w:lang w:val="it-IT"/>
        </w:rPr>
        <w:t xml:space="preserve">: E </w:t>
      </w:r>
      <w:r>
        <w:rPr>
          <w:color w:val="000000"/>
          <w:sz w:val="24"/>
          <w:szCs w:val="24"/>
          <w:u w:color="000000"/>
        </w:rPr>
        <w:t>→ [0, 1] assigns a confidence weight to each edge.</w:t>
      </w:r>
    </w:p>
    <w:p w14:paraId="2335877E" w14:textId="480DB40B" w:rsidR="00AA670C" w:rsidRDefault="00000000" w:rsidP="00BC44ED">
      <w:pPr>
        <w:pStyle w:val="Heading2"/>
        <w:spacing w:after="150"/>
      </w:pPr>
      <w:r>
        <w:rPr>
          <w:color w:val="000000"/>
          <w:sz w:val="24"/>
          <w:szCs w:val="24"/>
          <w:u w:color="000000"/>
        </w:rPr>
        <w:t>The Bayesian Network is a standard directed acyclic graph B = (V, A, Θ), where V is a set of random variables, A is a set of directed arcs, and Θ is a set of conditional probability tables.</w:t>
      </w:r>
    </w:p>
    <w:p w14:paraId="0CBAD6BF" w14:textId="7299498B" w:rsidR="00AA670C" w:rsidRDefault="00000000" w:rsidP="00BC44ED">
      <w:pPr>
        <w:pStyle w:val="Heading2"/>
        <w:spacing w:after="150"/>
      </w:pPr>
      <w:r>
        <w:rPr>
          <w:color w:val="000000"/>
          <w:sz w:val="24"/>
          <w:szCs w:val="24"/>
          <w:u w:color="000000"/>
        </w:rPr>
        <w:t>The structure projection π_S maps the topology of W onto B. For each warrant path from proposition X to proposition Y in W, the projection creates a candidate arc X → Y in B. But not every warrant path becomes an arc. Paths that would create cycles are broken (since B must be acyclic), and paths that are screened off by intermediate nodes are represented as indirect paths through those intermediaries.</w:t>
      </w:r>
      <w:r w:rsidR="00BC44ED">
        <w:t xml:space="preserve"> I thought that not all warrants would project – there would be unification or summing </w:t>
      </w:r>
      <w:proofErr w:type="spellStart"/>
      <w:r w:rsidR="00BC44ED">
        <w:t>etc</w:t>
      </w:r>
      <w:proofErr w:type="spellEnd"/>
      <w:r w:rsidR="00BC44ED">
        <w:t xml:space="preserve"> so that fewer edges would be projected.</w:t>
      </w:r>
    </w:p>
    <w:p w14:paraId="4A35D535" w14:textId="77777777" w:rsidR="00C00056" w:rsidRDefault="00C00056" w:rsidP="00BC44ED">
      <w:pPr>
        <w:pStyle w:val="Heading2"/>
        <w:spacing w:after="150"/>
        <w:rPr>
          <w:color w:val="000000"/>
          <w:sz w:val="24"/>
          <w:szCs w:val="24"/>
          <w:u w:color="000000"/>
        </w:rPr>
      </w:pPr>
    </w:p>
    <w:p w14:paraId="759DAECB" w14:textId="08A0B15E" w:rsidR="00C00056" w:rsidRDefault="00C00056" w:rsidP="00BC44ED">
      <w:pPr>
        <w:pStyle w:val="Heading2"/>
        <w:spacing w:after="150"/>
        <w:rPr>
          <w:color w:val="000000"/>
          <w:sz w:val="24"/>
          <w:szCs w:val="24"/>
          <w:u w:color="000000"/>
        </w:rPr>
      </w:pPr>
      <w:r>
        <w:rPr>
          <w:color w:val="00B050"/>
          <w:sz w:val="24"/>
          <w:szCs w:val="24"/>
          <w:u w:color="000000"/>
        </w:rPr>
        <w:t xml:space="preserve">Warrants: do these come directly from Toulmin? </w:t>
      </w:r>
      <w:proofErr w:type="gramStart"/>
      <w:r w:rsidRPr="00C00056">
        <w:rPr>
          <w:color w:val="00B050"/>
          <w:sz w:val="24"/>
          <w:szCs w:val="24"/>
          <w:u w:color="000000"/>
        </w:rPr>
        <w:t>Give</w:t>
      </w:r>
      <w:proofErr w:type="gramEnd"/>
      <w:r w:rsidRPr="00C00056">
        <w:rPr>
          <w:color w:val="00B050"/>
          <w:sz w:val="24"/>
          <w:szCs w:val="24"/>
          <w:u w:color="000000"/>
        </w:rPr>
        <w:t xml:space="preserve"> a paragraph filled with examples explaining exactly what each warrant is and why it is independent of the others.  </w:t>
      </w:r>
      <w:proofErr w:type="gramStart"/>
      <w:r w:rsidRPr="00C00056">
        <w:rPr>
          <w:color w:val="00B050"/>
          <w:sz w:val="24"/>
          <w:szCs w:val="24"/>
          <w:u w:color="000000"/>
        </w:rPr>
        <w:t>In particular distinguish</w:t>
      </w:r>
      <w:proofErr w:type="gramEnd"/>
      <w:r w:rsidRPr="00C00056">
        <w:rPr>
          <w:color w:val="00B050"/>
          <w:sz w:val="24"/>
          <w:szCs w:val="24"/>
          <w:u w:color="000000"/>
        </w:rPr>
        <w:t xml:space="preserve"> function and mechanism and what Cartwright objected to</w:t>
      </w:r>
      <w:r>
        <w:rPr>
          <w:color w:val="000000"/>
          <w:sz w:val="24"/>
          <w:szCs w:val="24"/>
          <w:u w:color="000000"/>
        </w:rPr>
        <w:t xml:space="preserve">. </w:t>
      </w:r>
    </w:p>
    <w:p w14:paraId="776A6DB0" w14:textId="77777777" w:rsidR="00C00056" w:rsidRDefault="00C00056" w:rsidP="00BC44ED">
      <w:pPr>
        <w:pStyle w:val="Heading2"/>
        <w:spacing w:after="150"/>
        <w:rPr>
          <w:color w:val="000000"/>
          <w:sz w:val="24"/>
          <w:szCs w:val="24"/>
          <w:u w:color="000000"/>
        </w:rPr>
      </w:pPr>
    </w:p>
    <w:p w14:paraId="35D2EB86" w14:textId="0E413A68" w:rsidR="00AA670C" w:rsidRDefault="00000000" w:rsidP="00BC44ED">
      <w:pPr>
        <w:pStyle w:val="Heading2"/>
        <w:spacing w:after="150"/>
        <w:rPr>
          <w:color w:val="000000"/>
          <w:sz w:val="24"/>
          <w:szCs w:val="24"/>
          <w:u w:color="000000"/>
        </w:rPr>
      </w:pPr>
      <w:r>
        <w:rPr>
          <w:color w:val="000000"/>
          <w:sz w:val="24"/>
          <w:szCs w:val="24"/>
          <w:u w:color="000000"/>
        </w:rPr>
        <w:t>Here is a concrete example. Suppose the EWG contains:</w:t>
      </w:r>
    </w:p>
    <w:p w14:paraId="7F765288" w14:textId="77777777" w:rsidR="00393D1E" w:rsidRDefault="00393D1E" w:rsidP="00BC44ED">
      <w:pPr>
        <w:pStyle w:val="Heading2"/>
        <w:spacing w:after="150"/>
      </w:pPr>
    </w:p>
    <w:p w14:paraId="77A24E1D" w14:textId="77777777" w:rsidR="00AA670C" w:rsidRDefault="00000000">
      <w:pPr>
        <w:pStyle w:val="Heading2"/>
        <w:spacing w:after="150"/>
      </w:pPr>
      <w:r>
        <w:rPr>
          <w:color w:val="000000"/>
          <w:sz w:val="24"/>
          <w:szCs w:val="24"/>
          <w:u w:color="000000"/>
        </w:rPr>
        <w:t>- Node D: "Daylight exposure is high"</w:t>
      </w:r>
    </w:p>
    <w:p w14:paraId="289BB7F5" w14:textId="77777777" w:rsidR="00AA670C" w:rsidRDefault="00000000">
      <w:pPr>
        <w:pStyle w:val="Heading2"/>
        <w:spacing w:after="150"/>
      </w:pPr>
      <w:r>
        <w:rPr>
          <w:color w:val="000000"/>
          <w:sz w:val="24"/>
          <w:szCs w:val="24"/>
          <w:u w:color="000000"/>
        </w:rPr>
        <w:t>- Node R: "Retinal ganglion cell activation is high"</w:t>
      </w:r>
    </w:p>
    <w:p w14:paraId="78ECEA6C" w14:textId="77777777" w:rsidR="00AA670C" w:rsidRDefault="00000000">
      <w:pPr>
        <w:pStyle w:val="Heading2"/>
        <w:spacing w:after="150"/>
      </w:pPr>
      <w:r>
        <w:rPr>
          <w:color w:val="000000"/>
          <w:sz w:val="24"/>
          <w:szCs w:val="24"/>
          <w:u w:color="000000"/>
        </w:rPr>
        <w:t>- Node S: "Serotonin synthesis is elevated"</w:t>
      </w:r>
    </w:p>
    <w:p w14:paraId="33EA28D2" w14:textId="77777777" w:rsidR="00AA670C" w:rsidRDefault="00000000">
      <w:pPr>
        <w:pStyle w:val="Heading2"/>
        <w:spacing w:after="150"/>
      </w:pPr>
      <w:r>
        <w:rPr>
          <w:color w:val="000000"/>
          <w:sz w:val="24"/>
          <w:szCs w:val="24"/>
          <w:u w:color="000000"/>
        </w:rPr>
        <w:t>- Node M: "Mood is positive"</w:t>
      </w:r>
    </w:p>
    <w:p w14:paraId="392CD63C" w14:textId="3981A861" w:rsidR="00AA670C" w:rsidRDefault="00000000">
      <w:pPr>
        <w:pStyle w:val="Heading2"/>
        <w:spacing w:after="150"/>
      </w:pPr>
      <w:r>
        <w:rPr>
          <w:color w:val="000000"/>
          <w:sz w:val="24"/>
          <w:szCs w:val="24"/>
          <w:u w:color="000000"/>
        </w:rPr>
        <w:t xml:space="preserve">- Edge D→R: CONSTITUTIVE warrant, </w:t>
      </w:r>
      <w:r w:rsidRPr="00767132">
        <w:rPr>
          <w:color w:val="00B050"/>
          <w:sz w:val="24"/>
          <w:szCs w:val="24"/>
          <w:u w:color="000000"/>
        </w:rPr>
        <w:t>ω</w:t>
      </w:r>
      <w:r>
        <w:rPr>
          <w:color w:val="000000"/>
          <w:sz w:val="24"/>
          <w:szCs w:val="24"/>
          <w:u w:color="000000"/>
        </w:rPr>
        <w:t xml:space="preserve"> = 0.90 (daylight at the retina just IS retinal illumination)</w:t>
      </w:r>
      <w:r w:rsidR="00767132">
        <w:rPr>
          <w:color w:val="000000"/>
          <w:sz w:val="24"/>
          <w:szCs w:val="24"/>
          <w:u w:color="000000"/>
        </w:rPr>
        <w:t xml:space="preserve"> </w:t>
      </w:r>
      <w:r w:rsidR="00767132" w:rsidRPr="00767132">
        <w:rPr>
          <w:color w:val="00B050"/>
          <w:sz w:val="24"/>
          <w:szCs w:val="24"/>
          <w:u w:color="000000"/>
        </w:rPr>
        <w:t>ω</w:t>
      </w:r>
      <w:r w:rsidR="00767132">
        <w:rPr>
          <w:color w:val="00B050"/>
          <w:sz w:val="24"/>
          <w:szCs w:val="24"/>
          <w:u w:color="000000"/>
        </w:rPr>
        <w:t xml:space="preserve"> is our confidence weight in this type of warrant</w:t>
      </w:r>
    </w:p>
    <w:p w14:paraId="08237C64" w14:textId="77777777" w:rsidR="00AA670C" w:rsidRDefault="00000000">
      <w:pPr>
        <w:pStyle w:val="Heading2"/>
        <w:spacing w:after="150"/>
      </w:pPr>
      <w:r>
        <w:rPr>
          <w:color w:val="000000"/>
          <w:sz w:val="24"/>
          <w:szCs w:val="24"/>
          <w:u w:color="000000"/>
        </w:rPr>
        <w:t>- Edge R→</w:t>
      </w:r>
      <w:r>
        <w:rPr>
          <w:color w:val="000000"/>
          <w:sz w:val="24"/>
          <w:szCs w:val="24"/>
          <w:u w:color="000000"/>
          <w:lang w:val="de-DE"/>
        </w:rPr>
        <w:t xml:space="preserve">S: MECHANISM </w:t>
      </w:r>
      <w:proofErr w:type="spellStart"/>
      <w:r>
        <w:rPr>
          <w:color w:val="000000"/>
          <w:sz w:val="24"/>
          <w:szCs w:val="24"/>
          <w:u w:color="000000"/>
          <w:lang w:val="de-DE"/>
        </w:rPr>
        <w:t>warrant</w:t>
      </w:r>
      <w:proofErr w:type="spellEnd"/>
      <w:r>
        <w:rPr>
          <w:color w:val="000000"/>
          <w:sz w:val="24"/>
          <w:szCs w:val="24"/>
          <w:u w:color="000000"/>
          <w:lang w:val="de-DE"/>
        </w:rPr>
        <w:t xml:space="preserve">, </w:t>
      </w:r>
      <w:r>
        <w:rPr>
          <w:color w:val="000000"/>
          <w:sz w:val="24"/>
          <w:szCs w:val="24"/>
          <w:u w:color="000000"/>
        </w:rPr>
        <w:t>ω = 0.70 (retinal activation triggers raphe nuclei, which triggers tryptophan hydroxylase)</w:t>
      </w:r>
    </w:p>
    <w:p w14:paraId="5467AB78" w14:textId="77777777" w:rsidR="00AA670C" w:rsidRDefault="00000000">
      <w:pPr>
        <w:pStyle w:val="Heading2"/>
        <w:spacing w:after="150"/>
      </w:pPr>
      <w:r>
        <w:rPr>
          <w:color w:val="000000"/>
          <w:sz w:val="24"/>
          <w:szCs w:val="24"/>
          <w:u w:color="000000"/>
        </w:rPr>
        <w:t>- Edge S→</w:t>
      </w:r>
      <w:r>
        <w:rPr>
          <w:color w:val="000000"/>
          <w:sz w:val="24"/>
          <w:szCs w:val="24"/>
          <w:u w:color="000000"/>
          <w:lang w:val="de-DE"/>
        </w:rPr>
        <w:t xml:space="preserve">M: MECHANISM </w:t>
      </w:r>
      <w:proofErr w:type="spellStart"/>
      <w:r>
        <w:rPr>
          <w:color w:val="000000"/>
          <w:sz w:val="24"/>
          <w:szCs w:val="24"/>
          <w:u w:color="000000"/>
          <w:lang w:val="de-DE"/>
        </w:rPr>
        <w:t>warrant</w:t>
      </w:r>
      <w:proofErr w:type="spellEnd"/>
      <w:r>
        <w:rPr>
          <w:color w:val="000000"/>
          <w:sz w:val="24"/>
          <w:szCs w:val="24"/>
          <w:u w:color="000000"/>
          <w:lang w:val="de-DE"/>
        </w:rPr>
        <w:t xml:space="preserve">, </w:t>
      </w:r>
      <w:r>
        <w:rPr>
          <w:color w:val="000000"/>
          <w:sz w:val="24"/>
          <w:szCs w:val="24"/>
          <w:u w:color="000000"/>
        </w:rPr>
        <w:t>ω = 0.55 (serotonin elevates mood via 5-HT receptor pathways)</w:t>
      </w:r>
    </w:p>
    <w:p w14:paraId="2829FBB4" w14:textId="77777777" w:rsidR="00AA670C" w:rsidRDefault="00000000">
      <w:pPr>
        <w:pStyle w:val="Heading2"/>
        <w:spacing w:after="150"/>
      </w:pPr>
      <w:r>
        <w:rPr>
          <w:color w:val="000000"/>
          <w:sz w:val="24"/>
          <w:szCs w:val="24"/>
          <w:u w:color="000000"/>
        </w:rPr>
        <w:t>- Edge D→M: EMPIRICAL_COVARIANCE warrant, ω = 0.50 (people in well-lit buildings report better mood, but we don't know the mechanism for certain)</w:t>
      </w:r>
    </w:p>
    <w:p w14:paraId="6DA9EB73" w14:textId="6F89BAF5" w:rsidR="00AA670C" w:rsidRDefault="00767132">
      <w:pPr>
        <w:pStyle w:val="Heading2"/>
        <w:spacing w:after="150"/>
      </w:pPr>
      <w:r>
        <w:t xml:space="preserve">Is </w:t>
      </w:r>
      <w:r w:rsidRPr="00767132">
        <w:rPr>
          <w:color w:val="00B050"/>
          <w:sz w:val="24"/>
          <w:szCs w:val="24"/>
          <w:u w:color="000000"/>
        </w:rPr>
        <w:t>ω</w:t>
      </w:r>
      <w:r>
        <w:rPr>
          <w:color w:val="00B050"/>
          <w:sz w:val="24"/>
          <w:szCs w:val="24"/>
          <w:u w:color="000000"/>
        </w:rPr>
        <w:t xml:space="preserve"> our confidence given the evidence for this warrant or is it the confidence we have in warrants of this type.  Ie can I be </w:t>
      </w:r>
      <w:proofErr w:type="gramStart"/>
      <w:r>
        <w:rPr>
          <w:color w:val="00B050"/>
          <w:sz w:val="24"/>
          <w:szCs w:val="24"/>
          <w:u w:color="000000"/>
        </w:rPr>
        <w:t>more or less confident</w:t>
      </w:r>
      <w:proofErr w:type="gramEnd"/>
      <w:r>
        <w:rPr>
          <w:color w:val="00B050"/>
          <w:sz w:val="24"/>
          <w:szCs w:val="24"/>
          <w:u w:color="000000"/>
        </w:rPr>
        <w:t xml:space="preserve"> that my mech is giving the right answer </w:t>
      </w:r>
      <w:proofErr w:type="spellStart"/>
      <w:r>
        <w:rPr>
          <w:color w:val="00B050"/>
          <w:sz w:val="24"/>
          <w:szCs w:val="24"/>
          <w:u w:color="000000"/>
        </w:rPr>
        <w:t>ie</w:t>
      </w:r>
      <w:proofErr w:type="spellEnd"/>
      <w:r>
        <w:rPr>
          <w:color w:val="00B050"/>
          <w:sz w:val="24"/>
          <w:szCs w:val="24"/>
          <w:u w:color="000000"/>
        </w:rPr>
        <w:t xml:space="preserve"> probably right</w:t>
      </w:r>
    </w:p>
    <w:p w14:paraId="515D1D70" w14:textId="17292536" w:rsidR="00AA670C" w:rsidRDefault="00000000" w:rsidP="00BC44ED">
      <w:pPr>
        <w:pStyle w:val="Heading2"/>
        <w:spacing w:after="150"/>
      </w:pPr>
      <w:r>
        <w:rPr>
          <w:color w:val="000000"/>
          <w:sz w:val="24"/>
          <w:szCs w:val="24"/>
          <w:u w:color="000000"/>
        </w:rPr>
        <w:t>The structure projection produces a BN with variables {D, R, S, M} and arcs {D→</w:t>
      </w:r>
      <w:r>
        <w:rPr>
          <w:color w:val="000000"/>
          <w:sz w:val="24"/>
          <w:szCs w:val="24"/>
          <w:u w:color="000000"/>
          <w:lang w:val="de-DE"/>
        </w:rPr>
        <w:t>R, R</w:t>
      </w:r>
      <w:r>
        <w:rPr>
          <w:color w:val="000000"/>
          <w:sz w:val="24"/>
          <w:szCs w:val="24"/>
          <w:u w:color="000000"/>
        </w:rPr>
        <w:t xml:space="preserve">→S, S→M, D→M}. Note that D→M is included even though there is also a path D→R→S→M, because the EMPIRICAL_COVARIANCE edge represents a direct observational association that may or may not be fully mediated by the serotonin pathway. This is important: the BN </w:t>
      </w:r>
      <w:r>
        <w:rPr>
          <w:color w:val="000000"/>
          <w:sz w:val="24"/>
          <w:szCs w:val="24"/>
          <w:u w:color="000000"/>
        </w:rPr>
        <w:lastRenderedPageBreak/>
        <w:t>preserves both the mechanistic pathway and the direct empirical link, allowing the system to detect whether the mechanism fully accounts for the observed correlation.</w:t>
      </w:r>
    </w:p>
    <w:p w14:paraId="1CE61DB2" w14:textId="79492CF4" w:rsidR="00AA670C" w:rsidRDefault="00000000" w:rsidP="00393D1E">
      <w:pPr>
        <w:pStyle w:val="Heading2"/>
        <w:spacing w:after="150"/>
      </w:pPr>
      <w:r>
        <w:rPr>
          <w:color w:val="000000"/>
          <w:sz w:val="24"/>
          <w:szCs w:val="24"/>
          <w:u w:color="000000"/>
        </w:rPr>
        <w:t xml:space="preserve">The key formal question is: does π_S preserve </w:t>
      </w:r>
      <w:r w:rsidRPr="00393D1E">
        <w:rPr>
          <w:color w:val="EE0000"/>
          <w:sz w:val="24"/>
          <w:szCs w:val="24"/>
          <w:u w:color="000000"/>
        </w:rPr>
        <w:t xml:space="preserve">conditional independence (d-separation)? </w:t>
      </w:r>
      <w:r>
        <w:rPr>
          <w:color w:val="000000"/>
          <w:sz w:val="24"/>
          <w:szCs w:val="24"/>
          <w:u w:color="000000"/>
        </w:rPr>
        <w:t>We can prove a result here, but it requires a condition. The condition is analogous to what is called "faithfulness" in the causal discovery literature (</w:t>
      </w:r>
      <w:proofErr w:type="spellStart"/>
      <w:r>
        <w:rPr>
          <w:color w:val="000000"/>
          <w:sz w:val="24"/>
          <w:szCs w:val="24"/>
          <w:u w:color="000000"/>
        </w:rPr>
        <w:t>Spirtes</w:t>
      </w:r>
      <w:proofErr w:type="spellEnd"/>
      <w:r>
        <w:rPr>
          <w:color w:val="000000"/>
          <w:sz w:val="24"/>
          <w:szCs w:val="24"/>
          <w:u w:color="000000"/>
        </w:rPr>
        <w:t xml:space="preserve">, </w:t>
      </w:r>
      <w:proofErr w:type="spellStart"/>
      <w:r>
        <w:rPr>
          <w:color w:val="000000"/>
          <w:sz w:val="24"/>
          <w:szCs w:val="24"/>
          <w:u w:color="000000"/>
        </w:rPr>
        <w:t>Glymour</w:t>
      </w:r>
      <w:proofErr w:type="spellEnd"/>
      <w:r>
        <w:rPr>
          <w:color w:val="000000"/>
          <w:sz w:val="24"/>
          <w:szCs w:val="24"/>
          <w:u w:color="000000"/>
        </w:rPr>
        <w:t xml:space="preserve">, &amp; </w:t>
      </w:r>
      <w:proofErr w:type="spellStart"/>
      <w:r>
        <w:rPr>
          <w:color w:val="000000"/>
          <w:sz w:val="24"/>
          <w:szCs w:val="24"/>
          <w:u w:color="000000"/>
        </w:rPr>
        <w:t>Scheines</w:t>
      </w:r>
      <w:proofErr w:type="spellEnd"/>
      <w:r>
        <w:rPr>
          <w:color w:val="000000"/>
          <w:sz w:val="24"/>
          <w:szCs w:val="24"/>
          <w:u w:color="000000"/>
        </w:rPr>
        <w:t>, 2000): we assume that if two propositions are d-separated in W given a set of observed nodes, they are genuinely conditionally independent. Under this faithfulness assumption, π_S preserves d-separation. The proof is straightforward: every conditional independence encoded in W is represented by a missing arc in B (by construction), and every arc in B is justified by at least one warrant path in W.</w:t>
      </w:r>
    </w:p>
    <w:p w14:paraId="0742E0ED" w14:textId="074E8F18" w:rsidR="00AA670C" w:rsidRDefault="00000000" w:rsidP="00393D1E">
      <w:pPr>
        <w:pStyle w:val="Heading2"/>
        <w:spacing w:after="150"/>
      </w:pPr>
      <w:r>
        <w:rPr>
          <w:color w:val="000000"/>
          <w:sz w:val="24"/>
          <w:szCs w:val="24"/>
          <w:u w:color="000000"/>
        </w:rPr>
        <w:t>To make this concrete: if the EWG says that daylight exposure (D) and mood (M) are independent given serotonin level (S) — meaning that once you know serotonin, knowing daylight adds nothing to predicting mood — then the BN will also encode this independence. The D→M arc would be absent in this case. But if the EWG says there is a direct D→M link (the EMPIRICAL_COVARIANCE edge), then D and M are NOT independent given S, and the BN correctly includes the direct arc.</w:t>
      </w:r>
    </w:p>
    <w:p w14:paraId="58566131" w14:textId="6BD44855" w:rsidR="00AA670C" w:rsidRDefault="00000000" w:rsidP="00393D1E">
      <w:pPr>
        <w:pStyle w:val="Heading2"/>
        <w:spacing w:after="150"/>
      </w:pPr>
      <w:r>
        <w:rPr>
          <w:color w:val="000000"/>
          <w:sz w:val="24"/>
          <w:szCs w:val="24"/>
          <w:u w:color="000000"/>
        </w:rPr>
        <w:t xml:space="preserve">When might faithfulness </w:t>
      </w:r>
      <w:proofErr w:type="gramStart"/>
      <w:r>
        <w:rPr>
          <w:color w:val="000000"/>
          <w:sz w:val="24"/>
          <w:szCs w:val="24"/>
          <w:u w:color="000000"/>
        </w:rPr>
        <w:t>fail</w:t>
      </w:r>
      <w:proofErr w:type="gramEnd"/>
      <w:r>
        <w:rPr>
          <w:color w:val="000000"/>
          <w:sz w:val="24"/>
          <w:szCs w:val="24"/>
          <w:u w:color="000000"/>
        </w:rPr>
        <w:t xml:space="preserve">? When two causal paths exactly cancel each other out. For example, if daylight improves mood through serotonin but simultaneously worsens mood through some other pathway (say, glare-induced headaches), the two effects might cancel, making D and M appear independent when they are not. This is a known issue in causal discovery (Zhang &amp; </w:t>
      </w:r>
      <w:proofErr w:type="spellStart"/>
      <w:r>
        <w:rPr>
          <w:color w:val="000000"/>
          <w:sz w:val="24"/>
          <w:szCs w:val="24"/>
          <w:u w:color="000000"/>
        </w:rPr>
        <w:t>Spirtes</w:t>
      </w:r>
      <w:proofErr w:type="spellEnd"/>
      <w:r>
        <w:rPr>
          <w:color w:val="000000"/>
          <w:sz w:val="24"/>
          <w:szCs w:val="24"/>
          <w:u w:color="000000"/>
        </w:rPr>
        <w:t>, 2008), and we acknowledge it as a limitation rather than trying to solve it.</w:t>
      </w:r>
    </w:p>
    <w:p w14:paraId="72F0C713" w14:textId="49E7E30F" w:rsidR="00AA670C" w:rsidRDefault="00000000" w:rsidP="00393D1E">
      <w:pPr>
        <w:pStyle w:val="Heading2"/>
        <w:spacing w:after="150"/>
      </w:pPr>
      <w:r>
        <w:rPr>
          <w:color w:val="000000"/>
          <w:sz w:val="24"/>
          <w:szCs w:val="24"/>
          <w:u w:color="000000"/>
        </w:rPr>
        <w:t>Step 2: Parameter Projection (π_P). Once we have the structure of B, we need to fill in the CPT entries. This is where the discount factors do their work.</w:t>
      </w:r>
    </w:p>
    <w:p w14:paraId="1A120696" w14:textId="1909CF6A" w:rsidR="00AA670C" w:rsidRPr="00393D1E" w:rsidRDefault="00000000">
      <w:pPr>
        <w:pStyle w:val="Heading2"/>
        <w:spacing w:after="150"/>
        <w:rPr>
          <w:color w:val="EE0000"/>
        </w:rPr>
      </w:pPr>
      <w:r>
        <w:rPr>
          <w:color w:val="000000"/>
          <w:sz w:val="24"/>
          <w:szCs w:val="24"/>
          <w:u w:color="000000"/>
        </w:rPr>
        <w:t xml:space="preserve">For each arc X → Y in B, there is at least one warrant edge in W connecting X-related propositions to Y-related propositions. Let </w:t>
      </w:r>
      <w:r w:rsidRPr="00767132">
        <w:rPr>
          <w:color w:val="EE0000"/>
          <w:sz w:val="24"/>
          <w:szCs w:val="24"/>
          <w:u w:color="000000"/>
        </w:rPr>
        <w:t>e</w:t>
      </w:r>
      <w:r>
        <w:rPr>
          <w:rFonts w:ascii="Arial Unicode MS" w:hAnsi="Arial Unicode MS"/>
          <w:color w:val="000000"/>
          <w:sz w:val="24"/>
          <w:szCs w:val="24"/>
          <w:u w:color="000000"/>
        </w:rPr>
        <w:t>₁</w:t>
      </w:r>
      <w:r>
        <w:rPr>
          <w:color w:val="000000"/>
          <w:sz w:val="24"/>
          <w:szCs w:val="24"/>
          <w:u w:color="000000"/>
        </w:rPr>
        <w:t>, e</w:t>
      </w:r>
      <w:r>
        <w:rPr>
          <w:rFonts w:ascii="Arial Unicode MS" w:hAnsi="Arial Unicode MS"/>
          <w:color w:val="000000"/>
          <w:sz w:val="24"/>
          <w:szCs w:val="24"/>
          <w:u w:color="000000"/>
        </w:rPr>
        <w:t>₂</w:t>
      </w:r>
      <w:r>
        <w:rPr>
          <w:color w:val="000000"/>
          <w:sz w:val="24"/>
          <w:szCs w:val="24"/>
          <w:u w:color="000000"/>
        </w:rPr>
        <w:t>, ..., e</w:t>
      </w:r>
      <w:r>
        <w:rPr>
          <w:rFonts w:ascii="Arial Unicode MS" w:hAnsi="Arial Unicode MS"/>
          <w:color w:val="000000"/>
          <w:sz w:val="24"/>
          <w:szCs w:val="24"/>
          <w:u w:color="000000"/>
        </w:rPr>
        <w:t>ₖ</w:t>
      </w:r>
      <w:r>
        <w:rPr>
          <w:color w:val="000000"/>
          <w:sz w:val="24"/>
          <w:szCs w:val="24"/>
          <w:u w:color="000000"/>
        </w:rPr>
        <w:t xml:space="preserve"> be these warrant </w:t>
      </w:r>
      <w:r w:rsidRPr="00767132">
        <w:rPr>
          <w:color w:val="EE0000"/>
          <w:sz w:val="24"/>
          <w:szCs w:val="24"/>
          <w:u w:color="000000"/>
        </w:rPr>
        <w:t>edges</w:t>
      </w:r>
      <w:r>
        <w:rPr>
          <w:color w:val="000000"/>
          <w:sz w:val="24"/>
          <w:szCs w:val="24"/>
          <w:u w:color="000000"/>
        </w:rPr>
        <w:t xml:space="preserve">, with </w:t>
      </w:r>
      <w:r w:rsidRPr="00767132">
        <w:rPr>
          <w:color w:val="00B050"/>
          <w:sz w:val="24"/>
          <w:szCs w:val="24"/>
          <w:u w:color="000000"/>
        </w:rPr>
        <w:t>types τ</w:t>
      </w:r>
      <w:r>
        <w:rPr>
          <w:color w:val="000000"/>
          <w:sz w:val="24"/>
          <w:szCs w:val="24"/>
          <w:u w:color="000000"/>
        </w:rPr>
        <w:t>(e</w:t>
      </w:r>
      <w:r>
        <w:rPr>
          <w:rFonts w:ascii="Arial Unicode MS" w:hAnsi="Arial Unicode MS"/>
          <w:color w:val="000000"/>
          <w:sz w:val="24"/>
          <w:szCs w:val="24"/>
          <w:u w:color="000000"/>
        </w:rPr>
        <w:t>₁</w:t>
      </w:r>
      <w:r>
        <w:rPr>
          <w:color w:val="000000"/>
          <w:sz w:val="24"/>
          <w:szCs w:val="24"/>
          <w:u w:color="000000"/>
        </w:rPr>
        <w:t>), ..., τ(e</w:t>
      </w:r>
      <w:r>
        <w:rPr>
          <w:rFonts w:ascii="Arial Unicode MS" w:hAnsi="Arial Unicode MS"/>
          <w:color w:val="000000"/>
          <w:sz w:val="24"/>
          <w:szCs w:val="24"/>
          <w:u w:color="000000"/>
        </w:rPr>
        <w:t>ₖ</w:t>
      </w:r>
      <w:r>
        <w:rPr>
          <w:color w:val="000000"/>
          <w:sz w:val="24"/>
          <w:szCs w:val="24"/>
          <w:u w:color="000000"/>
        </w:rPr>
        <w:t xml:space="preserve">) and </w:t>
      </w:r>
      <w:r w:rsidRPr="00767132">
        <w:rPr>
          <w:color w:val="00B050"/>
          <w:sz w:val="24"/>
          <w:szCs w:val="24"/>
          <w:u w:color="000000"/>
        </w:rPr>
        <w:t>confidence weights ω</w:t>
      </w:r>
      <w:r>
        <w:rPr>
          <w:color w:val="000000"/>
          <w:sz w:val="24"/>
          <w:szCs w:val="24"/>
          <w:u w:color="000000"/>
        </w:rPr>
        <w:t>(e</w:t>
      </w:r>
      <w:r>
        <w:rPr>
          <w:rFonts w:ascii="Arial Unicode MS" w:hAnsi="Arial Unicode MS"/>
          <w:color w:val="000000"/>
          <w:sz w:val="24"/>
          <w:szCs w:val="24"/>
          <w:u w:color="000000"/>
        </w:rPr>
        <w:t>₁</w:t>
      </w:r>
      <w:r>
        <w:rPr>
          <w:color w:val="000000"/>
          <w:sz w:val="24"/>
          <w:szCs w:val="24"/>
          <w:u w:color="000000"/>
        </w:rPr>
        <w:t xml:space="preserve">), ..., </w:t>
      </w:r>
      <w:r w:rsidRPr="00767132">
        <w:rPr>
          <w:color w:val="00B050"/>
          <w:sz w:val="24"/>
          <w:szCs w:val="24"/>
          <w:u w:color="000000"/>
        </w:rPr>
        <w:t>ω</w:t>
      </w:r>
      <w:r>
        <w:rPr>
          <w:color w:val="000000"/>
          <w:sz w:val="24"/>
          <w:szCs w:val="24"/>
          <w:u w:color="000000"/>
        </w:rPr>
        <w:t>(e</w:t>
      </w:r>
      <w:r>
        <w:rPr>
          <w:rFonts w:ascii="Arial Unicode MS" w:hAnsi="Arial Unicode MS"/>
          <w:color w:val="000000"/>
          <w:sz w:val="24"/>
          <w:szCs w:val="24"/>
          <w:u w:color="000000"/>
        </w:rPr>
        <w:t>ₖ</w:t>
      </w:r>
      <w:r>
        <w:rPr>
          <w:color w:val="000000"/>
          <w:sz w:val="24"/>
          <w:szCs w:val="24"/>
          <w:u w:color="000000"/>
        </w:rPr>
        <w:t>).</w:t>
      </w:r>
      <w:r w:rsidR="00393D1E">
        <w:rPr>
          <w:color w:val="000000"/>
          <w:sz w:val="24"/>
          <w:szCs w:val="24"/>
          <w:u w:color="000000"/>
        </w:rPr>
        <w:t xml:space="preserve">  </w:t>
      </w:r>
      <w:r w:rsidR="00393D1E" w:rsidRPr="00393D1E">
        <w:rPr>
          <w:color w:val="EE0000"/>
          <w:sz w:val="24"/>
          <w:szCs w:val="24"/>
          <w:u w:color="000000"/>
        </w:rPr>
        <w:t>give example</w:t>
      </w:r>
      <w:r w:rsidR="00767132">
        <w:rPr>
          <w:color w:val="EE0000"/>
          <w:sz w:val="24"/>
          <w:szCs w:val="24"/>
          <w:u w:color="000000"/>
        </w:rPr>
        <w:t xml:space="preserve"> of this.</w:t>
      </w:r>
    </w:p>
    <w:p w14:paraId="40936483" w14:textId="77777777" w:rsidR="00AA670C" w:rsidRDefault="00AA670C">
      <w:pPr>
        <w:pStyle w:val="Heading2"/>
        <w:spacing w:after="150"/>
      </w:pPr>
    </w:p>
    <w:p w14:paraId="65D10220" w14:textId="5FFE8BCA" w:rsidR="00AA670C" w:rsidRDefault="00000000" w:rsidP="00393D1E">
      <w:pPr>
        <w:pStyle w:val="Heading2"/>
        <w:spacing w:after="150"/>
      </w:pPr>
      <w:r>
        <w:rPr>
          <w:color w:val="000000"/>
          <w:sz w:val="24"/>
          <w:szCs w:val="24"/>
          <w:u w:color="000000"/>
        </w:rPr>
        <w:t>The CPT entry θ_{Y|X} is computed as: θ_{Y|X} = 0.50 + Σᵢ (</w:t>
      </w:r>
      <w:r w:rsidRPr="00767132">
        <w:rPr>
          <w:color w:val="EE0000"/>
          <w:sz w:val="24"/>
          <w:szCs w:val="24"/>
          <w:u w:color="000000"/>
        </w:rPr>
        <w:t>ω</w:t>
      </w:r>
      <w:r>
        <w:rPr>
          <w:color w:val="000000"/>
          <w:sz w:val="24"/>
          <w:szCs w:val="24"/>
          <w:u w:color="000000"/>
        </w:rPr>
        <w:t>(eᵢ) − 0.50) × d(τ(eᵢ))</w:t>
      </w:r>
    </w:p>
    <w:p w14:paraId="1E4B7EA3" w14:textId="77777777" w:rsidR="00AA670C" w:rsidRDefault="00000000">
      <w:pPr>
        <w:pStyle w:val="Heading2"/>
        <w:spacing w:after="150"/>
      </w:pPr>
      <w:r>
        <w:rPr>
          <w:color w:val="000000"/>
          <w:sz w:val="24"/>
          <w:szCs w:val="24"/>
          <w:u w:color="000000"/>
        </w:rPr>
        <w:t>where d is the discount function mapping warrant types to attenuation factors:</w:t>
      </w:r>
    </w:p>
    <w:p w14:paraId="5145F41A" w14:textId="1FE0D158" w:rsidR="00AA670C" w:rsidRDefault="00393D1E">
      <w:pPr>
        <w:pStyle w:val="Heading2"/>
        <w:spacing w:after="150"/>
      </w:pPr>
      <w:r>
        <w:t>ask for examples</w:t>
      </w:r>
      <w:r w:rsidR="00767132">
        <w:t xml:space="preserve">. So maybe I was wrong about confidence </w:t>
      </w:r>
    </w:p>
    <w:p w14:paraId="03B26ED4" w14:textId="469C9641" w:rsidR="00AA670C" w:rsidRPr="00393D1E" w:rsidRDefault="00000000">
      <w:pPr>
        <w:pStyle w:val="Heading2"/>
        <w:spacing w:after="150"/>
        <w:rPr>
          <w:color w:val="EE0000"/>
        </w:rPr>
      </w:pPr>
      <w:r>
        <w:rPr>
          <w:color w:val="000000"/>
          <w:sz w:val="24"/>
          <w:szCs w:val="24"/>
          <w:u w:color="000000"/>
        </w:rPr>
        <w:t>- d(CONSTITUTIVE) = 0.95 (almost no attenuation — what you measured in the lab IS what happens in the building)</w:t>
      </w:r>
      <w:r w:rsidR="00393D1E">
        <w:rPr>
          <w:color w:val="000000"/>
          <w:sz w:val="24"/>
          <w:szCs w:val="24"/>
          <w:u w:color="000000"/>
        </w:rPr>
        <w:t xml:space="preserve"> </w:t>
      </w:r>
      <w:proofErr w:type="spellStart"/>
      <w:r w:rsidR="00393D1E" w:rsidRPr="00393D1E">
        <w:rPr>
          <w:color w:val="EE0000"/>
          <w:sz w:val="24"/>
          <w:szCs w:val="24"/>
          <w:u w:color="000000"/>
        </w:rPr>
        <w:t>eg</w:t>
      </w:r>
      <w:proofErr w:type="spellEnd"/>
      <w:r w:rsidR="00393D1E" w:rsidRPr="00393D1E">
        <w:rPr>
          <w:color w:val="EE0000"/>
          <w:sz w:val="24"/>
          <w:szCs w:val="24"/>
          <w:u w:color="000000"/>
        </w:rPr>
        <w:t xml:space="preserve"> numerical temperature rose </w:t>
      </w:r>
      <w:proofErr w:type="gramStart"/>
      <w:r w:rsidR="00393D1E" w:rsidRPr="00393D1E">
        <w:rPr>
          <w:color w:val="EE0000"/>
          <w:sz w:val="24"/>
          <w:szCs w:val="24"/>
          <w:u w:color="000000"/>
        </w:rPr>
        <w:t>objectively,  thermometer</w:t>
      </w:r>
      <w:proofErr w:type="gramEnd"/>
      <w:r w:rsidR="00393D1E" w:rsidRPr="00393D1E">
        <w:rPr>
          <w:color w:val="EE0000"/>
          <w:sz w:val="24"/>
          <w:szCs w:val="24"/>
          <w:u w:color="000000"/>
        </w:rPr>
        <w:t xml:space="preserve"> increased it temp estimate.</w:t>
      </w:r>
    </w:p>
    <w:p w14:paraId="6F526546" w14:textId="6CCE11C3" w:rsidR="00AA670C" w:rsidRPr="00393D1E" w:rsidRDefault="00000000">
      <w:pPr>
        <w:pStyle w:val="Heading2"/>
        <w:spacing w:after="150"/>
        <w:rPr>
          <w:color w:val="EE0000"/>
        </w:rPr>
      </w:pPr>
      <w:r>
        <w:rPr>
          <w:color w:val="000000"/>
          <w:sz w:val="24"/>
          <w:szCs w:val="24"/>
          <w:u w:color="000000"/>
          <w:lang w:val="it-IT"/>
        </w:rPr>
        <w:t xml:space="preserve">- d(MECHANISM) = 0.80 (moderate </w:t>
      </w:r>
      <w:proofErr w:type="spellStart"/>
      <w:r>
        <w:rPr>
          <w:color w:val="000000"/>
          <w:sz w:val="24"/>
          <w:szCs w:val="24"/>
          <w:u w:color="000000"/>
          <w:lang w:val="it-IT"/>
        </w:rPr>
        <w:t>attenuation</w:t>
      </w:r>
      <w:proofErr w:type="spellEnd"/>
      <w:r>
        <w:rPr>
          <w:color w:val="000000"/>
          <w:sz w:val="24"/>
          <w:szCs w:val="24"/>
          <w:u w:color="000000"/>
          <w:lang w:val="it-IT"/>
        </w:rPr>
        <w:t xml:space="preserve"> </w:t>
      </w:r>
      <w:r>
        <w:rPr>
          <w:color w:val="000000"/>
          <w:sz w:val="24"/>
          <w:szCs w:val="24"/>
          <w:u w:color="000000"/>
        </w:rPr>
        <w:t xml:space="preserve">— you know the pathway but magnitude may </w:t>
      </w:r>
      <w:proofErr w:type="gramStart"/>
      <w:r>
        <w:rPr>
          <w:color w:val="000000"/>
          <w:sz w:val="24"/>
          <w:szCs w:val="24"/>
          <w:u w:color="000000"/>
        </w:rPr>
        <w:t>differ)</w:t>
      </w:r>
      <w:r w:rsidR="00393D1E">
        <w:rPr>
          <w:color w:val="000000"/>
          <w:sz w:val="24"/>
          <w:szCs w:val="24"/>
          <w:u w:color="000000"/>
        </w:rPr>
        <w:t xml:space="preserve">  </w:t>
      </w:r>
      <w:r w:rsidR="00393D1E" w:rsidRPr="00393D1E">
        <w:rPr>
          <w:color w:val="EE0000"/>
          <w:sz w:val="24"/>
          <w:szCs w:val="24"/>
          <w:u w:color="000000"/>
        </w:rPr>
        <w:t>duration</w:t>
      </w:r>
      <w:proofErr w:type="gramEnd"/>
      <w:r w:rsidR="00393D1E" w:rsidRPr="00393D1E">
        <w:rPr>
          <w:color w:val="EE0000"/>
          <w:sz w:val="24"/>
          <w:szCs w:val="24"/>
          <w:u w:color="000000"/>
        </w:rPr>
        <w:t xml:space="preserve"> working on number problems </w:t>
      </w:r>
      <w:r w:rsidR="00393D1E" w:rsidRPr="00393D1E">
        <w:rPr>
          <w:color w:val="EE0000"/>
          <w:sz w:val="24"/>
          <w:szCs w:val="24"/>
          <w:u w:color="000000"/>
        </w:rPr>
        <w:sym w:font="Wingdings" w:char="F0E0"/>
      </w:r>
      <w:r w:rsidR="00393D1E">
        <w:rPr>
          <w:color w:val="EE0000"/>
          <w:sz w:val="24"/>
          <w:szCs w:val="24"/>
          <w:u w:color="000000"/>
        </w:rPr>
        <w:t xml:space="preserve"> attention reduction </w:t>
      </w:r>
      <w:r w:rsidR="00393D1E" w:rsidRPr="00393D1E">
        <w:rPr>
          <w:color w:val="EE0000"/>
          <w:sz w:val="24"/>
          <w:szCs w:val="24"/>
          <w:u w:color="000000"/>
        </w:rPr>
        <w:sym w:font="Wingdings" w:char="F0E0"/>
      </w:r>
      <w:r w:rsidR="00393D1E" w:rsidRPr="00393D1E">
        <w:rPr>
          <w:color w:val="EE0000"/>
          <w:sz w:val="24"/>
          <w:szCs w:val="24"/>
          <w:u w:color="000000"/>
        </w:rPr>
        <w:t xml:space="preserve"> mental fatigue</w:t>
      </w:r>
    </w:p>
    <w:p w14:paraId="4704195A" w14:textId="77777777" w:rsidR="00AA670C" w:rsidRDefault="00000000">
      <w:pPr>
        <w:pStyle w:val="Heading2"/>
        <w:spacing w:after="150"/>
      </w:pPr>
      <w:r>
        <w:rPr>
          <w:color w:val="000000"/>
          <w:sz w:val="24"/>
          <w:szCs w:val="24"/>
          <w:u w:color="000000"/>
          <w:lang w:val="it-IT"/>
        </w:rPr>
        <w:t xml:space="preserve">- d(EMPIRICAL_COVARIANCE) = 0.80 (moderate </w:t>
      </w:r>
      <w:proofErr w:type="spellStart"/>
      <w:r>
        <w:rPr>
          <w:color w:val="000000"/>
          <w:sz w:val="24"/>
          <w:szCs w:val="24"/>
          <w:u w:color="000000"/>
          <w:lang w:val="it-IT"/>
        </w:rPr>
        <w:t>attenuation</w:t>
      </w:r>
      <w:proofErr w:type="spellEnd"/>
      <w:r>
        <w:rPr>
          <w:color w:val="000000"/>
          <w:sz w:val="24"/>
          <w:szCs w:val="24"/>
          <w:u w:color="000000"/>
          <w:lang w:val="it-IT"/>
        </w:rPr>
        <w:t xml:space="preserve"> </w:t>
      </w:r>
      <w:r>
        <w:rPr>
          <w:color w:val="000000"/>
          <w:sz w:val="24"/>
          <w:szCs w:val="24"/>
          <w:u w:color="000000"/>
        </w:rPr>
        <w:t>— you have replicated correlations but may be missing confounds)</w:t>
      </w:r>
    </w:p>
    <w:p w14:paraId="034D7355" w14:textId="77777777" w:rsidR="00AA670C" w:rsidRDefault="00000000">
      <w:pPr>
        <w:pStyle w:val="Heading2"/>
        <w:spacing w:after="150"/>
      </w:pPr>
      <w:r>
        <w:rPr>
          <w:color w:val="000000"/>
          <w:sz w:val="24"/>
          <w:szCs w:val="24"/>
          <w:u w:color="000000"/>
          <w:lang w:val="it-IT"/>
        </w:rPr>
        <w:t>- d(FUNCTIONAL) = 0.65 (</w:t>
      </w:r>
      <w:proofErr w:type="spellStart"/>
      <w:r>
        <w:rPr>
          <w:color w:val="000000"/>
          <w:sz w:val="24"/>
          <w:szCs w:val="24"/>
          <w:u w:color="000000"/>
          <w:lang w:val="it-IT"/>
        </w:rPr>
        <w:t>substantial</w:t>
      </w:r>
      <w:proofErr w:type="spellEnd"/>
      <w:r>
        <w:rPr>
          <w:color w:val="000000"/>
          <w:sz w:val="24"/>
          <w:szCs w:val="24"/>
          <w:u w:color="000000"/>
          <w:lang w:val="it-IT"/>
        </w:rPr>
        <w:t xml:space="preserve"> </w:t>
      </w:r>
      <w:proofErr w:type="spellStart"/>
      <w:r>
        <w:rPr>
          <w:color w:val="000000"/>
          <w:sz w:val="24"/>
          <w:szCs w:val="24"/>
          <w:u w:color="000000"/>
          <w:lang w:val="it-IT"/>
        </w:rPr>
        <w:t>attenuation</w:t>
      </w:r>
      <w:proofErr w:type="spellEnd"/>
      <w:r>
        <w:rPr>
          <w:color w:val="000000"/>
          <w:sz w:val="24"/>
          <w:szCs w:val="24"/>
          <w:u w:color="000000"/>
          <w:lang w:val="it-IT"/>
        </w:rPr>
        <w:t xml:space="preserve"> </w:t>
      </w:r>
      <w:r>
        <w:rPr>
          <w:color w:val="000000"/>
          <w:sz w:val="24"/>
          <w:szCs w:val="24"/>
          <w:u w:color="000000"/>
        </w:rPr>
        <w:t>— the function transfers but mechanism is unknown)</w:t>
      </w:r>
    </w:p>
    <w:p w14:paraId="4D4E2AFE" w14:textId="77777777" w:rsidR="00AA670C" w:rsidRDefault="00000000">
      <w:pPr>
        <w:pStyle w:val="Heading2"/>
        <w:spacing w:after="150"/>
      </w:pPr>
      <w:r>
        <w:rPr>
          <w:color w:val="000000"/>
          <w:sz w:val="24"/>
          <w:szCs w:val="24"/>
          <w:u w:color="000000"/>
        </w:rPr>
        <w:lastRenderedPageBreak/>
        <w:t>- d(CAPACITY) = 0.55 (heavy attenuation — the system CAN respond but might not in practice)</w:t>
      </w:r>
    </w:p>
    <w:p w14:paraId="4AD42512" w14:textId="77777777" w:rsidR="00AA670C" w:rsidRDefault="00000000">
      <w:pPr>
        <w:pStyle w:val="Heading2"/>
        <w:spacing w:after="150"/>
      </w:pPr>
      <w:r>
        <w:rPr>
          <w:color w:val="000000"/>
          <w:sz w:val="24"/>
          <w:szCs w:val="24"/>
          <w:u w:color="000000"/>
          <w:lang w:val="it-IT"/>
        </w:rPr>
        <w:t xml:space="preserve">- d(ANALOGICAL) = 0.40 (severe </w:t>
      </w:r>
      <w:proofErr w:type="spellStart"/>
      <w:r>
        <w:rPr>
          <w:color w:val="000000"/>
          <w:sz w:val="24"/>
          <w:szCs w:val="24"/>
          <w:u w:color="000000"/>
          <w:lang w:val="it-IT"/>
        </w:rPr>
        <w:t>attenuation</w:t>
      </w:r>
      <w:proofErr w:type="spellEnd"/>
      <w:r>
        <w:rPr>
          <w:color w:val="000000"/>
          <w:sz w:val="24"/>
          <w:szCs w:val="24"/>
          <w:u w:color="000000"/>
          <w:lang w:val="it-IT"/>
        </w:rPr>
        <w:t xml:space="preserve"> </w:t>
      </w:r>
      <w:r>
        <w:rPr>
          <w:color w:val="000000"/>
          <w:sz w:val="24"/>
          <w:szCs w:val="24"/>
          <w:u w:color="000000"/>
        </w:rPr>
        <w:t>— you are reasoning by analogy, which is suggestive but unreliable)</w:t>
      </w:r>
    </w:p>
    <w:p w14:paraId="479F095E" w14:textId="77777777" w:rsidR="00AA670C" w:rsidRDefault="00000000">
      <w:pPr>
        <w:pStyle w:val="Heading2"/>
        <w:spacing w:after="150"/>
      </w:pPr>
      <w:r>
        <w:rPr>
          <w:color w:val="000000"/>
          <w:sz w:val="24"/>
          <w:szCs w:val="24"/>
          <w:u w:color="000000"/>
          <w:lang w:val="it-IT"/>
        </w:rPr>
        <w:t>- d(THEORETICAL_DEFAULT) = 0.25 (</w:t>
      </w:r>
      <w:proofErr w:type="spellStart"/>
      <w:r>
        <w:rPr>
          <w:color w:val="000000"/>
          <w:sz w:val="24"/>
          <w:szCs w:val="24"/>
          <w:u w:color="000000"/>
          <w:lang w:val="it-IT"/>
        </w:rPr>
        <w:t>extreme</w:t>
      </w:r>
      <w:proofErr w:type="spellEnd"/>
      <w:r>
        <w:rPr>
          <w:color w:val="000000"/>
          <w:sz w:val="24"/>
          <w:szCs w:val="24"/>
          <w:u w:color="000000"/>
          <w:lang w:val="it-IT"/>
        </w:rPr>
        <w:t xml:space="preserve"> </w:t>
      </w:r>
      <w:proofErr w:type="spellStart"/>
      <w:r>
        <w:rPr>
          <w:color w:val="000000"/>
          <w:sz w:val="24"/>
          <w:szCs w:val="24"/>
          <w:u w:color="000000"/>
          <w:lang w:val="it-IT"/>
        </w:rPr>
        <w:t>attenuation</w:t>
      </w:r>
      <w:proofErr w:type="spellEnd"/>
      <w:r>
        <w:rPr>
          <w:color w:val="000000"/>
          <w:sz w:val="24"/>
          <w:szCs w:val="24"/>
          <w:u w:color="000000"/>
          <w:lang w:val="it-IT"/>
        </w:rPr>
        <w:t xml:space="preserve"> </w:t>
      </w:r>
      <w:r>
        <w:rPr>
          <w:color w:val="000000"/>
          <w:sz w:val="24"/>
          <w:szCs w:val="24"/>
          <w:u w:color="000000"/>
        </w:rPr>
        <w:t>— this is a placeholder, not evidence)</w:t>
      </w:r>
    </w:p>
    <w:p w14:paraId="3B372F38" w14:textId="77777777" w:rsidR="00AA670C" w:rsidRDefault="00AA670C">
      <w:pPr>
        <w:pStyle w:val="Heading2"/>
        <w:spacing w:after="150"/>
      </w:pPr>
    </w:p>
    <w:p w14:paraId="64E116EF" w14:textId="5FC447AE" w:rsidR="00AA670C" w:rsidRDefault="00000000" w:rsidP="00393D1E">
      <w:pPr>
        <w:pStyle w:val="Heading2"/>
        <w:spacing w:after="150"/>
      </w:pPr>
      <w:r>
        <w:rPr>
          <w:color w:val="000000"/>
          <w:sz w:val="24"/>
          <w:szCs w:val="24"/>
          <w:u w:color="000000"/>
        </w:rPr>
        <w:t>The formula is intuitive. Start at 0.50 (maximum ignorance — a coin flip). Take each warrant's deviation from 0.50 (how much it moves you away from ignorance). Attenuate that deviation by the discount factor (how much you trust this type of evidence to transfer from lab to real world). Sum the attenuated deviations. The result is a probability that respects both the evidence and the quality of the evidential bridge.</w:t>
      </w:r>
    </w:p>
    <w:p w14:paraId="067794D7" w14:textId="5F2094FC" w:rsidR="00AA670C" w:rsidRDefault="00000000" w:rsidP="00393D1E">
      <w:pPr>
        <w:pStyle w:val="Heading2"/>
        <w:spacing w:after="150"/>
      </w:pPr>
      <w:r>
        <w:rPr>
          <w:color w:val="000000"/>
          <w:sz w:val="24"/>
          <w:szCs w:val="24"/>
          <w:u w:color="000000"/>
        </w:rPr>
        <w:t>Example: Suppose we have two warrants for the claim "serotonin synthesis is elevated given retinal activation":</w:t>
      </w:r>
      <w:r w:rsidR="00393D1E">
        <w:rPr>
          <w:color w:val="000000"/>
          <w:sz w:val="24"/>
          <w:szCs w:val="24"/>
          <w:u w:color="000000"/>
        </w:rPr>
        <w:t xml:space="preserve">  </w:t>
      </w:r>
      <w:r w:rsidR="00393D1E" w:rsidRPr="00393D1E">
        <w:rPr>
          <w:color w:val="EE0000"/>
          <w:sz w:val="24"/>
          <w:szCs w:val="24"/>
          <w:u w:color="000000"/>
        </w:rPr>
        <w:t xml:space="preserve">interpret each step of the example </w:t>
      </w:r>
    </w:p>
    <w:p w14:paraId="3495AF6F" w14:textId="77777777" w:rsidR="00AA670C" w:rsidRDefault="00000000">
      <w:pPr>
        <w:pStyle w:val="Heading2"/>
        <w:spacing w:after="150"/>
      </w:pPr>
      <w:r>
        <w:rPr>
          <w:color w:val="000000"/>
          <w:sz w:val="24"/>
          <w:szCs w:val="24"/>
          <w:u w:color="000000"/>
        </w:rPr>
        <w:t>- MECHANISM warrant at ω = 0.70: deviation from 0.50 is +0.20, attenuated by 0.80 = +0.16</w:t>
      </w:r>
    </w:p>
    <w:p w14:paraId="2E9A9615" w14:textId="51E79C65" w:rsidR="00AA670C" w:rsidRDefault="00000000" w:rsidP="00393D1E">
      <w:pPr>
        <w:pStyle w:val="Heading2"/>
        <w:spacing w:after="150"/>
      </w:pPr>
      <w:r>
        <w:rPr>
          <w:color w:val="000000"/>
          <w:sz w:val="24"/>
          <w:szCs w:val="24"/>
          <w:u w:color="000000"/>
        </w:rPr>
        <w:t>- EMPIRICAL_COVARIANCE warrant at ω = 0.55: deviation from 0.50 is +0.05, attenuated by 0.80 = +0.04</w:t>
      </w:r>
    </w:p>
    <w:p w14:paraId="7B7C712D" w14:textId="77777777" w:rsidR="00AA670C" w:rsidRDefault="00000000">
      <w:pPr>
        <w:pStyle w:val="Heading2"/>
        <w:spacing w:after="150"/>
      </w:pPr>
      <w:r>
        <w:rPr>
          <w:color w:val="000000"/>
          <w:sz w:val="24"/>
          <w:szCs w:val="24"/>
          <w:u w:color="000000"/>
        </w:rPr>
        <w:t>θ_{S|R} = 0.50 + 0.16 + 0.04 = 0.70</w:t>
      </w:r>
    </w:p>
    <w:p w14:paraId="700ECB79" w14:textId="77777777" w:rsidR="00AA670C" w:rsidRDefault="00AA670C">
      <w:pPr>
        <w:pStyle w:val="Heading2"/>
        <w:spacing w:after="150"/>
      </w:pPr>
    </w:p>
    <w:p w14:paraId="6EA60DC3" w14:textId="0ECBCD87" w:rsidR="00AA670C" w:rsidRDefault="00000000" w:rsidP="00767132">
      <w:pPr>
        <w:pStyle w:val="Heading2"/>
        <w:spacing w:after="150"/>
      </w:pPr>
      <w:r>
        <w:rPr>
          <w:color w:val="000000"/>
          <w:sz w:val="24"/>
          <w:szCs w:val="24"/>
          <w:u w:color="000000"/>
        </w:rPr>
        <w:t>If instead the second warrant were ANALOGICAL at ω = 0.55:</w:t>
      </w:r>
    </w:p>
    <w:p w14:paraId="736AED05" w14:textId="77777777" w:rsidR="00AA670C" w:rsidRDefault="00000000">
      <w:pPr>
        <w:pStyle w:val="Heading2"/>
        <w:spacing w:after="150"/>
      </w:pPr>
      <w:r>
        <w:rPr>
          <w:color w:val="000000"/>
          <w:sz w:val="24"/>
          <w:szCs w:val="24"/>
          <w:u w:color="000000"/>
        </w:rPr>
        <w:t>- deviation +0.05, attenuated by 0.40 = +0.02</w:t>
      </w:r>
    </w:p>
    <w:p w14:paraId="6813E142" w14:textId="77777777" w:rsidR="00AA670C" w:rsidRDefault="00AA670C">
      <w:pPr>
        <w:pStyle w:val="Heading2"/>
        <w:spacing w:after="150"/>
      </w:pPr>
    </w:p>
    <w:p w14:paraId="5DB59856" w14:textId="77777777" w:rsidR="00AA670C" w:rsidRDefault="00000000">
      <w:pPr>
        <w:pStyle w:val="Heading2"/>
        <w:spacing w:after="150"/>
      </w:pPr>
      <w:r>
        <w:rPr>
          <w:color w:val="000000"/>
          <w:sz w:val="24"/>
          <w:szCs w:val="24"/>
          <w:u w:color="000000"/>
        </w:rPr>
        <w:t>θ_{S|R} = 0.50 + 0.16 + 0.02 = 0.68</w:t>
      </w:r>
    </w:p>
    <w:p w14:paraId="1AA202A5" w14:textId="77777777" w:rsidR="00AA670C" w:rsidRDefault="00AA670C">
      <w:pPr>
        <w:pStyle w:val="Heading2"/>
        <w:spacing w:after="150"/>
      </w:pPr>
    </w:p>
    <w:p w14:paraId="0C625993" w14:textId="1615A39E" w:rsidR="00AA670C" w:rsidRDefault="00000000" w:rsidP="00C00056">
      <w:pPr>
        <w:pStyle w:val="Heading2"/>
        <w:spacing w:after="150"/>
      </w:pPr>
      <w:r>
        <w:rPr>
          <w:color w:val="000000"/>
          <w:sz w:val="24"/>
          <w:szCs w:val="24"/>
          <w:u w:color="000000"/>
        </w:rPr>
        <w:t xml:space="preserve">The ANALOGICAL warrant contributes less because we trust analogical reasoning less. Same evidence strength, </w:t>
      </w:r>
      <w:r w:rsidRPr="0058637D">
        <w:rPr>
          <w:b/>
          <w:bCs/>
          <w:color w:val="000000"/>
          <w:sz w:val="24"/>
          <w:szCs w:val="24"/>
          <w:u w:color="000000"/>
        </w:rPr>
        <w:t>different epistemic quality</w:t>
      </w:r>
      <w:r>
        <w:rPr>
          <w:color w:val="000000"/>
          <w:sz w:val="24"/>
          <w:szCs w:val="24"/>
          <w:u w:color="000000"/>
        </w:rPr>
        <w:t>, different CPT entry. This is exactly the distinction the paper is built around.</w:t>
      </w:r>
    </w:p>
    <w:p w14:paraId="5D011DA1" w14:textId="0DC6975D" w:rsidR="00AA670C" w:rsidRDefault="00000000" w:rsidP="0058637D">
      <w:pPr>
        <w:pStyle w:val="Heading2"/>
        <w:spacing w:after="150"/>
      </w:pPr>
      <w:r>
        <w:rPr>
          <w:color w:val="000000"/>
          <w:sz w:val="24"/>
          <w:szCs w:val="24"/>
          <w:u w:color="000000"/>
        </w:rPr>
        <w:t>An important question arises: what if multiple warrants combine to push the probability above 1.0 or below 0.0? We handle this with a logistic transform: instead of summing linearly, we sum in log-odds space and then transform back. This ensures the result is always a valid probability. Formally: logit(θ) = Σ</w:t>
      </w:r>
      <w:r>
        <w:rPr>
          <w:color w:val="000000"/>
          <w:sz w:val="24"/>
          <w:szCs w:val="24"/>
          <w:u w:color="000000"/>
          <w:lang w:val="it-IT"/>
        </w:rPr>
        <w:t xml:space="preserve">ᵢ </w:t>
      </w:r>
      <w:proofErr w:type="spellStart"/>
      <w:r>
        <w:rPr>
          <w:color w:val="000000"/>
          <w:sz w:val="24"/>
          <w:szCs w:val="24"/>
          <w:u w:color="000000"/>
          <w:lang w:val="it-IT"/>
        </w:rPr>
        <w:t>logit</w:t>
      </w:r>
      <w:proofErr w:type="spellEnd"/>
      <w:r>
        <w:rPr>
          <w:color w:val="000000"/>
          <w:sz w:val="24"/>
          <w:szCs w:val="24"/>
          <w:u w:color="000000"/>
          <w:lang w:val="it-IT"/>
        </w:rPr>
        <w:t>(</w:t>
      </w:r>
      <w:r>
        <w:rPr>
          <w:color w:val="000000"/>
          <w:sz w:val="24"/>
          <w:szCs w:val="24"/>
          <w:u w:color="000000"/>
        </w:rPr>
        <w:t xml:space="preserve">ω(eᵢ)) × d(τ(eᵢ)), and θ </w:t>
      </w:r>
      <w:r>
        <w:rPr>
          <w:color w:val="000000"/>
          <w:sz w:val="24"/>
          <w:szCs w:val="24"/>
          <w:u w:color="000000"/>
          <w:lang w:val="fr-FR"/>
        </w:rPr>
        <w:t xml:space="preserve">= </w:t>
      </w:r>
      <w:proofErr w:type="spellStart"/>
      <w:r>
        <w:rPr>
          <w:color w:val="000000"/>
          <w:sz w:val="24"/>
          <w:szCs w:val="24"/>
          <w:u w:color="000000"/>
          <w:lang w:val="fr-FR"/>
        </w:rPr>
        <w:t>sigmoid</w:t>
      </w:r>
      <w:proofErr w:type="spellEnd"/>
      <w:r>
        <w:rPr>
          <w:color w:val="000000"/>
          <w:sz w:val="24"/>
          <w:szCs w:val="24"/>
          <w:u w:color="000000"/>
          <w:lang w:val="fr-FR"/>
        </w:rPr>
        <w:t>(</w:t>
      </w:r>
      <w:proofErr w:type="spellStart"/>
      <w:r>
        <w:rPr>
          <w:color w:val="000000"/>
          <w:sz w:val="24"/>
          <w:szCs w:val="24"/>
          <w:u w:color="000000"/>
          <w:lang w:val="fr-FR"/>
        </w:rPr>
        <w:t>logit</w:t>
      </w:r>
      <w:proofErr w:type="spellEnd"/>
      <w:r>
        <w:rPr>
          <w:color w:val="000000"/>
          <w:sz w:val="24"/>
          <w:szCs w:val="24"/>
          <w:u w:color="000000"/>
          <w:lang w:val="fr-FR"/>
        </w:rPr>
        <w:t>(</w:t>
      </w:r>
      <w:r>
        <w:rPr>
          <w:color w:val="000000"/>
          <w:sz w:val="24"/>
          <w:szCs w:val="24"/>
          <w:u w:color="000000"/>
        </w:rPr>
        <w:t>θ)). This is standard in Bayesian reasoning (see Jaynes, 2003) and ensures coherence.</w:t>
      </w:r>
    </w:p>
    <w:p w14:paraId="7259E340" w14:textId="16A975CC" w:rsidR="00AA670C" w:rsidRDefault="00000000" w:rsidP="0058637D">
      <w:pPr>
        <w:pStyle w:val="Heading2"/>
        <w:spacing w:after="150"/>
      </w:pPr>
      <w:r>
        <w:rPr>
          <w:color w:val="000000"/>
          <w:sz w:val="24"/>
          <w:szCs w:val="24"/>
          <w:u w:color="000000"/>
        </w:rPr>
        <w:t>Step 3: Information Loss Characterization (π_L). The projection is lossy. We need to characterize what is lost. Three categories of information are discarded:</w:t>
      </w:r>
    </w:p>
    <w:p w14:paraId="7D700635" w14:textId="77777777" w:rsidR="00AA670C" w:rsidRDefault="00000000">
      <w:pPr>
        <w:pStyle w:val="Heading2"/>
        <w:spacing w:after="150"/>
      </w:pPr>
      <w:r>
        <w:rPr>
          <w:color w:val="000000"/>
          <w:sz w:val="24"/>
          <w:szCs w:val="24"/>
          <w:u w:color="000000"/>
        </w:rPr>
        <w:t>First, warrant-type provenance. Once projected, a CPT entry of 0.70 is just 0.70. You cannot tell from the BN whether that 0.70 came from strong MECHANISM evidence or from moderate CONSTITUTIVE evidence. This is deliberate — the BN is designed for probabilistic computation, not for epistemological reasoning. But it means that if you want to know WHY a probability has a particular value, you must consult the EWG, not the BN.</w:t>
      </w:r>
    </w:p>
    <w:p w14:paraId="4DAB181D" w14:textId="77777777" w:rsidR="00AA670C" w:rsidRDefault="00AA670C">
      <w:pPr>
        <w:pStyle w:val="Heading2"/>
        <w:spacing w:after="150"/>
      </w:pPr>
    </w:p>
    <w:p w14:paraId="37C8E9ED" w14:textId="77777777" w:rsidR="00AA670C" w:rsidRDefault="00000000">
      <w:pPr>
        <w:pStyle w:val="Heading2"/>
        <w:spacing w:after="150"/>
      </w:pPr>
      <w:r>
        <w:rPr>
          <w:color w:val="000000"/>
          <w:sz w:val="24"/>
          <w:szCs w:val="24"/>
          <w:u w:color="000000"/>
        </w:rPr>
        <w:t>Think of this like a cooking analogy. A dish might taste a certain way (the probability). But you cannot tell from the taste alone whether the chef used fresh ingredients or canned ones (the warrant type). The taste is the same, but the implications for how to improve the dish are very different. If the ingredients were fresh and the dish is only okay, you need to change the recipe. If the ingredients were canned and the dish is only okay, you should try fresh ingredients first. The EWG tells you which; the BN does not.</w:t>
      </w:r>
    </w:p>
    <w:p w14:paraId="31C2F753" w14:textId="77777777" w:rsidR="00AA670C" w:rsidRDefault="00AA670C">
      <w:pPr>
        <w:pStyle w:val="Heading2"/>
        <w:spacing w:after="150"/>
      </w:pPr>
    </w:p>
    <w:p w14:paraId="1F96F6E8" w14:textId="77777777" w:rsidR="00AA670C" w:rsidRDefault="00000000">
      <w:pPr>
        <w:pStyle w:val="Heading2"/>
        <w:spacing w:after="150"/>
      </w:pPr>
      <w:r>
        <w:rPr>
          <w:color w:val="000000"/>
          <w:sz w:val="24"/>
          <w:szCs w:val="24"/>
          <w:u w:color="000000"/>
        </w:rPr>
        <w:t xml:space="preserve">Second, the Toulmin rebuttal structure. The EWG maintains explicit rebuttals — counterarguments that could undermine a warrant. For example, the warrant "daylight → serotonin" has a rebuttal: "in naturally ventilated buildings, thermal comfort covaries with daylight, confounding the pathway." </w:t>
      </w:r>
      <w:r w:rsidRPr="00C00056">
        <w:rPr>
          <w:b/>
          <w:bCs/>
          <w:color w:val="000000"/>
          <w:sz w:val="24"/>
          <w:szCs w:val="24"/>
          <w:u w:color="000000"/>
        </w:rPr>
        <w:t>This rebuttal is tracked in the EWG and affects how the system updates when new evidence arrives</w:t>
      </w:r>
      <w:r>
        <w:rPr>
          <w:color w:val="000000"/>
          <w:sz w:val="24"/>
          <w:szCs w:val="24"/>
          <w:u w:color="000000"/>
        </w:rPr>
        <w:t xml:space="preserve">. But the BN has no place for rebuttals — it just has conditional probabilities. </w:t>
      </w:r>
      <w:proofErr w:type="gramStart"/>
      <w:r>
        <w:rPr>
          <w:color w:val="000000"/>
          <w:sz w:val="24"/>
          <w:szCs w:val="24"/>
          <w:u w:color="000000"/>
        </w:rPr>
        <w:t>So</w:t>
      </w:r>
      <w:proofErr w:type="gramEnd"/>
      <w:r>
        <w:rPr>
          <w:color w:val="000000"/>
          <w:sz w:val="24"/>
          <w:szCs w:val="24"/>
          <w:u w:color="000000"/>
        </w:rPr>
        <w:t xml:space="preserve"> the rebuttal information is lost in projection, even though it affects the uncertainty bands.</w:t>
      </w:r>
    </w:p>
    <w:p w14:paraId="7D8AEE41" w14:textId="77777777" w:rsidR="00AA670C" w:rsidRDefault="00AA670C">
      <w:pPr>
        <w:pStyle w:val="Heading2"/>
        <w:spacing w:after="150"/>
      </w:pPr>
    </w:p>
    <w:p w14:paraId="55E33ADC" w14:textId="77777777" w:rsidR="00AA670C" w:rsidRDefault="00000000">
      <w:pPr>
        <w:pStyle w:val="Heading2"/>
        <w:spacing w:after="150"/>
      </w:pPr>
      <w:r>
        <w:rPr>
          <w:color w:val="000000"/>
          <w:sz w:val="24"/>
          <w:szCs w:val="24"/>
          <w:u w:color="000000"/>
        </w:rPr>
        <w:t>Third, multi-hop warrant chains. The Web might have a long chain: A → B → C → D → E, where each link has a different warrant type. The BN might compress this into a single arc A → E if the intermediate variables are not individually important. When it does, the rich chain of reasoning (A causes B via mechanism, B correlates with C empirically, C functionally enables D, D is analogous to E) is compressed into a single conditional probability. The provenance of the chain is lost.</w:t>
      </w:r>
    </w:p>
    <w:p w14:paraId="0955DE85" w14:textId="77777777" w:rsidR="00AA670C" w:rsidRDefault="00AA670C">
      <w:pPr>
        <w:pStyle w:val="Heading2"/>
        <w:spacing w:after="150"/>
      </w:pPr>
    </w:p>
    <w:p w14:paraId="3E464A91" w14:textId="77777777" w:rsidR="00AA670C" w:rsidRDefault="00000000">
      <w:pPr>
        <w:pStyle w:val="Heading2"/>
        <w:spacing w:after="150"/>
      </w:pPr>
      <w:r>
        <w:rPr>
          <w:color w:val="000000"/>
          <w:sz w:val="24"/>
          <w:szCs w:val="24"/>
          <w:u w:color="000000"/>
        </w:rPr>
        <w:t xml:space="preserve">However — and this is crucial — the loss is recoverable. We define a reconstruction function ρ: B × trace → W that, given the BN and an audit trace (a log of which warrant edges contributed to each CPT entry), can recover the original warrant structure. This means the projection is reversible in practice, even if it is lossy in theory. The audit trace is maintained by the CMR system as a first-class data structure — every CPT entry carries a pointer back to the warrant edges that generated it. </w:t>
      </w:r>
      <w:proofErr w:type="gramStart"/>
      <w:r>
        <w:rPr>
          <w:color w:val="000000"/>
          <w:sz w:val="24"/>
          <w:szCs w:val="24"/>
          <w:u w:color="000000"/>
        </w:rPr>
        <w:t>So</w:t>
      </w:r>
      <w:proofErr w:type="gramEnd"/>
      <w:r>
        <w:rPr>
          <w:color w:val="000000"/>
          <w:sz w:val="24"/>
          <w:szCs w:val="24"/>
          <w:u w:color="000000"/>
        </w:rPr>
        <w:t xml:space="preserve"> the information is not truly lost; it is just not represented in the BN itself.</w:t>
      </w:r>
    </w:p>
    <w:p w14:paraId="29A763A2" w14:textId="77777777" w:rsidR="00AA670C" w:rsidRDefault="00AA670C">
      <w:pPr>
        <w:pStyle w:val="Heading2"/>
        <w:spacing w:after="150"/>
      </w:pPr>
    </w:p>
    <w:p w14:paraId="15A61838" w14:textId="5D268885" w:rsidR="00AA670C" w:rsidRDefault="00000000">
      <w:pPr>
        <w:pStyle w:val="Heading2"/>
        <w:spacing w:after="150"/>
      </w:pPr>
      <w:r>
        <w:rPr>
          <w:color w:val="000000"/>
          <w:sz w:val="24"/>
          <w:szCs w:val="24"/>
          <w:u w:color="000000"/>
        </w:rPr>
        <w:t>This connects to a growing body of work on "causal abstraction" (Beckers &amp; Halpern, 2019; Rubenstein et al., 2017) — the idea that you can have formally correct mappings between causal models at different levels of granularity. Our projection function is essentially a causal abstraction from an epistemic representation (the EWG) to a probabilistic one (the BN). The causal abstraction literature provides the mathematical tools and formal guarantees we need.</w:t>
      </w:r>
      <w:r w:rsidR="00C00056">
        <w:rPr>
          <w:color w:val="000000"/>
          <w:sz w:val="24"/>
          <w:szCs w:val="24"/>
          <w:u w:color="000000"/>
        </w:rPr>
        <w:t xml:space="preserve">  </w:t>
      </w:r>
      <w:r w:rsidR="00C00056" w:rsidRPr="00B5569F">
        <w:rPr>
          <w:b/>
          <w:bCs/>
          <w:color w:val="000000"/>
          <w:sz w:val="24"/>
          <w:szCs w:val="24"/>
          <w:u w:color="000000"/>
        </w:rPr>
        <w:t>This needs much better explanation</w:t>
      </w:r>
      <w:r w:rsidR="00B5569F" w:rsidRPr="00B5569F">
        <w:rPr>
          <w:b/>
          <w:bCs/>
          <w:color w:val="000000"/>
          <w:sz w:val="24"/>
          <w:szCs w:val="24"/>
          <w:u w:color="000000"/>
        </w:rPr>
        <w:t>.</w:t>
      </w:r>
    </w:p>
    <w:p w14:paraId="1FFBD212" w14:textId="77777777" w:rsidR="00AA670C" w:rsidRDefault="00000000" w:rsidP="00B5569F">
      <w:pPr>
        <w:pStyle w:val="Heading3"/>
      </w:pPr>
      <w:r>
        <w:t>1.4 What This Adds to the Paper</w:t>
      </w:r>
    </w:p>
    <w:p w14:paraId="1AB6B915" w14:textId="77777777" w:rsidR="00AA670C" w:rsidRDefault="00000000">
      <w:pPr>
        <w:pStyle w:val="Heading2"/>
        <w:spacing w:after="150"/>
      </w:pPr>
      <w:r>
        <w:rPr>
          <w:color w:val="000000"/>
          <w:sz w:val="24"/>
          <w:szCs w:val="24"/>
          <w:u w:color="000000"/>
        </w:rPr>
        <w:t xml:space="preserve">If we add a subsection titled "Formal Properties of the Projection Function" (perhaps §3.2 or a new §4), we </w:t>
      </w:r>
      <w:proofErr w:type="gramStart"/>
      <w:r>
        <w:rPr>
          <w:color w:val="000000"/>
          <w:sz w:val="24"/>
          <w:szCs w:val="24"/>
          <w:u w:color="000000"/>
        </w:rPr>
        <w:t>would</w:t>
      </w:r>
      <w:proofErr w:type="gramEnd"/>
      <w:r>
        <w:rPr>
          <w:color w:val="000000"/>
          <w:sz w:val="24"/>
          <w:szCs w:val="24"/>
          <w:u w:color="000000"/>
        </w:rPr>
        <w:t xml:space="preserve"> present the three-step definition, state the faithfulness condition, prove the d-separation preservation result, and work through the daylight-serotonin example showing how each step operates. This would be approximately 2-3 pages and would directly satisfy Pearl's demand for mathematical rigor without requiring the full apparatus of Pearl's own structural causal models.</w:t>
      </w:r>
    </w:p>
    <w:p w14:paraId="6EE72B79" w14:textId="77777777" w:rsidR="00AA670C" w:rsidRDefault="00AA670C">
      <w:pPr>
        <w:pStyle w:val="Heading2"/>
        <w:spacing w:after="150"/>
      </w:pPr>
    </w:p>
    <w:p w14:paraId="357BC0C9" w14:textId="77777777" w:rsidR="00AA670C" w:rsidRDefault="00000000">
      <w:pPr>
        <w:pStyle w:val="Heading2"/>
        <w:spacing w:after="150"/>
      </w:pPr>
      <w:r>
        <w:rPr>
          <w:color w:val="000000"/>
          <w:sz w:val="24"/>
          <w:szCs w:val="24"/>
          <w:u w:color="000000"/>
        </w:rPr>
        <w:t>The key intellectual move is to acknowledge that π is lossy but controlled. We are not claiming the BN is as rich as the EWG. We are claiming that the information lost in projection is (a) characterized, (b) recoverable via the audit trace, and (c) not needed for the specific computational task the BN performs (probabilistic inference over outcomes). The epistemic richness lives in the EWG; the computational efficiency lives in the BN; and the projection function is the principled bridge between them.</w:t>
      </w:r>
    </w:p>
    <w:p w14:paraId="679FB436" w14:textId="77777777" w:rsidR="00AA670C" w:rsidRDefault="00000000" w:rsidP="00B5569F">
      <w:pPr>
        <w:pStyle w:val="Heading2"/>
      </w:pPr>
      <w:r>
        <w:t>2. Gap 2: Empirical Validation of the Discount Factors</w:t>
      </w:r>
    </w:p>
    <w:p w14:paraId="74D1699C" w14:textId="77777777" w:rsidR="00AA670C" w:rsidRDefault="00000000" w:rsidP="00B5569F">
      <w:pPr>
        <w:pStyle w:val="Heading3"/>
      </w:pPr>
      <w:r>
        <w:t>2.1 What the Panel Asked For</w:t>
      </w:r>
    </w:p>
    <w:p w14:paraId="20CD7864" w14:textId="77777777" w:rsidR="00AA670C" w:rsidRDefault="00000000">
      <w:pPr>
        <w:pStyle w:val="Heading2"/>
        <w:spacing w:after="150"/>
      </w:pPr>
      <w:r>
        <w:rPr>
          <w:color w:val="000000"/>
          <w:sz w:val="24"/>
          <w:szCs w:val="24"/>
          <w:u w:color="000000"/>
        </w:rPr>
        <w:t>Andrea Saltelli's critique was the most pragmatically devastating: "Show me the data. Show me that the discount factors aren't arbitrary." His concern was that without empirical calibration, the discount factors — the numbers that determine how much to trust each warrant type — are "just decorations." A system with seven tunable parameters and no validation data can fit anything, which means it explains nothing.</w:t>
      </w:r>
    </w:p>
    <w:p w14:paraId="05904B68" w14:textId="77777777" w:rsidR="00AA670C" w:rsidRDefault="00AA670C">
      <w:pPr>
        <w:pStyle w:val="Heading2"/>
        <w:spacing w:after="150"/>
      </w:pPr>
    </w:p>
    <w:p w14:paraId="0BA9754E" w14:textId="77777777" w:rsidR="00AA670C" w:rsidRDefault="00000000">
      <w:pPr>
        <w:pStyle w:val="Heading2"/>
        <w:spacing w:after="150"/>
      </w:pPr>
      <w:proofErr w:type="spellStart"/>
      <w:r>
        <w:rPr>
          <w:color w:val="000000"/>
          <w:sz w:val="24"/>
          <w:szCs w:val="24"/>
          <w:u w:color="000000"/>
        </w:rPr>
        <w:t>Saltelli</w:t>
      </w:r>
      <w:proofErr w:type="spellEnd"/>
      <w:r>
        <w:rPr>
          <w:color w:val="000000"/>
          <w:sz w:val="24"/>
          <w:szCs w:val="24"/>
          <w:u w:color="000000"/>
        </w:rPr>
        <w:t xml:space="preserve"> wanted four things: (a) a validation study comparing ATLAS forecasts to ground truth; (b) calibration curves showing whether predicted probabilities match observed frequencies; (c) comparison to simpler baselines; and (d) sensitivity analysis showing which discount factors matter most.</w:t>
      </w:r>
    </w:p>
    <w:p w14:paraId="7F05DE5D" w14:textId="77777777" w:rsidR="00AA670C" w:rsidRDefault="00AA670C">
      <w:pPr>
        <w:pStyle w:val="Heading2"/>
        <w:spacing w:after="150"/>
      </w:pPr>
    </w:p>
    <w:p w14:paraId="1F309C5C" w14:textId="19440236" w:rsidR="00AA670C" w:rsidRDefault="00000000">
      <w:pPr>
        <w:pStyle w:val="Heading2"/>
        <w:spacing w:after="150"/>
      </w:pPr>
      <w:r>
        <w:rPr>
          <w:color w:val="000000"/>
          <w:sz w:val="24"/>
          <w:szCs w:val="24"/>
          <w:u w:color="000000"/>
        </w:rPr>
        <w:t>This is a fair demand. It is also a hard one, because running a full empirical validation would require years of data collection. But there are strategies that can provide meaningful evidence without requiring a new multi-year study.</w:t>
      </w:r>
      <w:r w:rsidR="00EA63EF">
        <w:rPr>
          <w:color w:val="000000"/>
          <w:sz w:val="24"/>
          <w:szCs w:val="24"/>
          <w:u w:color="000000"/>
        </w:rPr>
        <w:t xml:space="preserve"> </w:t>
      </w:r>
    </w:p>
    <w:p w14:paraId="26EB3197" w14:textId="77777777" w:rsidR="00AA670C" w:rsidRDefault="00000000">
      <w:pPr>
        <w:pStyle w:val="Heading2"/>
        <w:spacing w:after="150"/>
      </w:pPr>
      <w:r>
        <w:rPr>
          <w:b/>
          <w:bCs/>
          <w:sz w:val="56"/>
          <w:szCs w:val="56"/>
        </w:rPr>
        <w:t>2.2 Why This Matters: The Problem of Arbitrary Parameters</w:t>
      </w:r>
    </w:p>
    <w:p w14:paraId="27DA423A" w14:textId="77777777" w:rsidR="00AA670C" w:rsidRDefault="00000000">
      <w:pPr>
        <w:pStyle w:val="Heading2"/>
        <w:spacing w:after="150"/>
      </w:pPr>
      <w:r>
        <w:rPr>
          <w:color w:val="000000"/>
          <w:sz w:val="24"/>
          <w:szCs w:val="24"/>
          <w:u w:color="000000"/>
        </w:rPr>
        <w:t xml:space="preserve">To understand </w:t>
      </w:r>
      <w:proofErr w:type="spellStart"/>
      <w:r>
        <w:rPr>
          <w:color w:val="000000"/>
          <w:sz w:val="24"/>
          <w:szCs w:val="24"/>
          <w:u w:color="000000"/>
        </w:rPr>
        <w:t>Saltelli's</w:t>
      </w:r>
      <w:proofErr w:type="spellEnd"/>
      <w:r>
        <w:rPr>
          <w:color w:val="000000"/>
          <w:sz w:val="24"/>
          <w:szCs w:val="24"/>
          <w:u w:color="000000"/>
        </w:rPr>
        <w:t xml:space="preserve"> worry, consider an analogy. Suppose someone builds a weather forecasting system that assigns confidence levels to predictions. When it predicts "80% chance of rain," does it </w:t>
      </w:r>
      <w:proofErr w:type="gramStart"/>
      <w:r>
        <w:rPr>
          <w:color w:val="000000"/>
          <w:sz w:val="24"/>
          <w:szCs w:val="24"/>
          <w:u w:color="000000"/>
        </w:rPr>
        <w:t>actually rain</w:t>
      </w:r>
      <w:proofErr w:type="gramEnd"/>
      <w:r>
        <w:rPr>
          <w:color w:val="000000"/>
          <w:sz w:val="24"/>
          <w:szCs w:val="24"/>
          <w:u w:color="000000"/>
        </w:rPr>
        <w:t xml:space="preserve"> about 80% of the time? If it rains only 50% of the time when the system says 80%, the system is overconfident — it is systematically wrong in a specific direction. If it rains 95% of the time, the system is underconfident. Good calibration means the predicted probabilities match the actual frequencies.</w:t>
      </w:r>
    </w:p>
    <w:p w14:paraId="7B2B72C6" w14:textId="77777777" w:rsidR="00AA670C" w:rsidRDefault="00AA670C">
      <w:pPr>
        <w:pStyle w:val="Heading2"/>
        <w:spacing w:after="150"/>
      </w:pPr>
    </w:p>
    <w:p w14:paraId="4CDF0F9D" w14:textId="77777777" w:rsidR="00AA670C" w:rsidRDefault="00000000">
      <w:pPr>
        <w:pStyle w:val="Heading2"/>
        <w:spacing w:after="150"/>
      </w:pPr>
      <w:r>
        <w:rPr>
          <w:color w:val="000000"/>
          <w:sz w:val="24"/>
          <w:szCs w:val="24"/>
          <w:u w:color="000000"/>
        </w:rPr>
        <w:t xml:space="preserve">Now apply this to the ATLAS system. When the system assigns a CPT entry of 0.70 to "serotonin synthesis is elevated given retinal activation," based on MECHANISM warrant with a discount factor of 0.80, is that 0.70 </w:t>
      </w:r>
      <w:proofErr w:type="gramStart"/>
      <w:r>
        <w:rPr>
          <w:color w:val="000000"/>
          <w:sz w:val="24"/>
          <w:szCs w:val="24"/>
          <w:u w:color="000000"/>
        </w:rPr>
        <w:t>actually a</w:t>
      </w:r>
      <w:proofErr w:type="gramEnd"/>
      <w:r>
        <w:rPr>
          <w:color w:val="000000"/>
          <w:sz w:val="24"/>
          <w:szCs w:val="24"/>
          <w:u w:color="000000"/>
        </w:rPr>
        <w:t xml:space="preserve"> good estimate? Does the causal relationship hold about 70% of the time in real buildings? If the discount factor were 0.60 instead of 0.80, the CPT entry would be 0.62 — a meaningfully different prediction. Which is right?</w:t>
      </w:r>
    </w:p>
    <w:p w14:paraId="2466D347" w14:textId="77777777" w:rsidR="00AA670C" w:rsidRDefault="00AA670C">
      <w:pPr>
        <w:pStyle w:val="Heading2"/>
        <w:spacing w:after="150"/>
      </w:pPr>
    </w:p>
    <w:p w14:paraId="17C40B16" w14:textId="77777777" w:rsidR="00AA670C" w:rsidRDefault="00000000">
      <w:pPr>
        <w:pStyle w:val="Heading2"/>
        <w:spacing w:after="150"/>
      </w:pPr>
      <w:proofErr w:type="spellStart"/>
      <w:r>
        <w:rPr>
          <w:color w:val="000000"/>
          <w:sz w:val="24"/>
          <w:szCs w:val="24"/>
          <w:u w:color="000000"/>
        </w:rPr>
        <w:lastRenderedPageBreak/>
        <w:t>Saltelli's</w:t>
      </w:r>
      <w:proofErr w:type="spellEnd"/>
      <w:r>
        <w:rPr>
          <w:color w:val="000000"/>
          <w:sz w:val="24"/>
          <w:szCs w:val="24"/>
          <w:u w:color="000000"/>
        </w:rPr>
        <w:t xml:space="preserve"> point </w:t>
      </w:r>
      <w:proofErr w:type="gramStart"/>
      <w:r>
        <w:rPr>
          <w:color w:val="000000"/>
          <w:sz w:val="24"/>
          <w:szCs w:val="24"/>
          <w:u w:color="000000"/>
        </w:rPr>
        <w:t>is:</w:t>
      </w:r>
      <w:proofErr w:type="gramEnd"/>
      <w:r>
        <w:rPr>
          <w:color w:val="000000"/>
          <w:sz w:val="24"/>
          <w:szCs w:val="24"/>
          <w:u w:color="000000"/>
        </w:rPr>
        <w:t xml:space="preserve"> we do not know. The discount factors were set by expert judgment, not by empirical calibration. Expert judgment is a reasonable starting point (Cooke, 1991), but it is not evidence. If we want to claim that ATLAS produces well-calibrated probabilities, we need to test whether it does.</w:t>
      </w:r>
    </w:p>
    <w:p w14:paraId="56E9F89F" w14:textId="77777777" w:rsidR="00AA670C" w:rsidRDefault="00000000">
      <w:pPr>
        <w:pStyle w:val="Heading2"/>
        <w:spacing w:after="150"/>
      </w:pPr>
      <w:r>
        <w:rPr>
          <w:b/>
          <w:bCs/>
          <w:sz w:val="56"/>
          <w:szCs w:val="56"/>
        </w:rPr>
        <w:t>2.3 Strategy A: Retrospective Calibration</w:t>
      </w:r>
    </w:p>
    <w:p w14:paraId="68F3DD5A" w14:textId="77777777" w:rsidR="00AA670C" w:rsidRDefault="00000000">
      <w:pPr>
        <w:pStyle w:val="Heading2"/>
        <w:spacing w:after="150"/>
      </w:pPr>
      <w:r>
        <w:rPr>
          <w:color w:val="000000"/>
          <w:sz w:val="24"/>
          <w:szCs w:val="24"/>
          <w:u w:color="000000"/>
        </w:rPr>
        <w:t>The most direct approach is retrospective calibration: take claims the CMR system has made (or could make, based on its knowledge graph) and compare them to subsequent empirical findings.</w:t>
      </w:r>
    </w:p>
    <w:p w14:paraId="6E7FAD9E" w14:textId="77777777" w:rsidR="00AA670C" w:rsidRDefault="00AA670C">
      <w:pPr>
        <w:pStyle w:val="Heading2"/>
        <w:spacing w:after="150"/>
      </w:pPr>
    </w:p>
    <w:p w14:paraId="33348421" w14:textId="77777777" w:rsidR="00AA670C" w:rsidRDefault="00000000">
      <w:pPr>
        <w:pStyle w:val="Heading2"/>
        <w:spacing w:after="150"/>
      </w:pPr>
      <w:r>
        <w:rPr>
          <w:color w:val="000000"/>
          <w:sz w:val="24"/>
          <w:szCs w:val="24"/>
          <w:u w:color="000000"/>
        </w:rPr>
        <w:t>Here is how this would work, step by step.</w:t>
      </w:r>
    </w:p>
    <w:p w14:paraId="00BDB7E4" w14:textId="77777777" w:rsidR="00AA670C" w:rsidRDefault="00AA670C">
      <w:pPr>
        <w:pStyle w:val="Heading2"/>
        <w:spacing w:after="150"/>
      </w:pPr>
    </w:p>
    <w:p w14:paraId="09444766" w14:textId="77777777" w:rsidR="00AA670C" w:rsidRDefault="00000000">
      <w:pPr>
        <w:pStyle w:val="Heading2"/>
        <w:spacing w:after="150"/>
      </w:pPr>
      <w:r>
        <w:rPr>
          <w:color w:val="000000"/>
          <w:sz w:val="24"/>
          <w:szCs w:val="24"/>
          <w:u w:color="000000"/>
        </w:rPr>
        <w:t>Step 1: Identify testable claims. The ATLAS system covers environmental psychology and architectural neuroscience — a domain with hundreds of published studies, many of which have been replicated or failed to replicate. Select N causal claims from the ATLAS knowledge graph where ground truth is available — that is, claims that were subsequently tested by randomized controlled trial or high-quality meta-analysis.</w:t>
      </w:r>
    </w:p>
    <w:p w14:paraId="1B73D5EC" w14:textId="77777777" w:rsidR="00AA670C" w:rsidRDefault="00AA670C">
      <w:pPr>
        <w:pStyle w:val="Heading2"/>
        <w:spacing w:after="150"/>
      </w:pPr>
    </w:p>
    <w:p w14:paraId="45E270C0" w14:textId="77777777" w:rsidR="00AA670C" w:rsidRDefault="00000000">
      <w:pPr>
        <w:pStyle w:val="Heading2"/>
        <w:spacing w:after="150"/>
      </w:pPr>
      <w:r>
        <w:rPr>
          <w:color w:val="000000"/>
          <w:sz w:val="24"/>
          <w:szCs w:val="24"/>
          <w:u w:color="000000"/>
        </w:rPr>
        <w:t>For example:</w:t>
      </w:r>
    </w:p>
    <w:p w14:paraId="1B0C45D0" w14:textId="77777777" w:rsidR="00AA670C" w:rsidRDefault="00AA670C">
      <w:pPr>
        <w:pStyle w:val="Heading2"/>
        <w:spacing w:after="150"/>
      </w:pPr>
    </w:p>
    <w:p w14:paraId="40DF0671" w14:textId="77777777" w:rsidR="00AA670C" w:rsidRDefault="00000000">
      <w:pPr>
        <w:pStyle w:val="Heading2"/>
        <w:spacing w:after="150"/>
      </w:pPr>
      <w:r>
        <w:rPr>
          <w:color w:val="000000"/>
          <w:sz w:val="24"/>
          <w:szCs w:val="24"/>
          <w:u w:color="000000"/>
        </w:rPr>
        <w:t>- "Daylight exposure improves cognitive performance in office workers" — tested by Boubekri et al. (2014) and others</w:t>
      </w:r>
    </w:p>
    <w:p w14:paraId="4706FAA3" w14:textId="77777777" w:rsidR="00AA670C" w:rsidRDefault="00000000">
      <w:pPr>
        <w:pStyle w:val="Heading2"/>
        <w:spacing w:after="150"/>
      </w:pPr>
      <w:r>
        <w:rPr>
          <w:color w:val="000000"/>
          <w:sz w:val="24"/>
          <w:szCs w:val="24"/>
          <w:u w:color="000000"/>
        </w:rPr>
        <w:t>- "Access to nature views reduces recovery time in hospital patients" — tested by Ulrich (1984) and replicated by several groups</w:t>
      </w:r>
    </w:p>
    <w:p w14:paraId="71CA1408" w14:textId="77777777" w:rsidR="00AA670C" w:rsidRDefault="00000000">
      <w:pPr>
        <w:pStyle w:val="Heading2"/>
        <w:spacing w:after="150"/>
      </w:pPr>
      <w:r>
        <w:rPr>
          <w:color w:val="000000"/>
          <w:sz w:val="24"/>
          <w:szCs w:val="24"/>
          <w:u w:color="000000"/>
        </w:rPr>
        <w:t>- "Background noise above 65 dB impairs reading comprehension" — tested in multiple laboratory and field studies</w:t>
      </w:r>
    </w:p>
    <w:p w14:paraId="706F686C" w14:textId="77777777" w:rsidR="00AA670C" w:rsidRDefault="00000000">
      <w:pPr>
        <w:pStyle w:val="Heading2"/>
        <w:spacing w:after="150"/>
      </w:pPr>
      <w:r>
        <w:rPr>
          <w:color w:val="000000"/>
          <w:sz w:val="24"/>
          <w:szCs w:val="24"/>
          <w:u w:color="000000"/>
        </w:rPr>
        <w:t>- "Biophilic design elements reduce physiological stress markers" — tested in several controlled studies</w:t>
      </w:r>
    </w:p>
    <w:p w14:paraId="7D05D843" w14:textId="77777777" w:rsidR="00AA670C" w:rsidRDefault="00AA670C">
      <w:pPr>
        <w:pStyle w:val="Heading2"/>
        <w:spacing w:after="150"/>
      </w:pPr>
    </w:p>
    <w:p w14:paraId="64468B3B" w14:textId="77777777" w:rsidR="00AA670C" w:rsidRDefault="00000000">
      <w:pPr>
        <w:pStyle w:val="Heading2"/>
        <w:spacing w:after="150"/>
      </w:pPr>
      <w:r>
        <w:rPr>
          <w:color w:val="000000"/>
          <w:sz w:val="24"/>
          <w:szCs w:val="24"/>
          <w:u w:color="000000"/>
        </w:rPr>
        <w:t>Step 2: Reconstruct the warrant structure as it existed before the definitive test. For each claim, ask: what warrant types supported this claim before we had the key evidence? What were the confidence levels? Since the ATLAS system has already coded 1000+ articles into its knowledge graph, the warrant provenance is largely available.</w:t>
      </w:r>
    </w:p>
    <w:p w14:paraId="0158513F" w14:textId="77777777" w:rsidR="00AA670C" w:rsidRDefault="00AA670C">
      <w:pPr>
        <w:pStyle w:val="Heading2"/>
        <w:spacing w:after="150"/>
      </w:pPr>
    </w:p>
    <w:p w14:paraId="34318633" w14:textId="77777777" w:rsidR="00AA670C" w:rsidRDefault="00000000">
      <w:pPr>
        <w:pStyle w:val="Heading2"/>
        <w:spacing w:after="150"/>
      </w:pPr>
      <w:r>
        <w:rPr>
          <w:color w:val="000000"/>
          <w:sz w:val="24"/>
          <w:szCs w:val="24"/>
          <w:u w:color="000000"/>
        </w:rPr>
        <w:t>For instance, before Ulrich's 1984 hospital study, the claim "nature views aid recovery" was supported by:</w:t>
      </w:r>
    </w:p>
    <w:p w14:paraId="6AF621BA" w14:textId="77777777" w:rsidR="00AA670C" w:rsidRDefault="00AA670C">
      <w:pPr>
        <w:pStyle w:val="Heading2"/>
        <w:spacing w:after="150"/>
      </w:pPr>
    </w:p>
    <w:p w14:paraId="7F78C1AF" w14:textId="77777777" w:rsidR="00AA670C" w:rsidRDefault="00000000">
      <w:pPr>
        <w:pStyle w:val="Heading2"/>
        <w:spacing w:after="150"/>
      </w:pPr>
      <w:r>
        <w:rPr>
          <w:color w:val="000000"/>
          <w:sz w:val="24"/>
          <w:szCs w:val="24"/>
          <w:u w:color="000000"/>
        </w:rPr>
        <w:lastRenderedPageBreak/>
        <w:t>- ANALOGICAL warrant from environmental preference research (people prefer natural scenes — Kaplan &amp; Kaplan, 1989)</w:t>
      </w:r>
    </w:p>
    <w:p w14:paraId="56AB4864" w14:textId="77777777" w:rsidR="00AA670C" w:rsidRDefault="00000000">
      <w:pPr>
        <w:pStyle w:val="Heading2"/>
        <w:spacing w:after="150"/>
      </w:pPr>
      <w:r>
        <w:rPr>
          <w:color w:val="000000"/>
          <w:sz w:val="24"/>
          <w:szCs w:val="24"/>
          <w:u w:color="000000"/>
        </w:rPr>
        <w:t xml:space="preserve">- CAPACITY warrant from psychophysiology (the visual system responds to natural fractal patterns — </w:t>
      </w:r>
      <w:proofErr w:type="spellStart"/>
      <w:r>
        <w:rPr>
          <w:color w:val="000000"/>
          <w:sz w:val="24"/>
          <w:szCs w:val="24"/>
          <w:u w:color="000000"/>
        </w:rPr>
        <w:t>Hagerhall</w:t>
      </w:r>
      <w:proofErr w:type="spellEnd"/>
      <w:r>
        <w:rPr>
          <w:color w:val="000000"/>
          <w:sz w:val="24"/>
          <w:szCs w:val="24"/>
          <w:u w:color="000000"/>
        </w:rPr>
        <w:t xml:space="preserve"> et al., 2004)</w:t>
      </w:r>
    </w:p>
    <w:p w14:paraId="0404FAE0" w14:textId="77777777" w:rsidR="00AA670C" w:rsidRDefault="00000000">
      <w:pPr>
        <w:pStyle w:val="Heading2"/>
        <w:spacing w:after="150"/>
      </w:pPr>
      <w:r>
        <w:rPr>
          <w:color w:val="000000"/>
          <w:sz w:val="24"/>
          <w:szCs w:val="24"/>
          <w:u w:color="000000"/>
        </w:rPr>
        <w:t>- THEORETICAL_DEFAULT from biophilia theory (Wilson, 1984)</w:t>
      </w:r>
    </w:p>
    <w:p w14:paraId="4E190EFC" w14:textId="77777777" w:rsidR="00AA670C" w:rsidRDefault="00AA670C">
      <w:pPr>
        <w:pStyle w:val="Heading2"/>
        <w:spacing w:after="150"/>
      </w:pPr>
    </w:p>
    <w:p w14:paraId="3260A873" w14:textId="77777777" w:rsidR="00AA670C" w:rsidRDefault="00000000">
      <w:pPr>
        <w:pStyle w:val="Heading2"/>
        <w:spacing w:after="150"/>
      </w:pPr>
      <w:r>
        <w:rPr>
          <w:color w:val="000000"/>
          <w:sz w:val="24"/>
          <w:szCs w:val="24"/>
          <w:u w:color="000000"/>
        </w:rPr>
        <w:t>No MECHANISM or EMPIRICAL_COVARIANCE warrant existed yet. The CMR system would have assigned a relatively low prior to this claim.</w:t>
      </w:r>
    </w:p>
    <w:p w14:paraId="412B0185" w14:textId="77777777" w:rsidR="00AA670C" w:rsidRDefault="00AA670C">
      <w:pPr>
        <w:pStyle w:val="Heading2"/>
        <w:spacing w:after="150"/>
      </w:pPr>
    </w:p>
    <w:p w14:paraId="29E61892" w14:textId="77777777" w:rsidR="00AA670C" w:rsidRDefault="00000000">
      <w:pPr>
        <w:pStyle w:val="Heading2"/>
        <w:spacing w:after="150"/>
      </w:pPr>
      <w:r>
        <w:rPr>
          <w:color w:val="000000"/>
          <w:sz w:val="24"/>
          <w:szCs w:val="24"/>
          <w:u w:color="000000"/>
        </w:rPr>
        <w:t>Step 3: Apply the projection function. Using the warrant types and discount factors, compute what the ATLAS system would have predicted for each claim.</w:t>
      </w:r>
    </w:p>
    <w:p w14:paraId="7B4956ED" w14:textId="77777777" w:rsidR="00AA670C" w:rsidRDefault="00AA670C">
      <w:pPr>
        <w:pStyle w:val="Heading2"/>
        <w:spacing w:after="150"/>
      </w:pPr>
    </w:p>
    <w:p w14:paraId="4798C3A6" w14:textId="77777777" w:rsidR="00AA670C" w:rsidRDefault="00000000">
      <w:pPr>
        <w:pStyle w:val="Heading2"/>
        <w:spacing w:after="150"/>
      </w:pPr>
      <w:r>
        <w:rPr>
          <w:color w:val="000000"/>
          <w:sz w:val="24"/>
          <w:szCs w:val="24"/>
          <w:u w:color="000000"/>
        </w:rPr>
        <w:t>Step 4: Compare to outcomes. Did the claim replicate? With what effect size? Compute the correspondence between CMR predictions and actual outcomes.</w:t>
      </w:r>
    </w:p>
    <w:p w14:paraId="4A969364" w14:textId="77777777" w:rsidR="00AA670C" w:rsidRDefault="00AA670C">
      <w:pPr>
        <w:pStyle w:val="Heading2"/>
        <w:spacing w:after="150"/>
      </w:pPr>
    </w:p>
    <w:p w14:paraId="0DA1463D" w14:textId="77777777" w:rsidR="00AA670C" w:rsidRDefault="00000000">
      <w:pPr>
        <w:pStyle w:val="Heading2"/>
        <w:spacing w:after="150"/>
      </w:pPr>
      <w:r>
        <w:rPr>
          <w:color w:val="000000"/>
          <w:sz w:val="24"/>
          <w:szCs w:val="24"/>
          <w:u w:color="000000"/>
        </w:rPr>
        <w:t>Step 5: Compute calibration curves. Plot predicted probability (x-axis) against observed frequency (y-axis). A perfectly calibrated system produces a 45-degree line. If the system is overconfident, the curve sags below the diagonal; if underconfident, it bows above (Dawid, 1982; Gneiting &amp; Raftery, 2007).</w:t>
      </w:r>
    </w:p>
    <w:p w14:paraId="7F103CA4" w14:textId="77777777" w:rsidR="00AA670C" w:rsidRDefault="00AA670C">
      <w:pPr>
        <w:pStyle w:val="Heading2"/>
        <w:spacing w:after="150"/>
      </w:pPr>
    </w:p>
    <w:p w14:paraId="2CF35F68" w14:textId="77777777" w:rsidR="00AA670C" w:rsidRDefault="00000000">
      <w:pPr>
        <w:pStyle w:val="Heading2"/>
        <w:spacing w:after="150"/>
      </w:pPr>
      <w:r>
        <w:rPr>
          <w:color w:val="000000"/>
          <w:sz w:val="24"/>
          <w:szCs w:val="24"/>
          <w:u w:color="000000"/>
        </w:rPr>
        <w:t>This approach is achievable because the knowledge graph already exists. The retrospective analysis would require 20-40 well-documented claims with known outcomes, which is feasible in environmental psychology where replication studies exist (particularly after 2015, when the replication crisis prompted systematic retesting of classic findings).</w:t>
      </w:r>
    </w:p>
    <w:p w14:paraId="0F9FEDFA" w14:textId="77777777" w:rsidR="00AA670C" w:rsidRDefault="00000000">
      <w:pPr>
        <w:pStyle w:val="Heading2"/>
        <w:spacing w:after="150"/>
      </w:pPr>
      <w:r>
        <w:rPr>
          <w:b/>
          <w:bCs/>
          <w:sz w:val="56"/>
          <w:szCs w:val="56"/>
        </w:rPr>
        <w:t>2.4 Strategy B: Cross-Validation Within the Knowledge Graph</w:t>
      </w:r>
    </w:p>
    <w:p w14:paraId="05795775" w14:textId="77777777" w:rsidR="00AA670C" w:rsidRDefault="00000000">
      <w:pPr>
        <w:pStyle w:val="Heading2"/>
        <w:spacing w:after="150"/>
      </w:pPr>
      <w:r>
        <w:rPr>
          <w:color w:val="000000"/>
          <w:sz w:val="24"/>
          <w:szCs w:val="24"/>
          <w:u w:color="000000"/>
        </w:rPr>
        <w:t>An alternative that does not require external ground truth: take the CMR graph, remove a subset of edges (warrant connections), and see whether the remaining structure can predict the missing edges.</w:t>
      </w:r>
    </w:p>
    <w:p w14:paraId="1B1CC97F" w14:textId="77777777" w:rsidR="00AA670C" w:rsidRDefault="00AA670C">
      <w:pPr>
        <w:pStyle w:val="Heading2"/>
        <w:spacing w:after="150"/>
      </w:pPr>
    </w:p>
    <w:p w14:paraId="3A6AC422" w14:textId="77777777" w:rsidR="00AA670C" w:rsidRDefault="00000000">
      <w:pPr>
        <w:pStyle w:val="Heading2"/>
        <w:spacing w:after="150"/>
      </w:pPr>
      <w:r>
        <w:rPr>
          <w:color w:val="000000"/>
          <w:sz w:val="24"/>
          <w:szCs w:val="24"/>
          <w:u w:color="000000"/>
        </w:rPr>
        <w:t>Think of this like a crossword puzzle. You fill in most of the answers, then erase a few, and ask: given the remaining answers, can you figure out what goes in the blanks? If the system's warrant types and discount factors are capturing real structure in the domain, removing some edges should be predictable from the remaining ones. If they are arbitrary, removing edges should be unpredictable.</w:t>
      </w:r>
    </w:p>
    <w:p w14:paraId="2CF332A1" w14:textId="77777777" w:rsidR="00AA670C" w:rsidRDefault="00AA670C">
      <w:pPr>
        <w:pStyle w:val="Heading2"/>
        <w:spacing w:after="150"/>
      </w:pPr>
    </w:p>
    <w:p w14:paraId="08EA2202" w14:textId="77777777" w:rsidR="00AA670C" w:rsidRDefault="00000000">
      <w:pPr>
        <w:pStyle w:val="Heading2"/>
        <w:spacing w:after="150"/>
      </w:pPr>
      <w:r>
        <w:rPr>
          <w:color w:val="000000"/>
          <w:sz w:val="24"/>
          <w:szCs w:val="24"/>
          <w:u w:color="000000"/>
        </w:rPr>
        <w:lastRenderedPageBreak/>
        <w:t>This is essentially a link-prediction task (Liben-Nowell &amp; Kleinberg, 2007) applied to epistemic knowledge structures. If the discount factors improve link prediction over a uniform baseline (where all warrant types are treated equally), they carry genuine information about the domain.</w:t>
      </w:r>
    </w:p>
    <w:p w14:paraId="19276033" w14:textId="77777777" w:rsidR="00AA670C" w:rsidRDefault="00000000">
      <w:pPr>
        <w:pStyle w:val="Heading2"/>
        <w:spacing w:after="150"/>
      </w:pPr>
      <w:r>
        <w:rPr>
          <w:b/>
          <w:bCs/>
          <w:sz w:val="56"/>
          <w:szCs w:val="56"/>
        </w:rPr>
        <w:t>2.5 Strategy C: Sensitivity Analysis (</w:t>
      </w:r>
      <w:proofErr w:type="spellStart"/>
      <w:r>
        <w:rPr>
          <w:b/>
          <w:bCs/>
          <w:sz w:val="56"/>
          <w:szCs w:val="56"/>
        </w:rPr>
        <w:t>Saltelli's</w:t>
      </w:r>
      <w:proofErr w:type="spellEnd"/>
      <w:r>
        <w:rPr>
          <w:b/>
          <w:bCs/>
          <w:sz w:val="56"/>
          <w:szCs w:val="56"/>
        </w:rPr>
        <w:t xml:space="preserve"> Own Method)</w:t>
      </w:r>
    </w:p>
    <w:p w14:paraId="16A24438" w14:textId="77777777" w:rsidR="00AA670C" w:rsidRDefault="00000000">
      <w:pPr>
        <w:pStyle w:val="Heading2"/>
        <w:spacing w:after="150"/>
      </w:pPr>
      <w:r>
        <w:rPr>
          <w:color w:val="000000"/>
          <w:sz w:val="24"/>
          <w:szCs w:val="24"/>
          <w:u w:color="000000"/>
        </w:rPr>
        <w:t xml:space="preserve">Even without any calibration data at all, we can perform what </w:t>
      </w:r>
      <w:proofErr w:type="spellStart"/>
      <w:r>
        <w:rPr>
          <w:color w:val="000000"/>
          <w:sz w:val="24"/>
          <w:szCs w:val="24"/>
          <w:u w:color="000000"/>
        </w:rPr>
        <w:t>Saltelli</w:t>
      </w:r>
      <w:proofErr w:type="spellEnd"/>
      <w:r>
        <w:rPr>
          <w:color w:val="000000"/>
          <w:sz w:val="24"/>
          <w:szCs w:val="24"/>
          <w:u w:color="000000"/>
        </w:rPr>
        <w:t xml:space="preserve"> himself advocates: a systematic sensitivity analysis showing how much the system's outputs change when each discount factor is perturbed.</w:t>
      </w:r>
    </w:p>
    <w:p w14:paraId="6A1FDAF4" w14:textId="77777777" w:rsidR="00AA670C" w:rsidRDefault="00AA670C">
      <w:pPr>
        <w:pStyle w:val="Heading2"/>
        <w:spacing w:after="150"/>
      </w:pPr>
    </w:p>
    <w:p w14:paraId="631FAED6" w14:textId="77777777" w:rsidR="00AA670C" w:rsidRDefault="00000000">
      <w:pPr>
        <w:pStyle w:val="Heading2"/>
        <w:spacing w:after="150"/>
      </w:pPr>
      <w:r>
        <w:rPr>
          <w:color w:val="000000"/>
          <w:sz w:val="24"/>
          <w:szCs w:val="24"/>
          <w:u w:color="000000"/>
        </w:rPr>
        <w:t xml:space="preserve">Here is the idea, explained simply. Suppose you are baking a </w:t>
      </w:r>
      <w:proofErr w:type="gramStart"/>
      <w:r>
        <w:rPr>
          <w:color w:val="000000"/>
          <w:sz w:val="24"/>
          <w:szCs w:val="24"/>
          <w:u w:color="000000"/>
        </w:rPr>
        <w:t>cake</w:t>
      </w:r>
      <w:proofErr w:type="gramEnd"/>
      <w:r>
        <w:rPr>
          <w:color w:val="000000"/>
          <w:sz w:val="24"/>
          <w:szCs w:val="24"/>
          <w:u w:color="000000"/>
        </w:rPr>
        <w:t xml:space="preserve"> and you are unsure about the exact amounts of seven ingredients. You want to know: which ingredients matter most? If doubling the sugar ruins the cake but doubling the salt barely changes it, then you need to be precise about sugar but can be approximate about salt.</w:t>
      </w:r>
    </w:p>
    <w:p w14:paraId="51832CAB" w14:textId="77777777" w:rsidR="00AA670C" w:rsidRDefault="00AA670C">
      <w:pPr>
        <w:pStyle w:val="Heading2"/>
        <w:spacing w:after="150"/>
      </w:pPr>
    </w:p>
    <w:p w14:paraId="30558FA9" w14:textId="77777777" w:rsidR="00AA670C" w:rsidRDefault="00000000">
      <w:pPr>
        <w:pStyle w:val="Heading2"/>
        <w:spacing w:after="150"/>
      </w:pPr>
      <w:r>
        <w:rPr>
          <w:color w:val="000000"/>
          <w:sz w:val="24"/>
          <w:szCs w:val="24"/>
          <w:u w:color="000000"/>
        </w:rPr>
        <w:t xml:space="preserve">Sobol sensitivity analysis (Sobol, 2001; </w:t>
      </w:r>
      <w:proofErr w:type="spellStart"/>
      <w:r>
        <w:rPr>
          <w:color w:val="000000"/>
          <w:sz w:val="24"/>
          <w:szCs w:val="24"/>
          <w:u w:color="000000"/>
        </w:rPr>
        <w:t>Saltelli</w:t>
      </w:r>
      <w:proofErr w:type="spellEnd"/>
      <w:r>
        <w:rPr>
          <w:color w:val="000000"/>
          <w:sz w:val="24"/>
          <w:szCs w:val="24"/>
          <w:u w:color="000000"/>
        </w:rPr>
        <w:t xml:space="preserve"> et al., 2010) does exactly this for computational models. You vary each parameter (discount factor) across its plausible range while holding the others fixed, and measure how much the output (the BN's predicted probabilities) changes. The result is a "sensitivity index" for each discount factor, telling you how consequential it is.</w:t>
      </w:r>
    </w:p>
    <w:p w14:paraId="5D7523AE" w14:textId="77777777" w:rsidR="00AA670C" w:rsidRDefault="00AA670C">
      <w:pPr>
        <w:pStyle w:val="Heading2"/>
        <w:spacing w:after="150"/>
      </w:pPr>
    </w:p>
    <w:p w14:paraId="71E6A984" w14:textId="77777777" w:rsidR="00AA670C" w:rsidRDefault="00000000">
      <w:pPr>
        <w:pStyle w:val="Heading2"/>
        <w:spacing w:after="150"/>
      </w:pPr>
      <w:r>
        <w:rPr>
          <w:color w:val="000000"/>
          <w:sz w:val="24"/>
          <w:szCs w:val="24"/>
          <w:u w:color="000000"/>
        </w:rPr>
        <w:t>There are three possible outcomes, each of which is informative:</w:t>
      </w:r>
    </w:p>
    <w:p w14:paraId="39022EF4" w14:textId="77777777" w:rsidR="00AA670C" w:rsidRDefault="00AA670C">
      <w:pPr>
        <w:pStyle w:val="Heading2"/>
        <w:spacing w:after="150"/>
      </w:pPr>
    </w:p>
    <w:p w14:paraId="23D0262D" w14:textId="77777777" w:rsidR="00AA670C" w:rsidRDefault="00000000">
      <w:pPr>
        <w:pStyle w:val="Heading2"/>
        <w:spacing w:after="150"/>
      </w:pPr>
      <w:r>
        <w:rPr>
          <w:color w:val="000000"/>
          <w:sz w:val="24"/>
          <w:szCs w:val="24"/>
          <w:u w:color="000000"/>
        </w:rPr>
        <w:t>Outcome 1: Only 2-3 of the 7 discount factors have high sensitivity indices. This is the best case. It means the system's outputs are driven by a small number of parameters, making it much easier to calibrate and defend. You only need to get 2-3 numbers right, not 7.</w:t>
      </w:r>
    </w:p>
    <w:p w14:paraId="03555688" w14:textId="77777777" w:rsidR="00AA670C" w:rsidRDefault="00AA670C">
      <w:pPr>
        <w:pStyle w:val="Heading2"/>
        <w:spacing w:after="150"/>
      </w:pPr>
    </w:p>
    <w:p w14:paraId="7BE54C23" w14:textId="77777777" w:rsidR="00AA670C" w:rsidRDefault="00000000">
      <w:pPr>
        <w:pStyle w:val="Heading2"/>
        <w:spacing w:after="150"/>
      </w:pPr>
      <w:r>
        <w:rPr>
          <w:color w:val="000000"/>
          <w:sz w:val="24"/>
          <w:szCs w:val="24"/>
          <w:u w:color="000000"/>
        </w:rPr>
        <w:t>Outcome 2: All 7 discount factors have moderate sensitivity indices. This is the challenging case. It means the system is genuinely sensitive to all its parameters, and careful calibration of each one matters. But it also means the 7-type distinction is earning its keep — removing any type would lose information.</w:t>
      </w:r>
    </w:p>
    <w:p w14:paraId="26A6C56B" w14:textId="77777777" w:rsidR="00AA670C" w:rsidRDefault="00AA670C">
      <w:pPr>
        <w:pStyle w:val="Heading2"/>
        <w:spacing w:after="150"/>
      </w:pPr>
    </w:p>
    <w:p w14:paraId="66F05716" w14:textId="77777777" w:rsidR="00AA670C" w:rsidRDefault="00000000">
      <w:pPr>
        <w:pStyle w:val="Heading2"/>
        <w:spacing w:after="150"/>
      </w:pPr>
      <w:r>
        <w:rPr>
          <w:color w:val="000000"/>
          <w:sz w:val="24"/>
          <w:szCs w:val="24"/>
          <w:u w:color="000000"/>
        </w:rPr>
        <w:t xml:space="preserve">Outcome 3: No discount factors have appreciable sensitivity. This would mean the specific numerical values do not matter much — only the rank ordering of warrant </w:t>
      </w:r>
      <w:proofErr w:type="gramStart"/>
      <w:r>
        <w:rPr>
          <w:color w:val="000000"/>
          <w:sz w:val="24"/>
          <w:szCs w:val="24"/>
          <w:u w:color="000000"/>
        </w:rPr>
        <w:t>types</w:t>
      </w:r>
      <w:proofErr w:type="gramEnd"/>
      <w:r>
        <w:rPr>
          <w:color w:val="000000"/>
          <w:sz w:val="24"/>
          <w:szCs w:val="24"/>
          <w:u w:color="000000"/>
        </w:rPr>
        <w:t xml:space="preserve"> matters. This would </w:t>
      </w:r>
      <w:proofErr w:type="gramStart"/>
      <w:r>
        <w:rPr>
          <w:color w:val="000000"/>
          <w:sz w:val="24"/>
          <w:szCs w:val="24"/>
          <w:u w:color="000000"/>
        </w:rPr>
        <w:t>actually be</w:t>
      </w:r>
      <w:proofErr w:type="gramEnd"/>
      <w:r>
        <w:rPr>
          <w:color w:val="000000"/>
          <w:sz w:val="24"/>
          <w:szCs w:val="24"/>
          <w:u w:color="000000"/>
        </w:rPr>
        <w:t xml:space="preserve"> good news: it means the qualitative distinction (MECHANISM &gt; ANALOGICAL) is more important than the precise numbers.</w:t>
      </w:r>
    </w:p>
    <w:p w14:paraId="2D49D031" w14:textId="77777777" w:rsidR="00AA670C" w:rsidRDefault="00AA670C">
      <w:pPr>
        <w:pStyle w:val="Heading2"/>
        <w:spacing w:after="150"/>
      </w:pPr>
    </w:p>
    <w:p w14:paraId="03C4C28B" w14:textId="77777777" w:rsidR="00AA670C" w:rsidRDefault="00000000">
      <w:pPr>
        <w:pStyle w:val="Heading2"/>
        <w:spacing w:after="150"/>
      </w:pPr>
      <w:r>
        <w:rPr>
          <w:color w:val="000000"/>
          <w:sz w:val="24"/>
          <w:szCs w:val="24"/>
          <w:u w:color="000000"/>
        </w:rPr>
        <w:lastRenderedPageBreak/>
        <w:t xml:space="preserve">This analysis can be done immediately with the existing CMR system. It requires no new data collection, only systematic perturbation of the existing model. And it directly addresses </w:t>
      </w:r>
      <w:proofErr w:type="spellStart"/>
      <w:r>
        <w:rPr>
          <w:color w:val="000000"/>
          <w:sz w:val="24"/>
          <w:szCs w:val="24"/>
          <w:u w:color="000000"/>
        </w:rPr>
        <w:t>Saltelli's</w:t>
      </w:r>
      <w:proofErr w:type="spellEnd"/>
      <w:r>
        <w:rPr>
          <w:color w:val="000000"/>
          <w:sz w:val="24"/>
          <w:szCs w:val="24"/>
          <w:u w:color="000000"/>
        </w:rPr>
        <w:t xml:space="preserve"> concern: if the sensitivity analysis shows that the discount factors are highly consequential, we know calibration is urgent; if it shows they are not, we know the system is robust to parameter uncertainty.</w:t>
      </w:r>
    </w:p>
    <w:p w14:paraId="2E6800B3" w14:textId="77777777" w:rsidR="00AA670C" w:rsidRDefault="00000000">
      <w:pPr>
        <w:pStyle w:val="Heading2"/>
        <w:spacing w:after="150"/>
      </w:pPr>
      <w:r>
        <w:rPr>
          <w:b/>
          <w:bCs/>
          <w:sz w:val="56"/>
          <w:szCs w:val="56"/>
        </w:rPr>
        <w:t>2.6 What This Adds to the Paper</w:t>
      </w:r>
    </w:p>
    <w:p w14:paraId="66EFA153" w14:textId="77777777" w:rsidR="00AA670C" w:rsidRDefault="00000000">
      <w:pPr>
        <w:pStyle w:val="Heading2"/>
        <w:spacing w:after="150"/>
      </w:pPr>
      <w:r>
        <w:rPr>
          <w:color w:val="000000"/>
          <w:sz w:val="24"/>
          <w:szCs w:val="24"/>
          <w:u w:color="000000"/>
        </w:rPr>
        <w:t>We recommend adding a new section (§5 or §6) titled "Empirical Validation" with two subsections: (a) a sensitivity analysis of the discount factors (Strategy C, mandatory — it can be done immediately), and (b) a pilot retrospective calibration study using 15-20 claims from the environmental psychology domain (Strategy A, providing preliminary evidence). Together, these give the paper: honest disclosure of which parameters matter, preliminary evidence of calibration quality, and a clear methodology that future work can extend.</w:t>
      </w:r>
    </w:p>
    <w:p w14:paraId="120CE63D" w14:textId="77777777" w:rsidR="00AA670C" w:rsidRDefault="00000000">
      <w:pPr>
        <w:pStyle w:val="Heading"/>
        <w:spacing w:after="200"/>
      </w:pPr>
      <w:r>
        <w:rPr>
          <w:b/>
          <w:bCs/>
          <w:sz w:val="64"/>
          <w:szCs w:val="64"/>
        </w:rPr>
        <w:t>3. Gap 3: Semantic Clarity about Causation</w:t>
      </w:r>
    </w:p>
    <w:p w14:paraId="13E97A05" w14:textId="77777777" w:rsidR="00AA670C" w:rsidRDefault="00000000">
      <w:pPr>
        <w:pStyle w:val="Heading2"/>
        <w:spacing w:after="150"/>
      </w:pPr>
      <w:r>
        <w:rPr>
          <w:b/>
          <w:bCs/>
          <w:sz w:val="56"/>
          <w:szCs w:val="56"/>
        </w:rPr>
        <w:t>3.1 What the Panel Asked For</w:t>
      </w:r>
    </w:p>
    <w:p w14:paraId="7EFACCB5" w14:textId="77777777" w:rsidR="00AA670C" w:rsidRDefault="00000000">
      <w:pPr>
        <w:pStyle w:val="Heading2"/>
        <w:spacing w:after="150"/>
      </w:pPr>
      <w:r>
        <w:rPr>
          <w:color w:val="000000"/>
          <w:sz w:val="24"/>
          <w:szCs w:val="24"/>
          <w:u w:color="000000"/>
        </w:rPr>
        <w:t>James Woodward and Nancy Cartwright jointly demanded that the paper specify what "causation" means in the CMR system. This is not a mere terminological question. Different theories of causation lead to different implementations, different warrant evaluations, and different predictions. Woodward, an interventionist, says a causal claim is a claim about what would happen if you intervened. Cartwright, a capacity theorist, says a causal claim is a claim about stable causal powers that can be brought to bear in specific contexts. Pearl, who defines causation via structural equations, has yet another framework.</w:t>
      </w:r>
    </w:p>
    <w:p w14:paraId="768C331D" w14:textId="77777777" w:rsidR="00AA670C" w:rsidRDefault="00AA670C">
      <w:pPr>
        <w:pStyle w:val="Heading2"/>
        <w:spacing w:after="150"/>
      </w:pPr>
    </w:p>
    <w:p w14:paraId="7B91C702" w14:textId="77777777" w:rsidR="00AA670C" w:rsidRDefault="00000000">
      <w:pPr>
        <w:pStyle w:val="Heading2"/>
        <w:spacing w:after="150"/>
      </w:pPr>
      <w:r>
        <w:rPr>
          <w:color w:val="000000"/>
          <w:sz w:val="24"/>
          <w:szCs w:val="24"/>
          <w:u w:color="000000"/>
        </w:rPr>
        <w:t>The paper, as written, uses causal language freely but does not commit to a specific semantics. It says things like "daylight causes serotonin production" without specifying whether this means "if you intervened to increase daylight, serotonin would increase" (Woodward) or "the daylight-serotonin system is a nomological machine — a stable arrangement of capacities that produces the effect when the conditions are right" (Cartwright) or "there exists a structural equation S = f(D, U) where D is daylight, U is noise, and f specifies the functional relationship" (Pearl).</w:t>
      </w:r>
    </w:p>
    <w:p w14:paraId="228C9216" w14:textId="77777777" w:rsidR="00AA670C" w:rsidRDefault="00AA670C">
      <w:pPr>
        <w:pStyle w:val="Heading2"/>
        <w:spacing w:after="150"/>
      </w:pPr>
    </w:p>
    <w:p w14:paraId="05CD214D" w14:textId="77777777" w:rsidR="00AA670C" w:rsidRDefault="00000000">
      <w:pPr>
        <w:pStyle w:val="Heading2"/>
        <w:spacing w:after="150"/>
      </w:pPr>
      <w:r>
        <w:rPr>
          <w:color w:val="000000"/>
          <w:sz w:val="24"/>
          <w:szCs w:val="24"/>
          <w:u w:color="000000"/>
        </w:rPr>
        <w:t>This ambiguity matters because the three interpretations have different implications for the warrant types. Under interventionism, the crucial question is: does this warrant support a claim about what would happen under intervention? Under the capacity view, the crucial question is: does this warrant support a claim about a stable causal power? Under the structural equation view, the crucial question is: does this warrant support a claim about the form of a functional relationship?</w:t>
      </w:r>
    </w:p>
    <w:p w14:paraId="29832924" w14:textId="77777777" w:rsidR="00AA670C" w:rsidRDefault="00000000">
      <w:pPr>
        <w:pStyle w:val="Heading2"/>
        <w:spacing w:after="150"/>
      </w:pPr>
      <w:r>
        <w:rPr>
          <w:b/>
          <w:bCs/>
          <w:sz w:val="56"/>
          <w:szCs w:val="56"/>
        </w:rPr>
        <w:lastRenderedPageBreak/>
        <w:t>3.2 The Intuition: Why Causal Semantics Matter</w:t>
      </w:r>
    </w:p>
    <w:p w14:paraId="27CE1D53" w14:textId="77777777" w:rsidR="00AA670C" w:rsidRDefault="00000000">
      <w:pPr>
        <w:pStyle w:val="Heading2"/>
        <w:spacing w:after="150"/>
      </w:pPr>
      <w:r>
        <w:rPr>
          <w:color w:val="000000"/>
          <w:sz w:val="24"/>
          <w:szCs w:val="24"/>
          <w:u w:color="000000"/>
        </w:rPr>
        <w:t>Here is an example that makes the problem concrete. Suppose you observe that in buildings with large windows, people report better mood. You have EMPIRICAL_COVARIANCE warrant for the claim "windows → mood." Now consider three interpretations:</w:t>
      </w:r>
    </w:p>
    <w:p w14:paraId="2947CB6D" w14:textId="77777777" w:rsidR="00AA670C" w:rsidRDefault="00AA670C">
      <w:pPr>
        <w:pStyle w:val="Heading2"/>
        <w:spacing w:after="150"/>
      </w:pPr>
    </w:p>
    <w:p w14:paraId="4253D902" w14:textId="77777777" w:rsidR="00AA670C" w:rsidRDefault="00000000">
      <w:pPr>
        <w:pStyle w:val="Heading2"/>
        <w:spacing w:after="150"/>
      </w:pPr>
      <w:r>
        <w:rPr>
          <w:color w:val="000000"/>
          <w:sz w:val="24"/>
          <w:szCs w:val="24"/>
          <w:u w:color="000000"/>
        </w:rPr>
        <w:t>Interpretation 1 (Interventionism — Woodward): "If we intervened to install larger windows in a building that currently has small windows, occupants' mood would improve." This is a specific, testable prediction about the consequences of action. It tells an architect: go ahead and specify larger windows; the effect will follow.</w:t>
      </w:r>
    </w:p>
    <w:p w14:paraId="25B8F559" w14:textId="77777777" w:rsidR="00AA670C" w:rsidRDefault="00AA670C">
      <w:pPr>
        <w:pStyle w:val="Heading2"/>
        <w:spacing w:after="150"/>
      </w:pPr>
    </w:p>
    <w:p w14:paraId="43A92615" w14:textId="77777777" w:rsidR="00AA670C" w:rsidRDefault="00000000">
      <w:pPr>
        <w:pStyle w:val="Heading2"/>
        <w:spacing w:after="150"/>
      </w:pPr>
      <w:r>
        <w:rPr>
          <w:color w:val="000000"/>
          <w:sz w:val="24"/>
          <w:szCs w:val="24"/>
          <w:u w:color="000000"/>
        </w:rPr>
        <w:t>Interpretation 2 (Capacity — Cartwright): "The window-mood system has a stable causal capacity that operates when certain conditions are met (sufficient daylight, unobstructed views, appropriate thermal management)." This is a more cautious claim. It tells an architect: larger windows CAN improve mood, but only if the supporting conditions are in place.</w:t>
      </w:r>
    </w:p>
    <w:p w14:paraId="4B26C9CC" w14:textId="77777777" w:rsidR="00AA670C" w:rsidRDefault="00AA670C">
      <w:pPr>
        <w:pStyle w:val="Heading2"/>
        <w:spacing w:after="150"/>
      </w:pPr>
    </w:p>
    <w:p w14:paraId="2A186C9B" w14:textId="77777777" w:rsidR="00AA670C" w:rsidRDefault="00000000">
      <w:pPr>
        <w:pStyle w:val="Heading2"/>
        <w:spacing w:after="150"/>
      </w:pPr>
      <w:r>
        <w:rPr>
          <w:color w:val="000000"/>
          <w:sz w:val="24"/>
          <w:szCs w:val="24"/>
          <w:u w:color="000000"/>
        </w:rPr>
        <w:t xml:space="preserve">Interpretation 3 (Structural equation — Pearl): "There exists a functional relationship Mood = </w:t>
      </w:r>
      <w:proofErr w:type="gramStart"/>
      <w:r>
        <w:rPr>
          <w:color w:val="000000"/>
          <w:sz w:val="24"/>
          <w:szCs w:val="24"/>
          <w:u w:color="000000"/>
        </w:rPr>
        <w:t>f(</w:t>
      </w:r>
      <w:proofErr w:type="spellStart"/>
      <w:proofErr w:type="gramEnd"/>
      <w:r>
        <w:rPr>
          <w:color w:val="000000"/>
          <w:sz w:val="24"/>
          <w:szCs w:val="24"/>
          <w:u w:color="000000"/>
        </w:rPr>
        <w:t>WindowSize</w:t>
      </w:r>
      <w:proofErr w:type="spellEnd"/>
      <w:r>
        <w:rPr>
          <w:color w:val="000000"/>
          <w:sz w:val="24"/>
          <w:szCs w:val="24"/>
          <w:u w:color="000000"/>
        </w:rPr>
        <w:t>, Confounders, Noise) that can be estimated from data." This is a modeling claim. It tells a researcher: we can build a quantitative model of the window-mood relationship.</w:t>
      </w:r>
    </w:p>
    <w:p w14:paraId="060B3374" w14:textId="77777777" w:rsidR="00AA670C" w:rsidRDefault="00AA670C">
      <w:pPr>
        <w:pStyle w:val="Heading2"/>
        <w:spacing w:after="150"/>
      </w:pPr>
    </w:p>
    <w:p w14:paraId="76C1A501" w14:textId="77777777" w:rsidR="00AA670C" w:rsidRDefault="00000000">
      <w:pPr>
        <w:pStyle w:val="Heading2"/>
        <w:spacing w:after="150"/>
      </w:pPr>
      <w:r>
        <w:rPr>
          <w:color w:val="000000"/>
          <w:sz w:val="24"/>
          <w:szCs w:val="24"/>
          <w:u w:color="000000"/>
        </w:rPr>
        <w:t>Notice how the three interpretations lead to different advice for different audiences. An architect wants Interpretation 1 or 2 — practical guidance about what to build. A researcher wants Interpretation 3 — a quantitative model to refine. A policymaker wants to know whether mandating larger windows in schools will improve student wellbeing, which requires Interpretation 1 (interventionist) confidence.</w:t>
      </w:r>
    </w:p>
    <w:p w14:paraId="7DE41C95" w14:textId="77777777" w:rsidR="00AA670C" w:rsidRDefault="00AA670C">
      <w:pPr>
        <w:pStyle w:val="Heading2"/>
        <w:spacing w:after="150"/>
      </w:pPr>
    </w:p>
    <w:p w14:paraId="33297EAF" w14:textId="77777777" w:rsidR="00AA670C" w:rsidRDefault="00000000">
      <w:pPr>
        <w:pStyle w:val="Heading2"/>
        <w:spacing w:after="150"/>
      </w:pPr>
      <w:r>
        <w:rPr>
          <w:color w:val="000000"/>
          <w:sz w:val="24"/>
          <w:szCs w:val="24"/>
          <w:u w:color="000000"/>
        </w:rPr>
        <w:t>The warrant types interact differently with each interpretation. An EMPIRICAL_COVARIANCE warrant (observed correlation between windows and mood) supports Interpretation 3 strongly but Interpretation 1 weakly, because the correlation might be confounded. An architect who trusts the correlation and installs larger windows might be disappointed if the real driver is something else (e.g., buildings with large windows tend to be newer, and newer buildings have better HVAC, and better HVAC improves mood). The EMPIRICAL_COVARIANCE warrant does not tell you whether the correlation survives intervention. A MECHANISM warrant does — if you understand the causal pathway (light → retina → serotonin → mood), you know that intervening on light should produce the effect, regardless of HVAC.</w:t>
      </w:r>
    </w:p>
    <w:p w14:paraId="59EDD178" w14:textId="77777777" w:rsidR="00AA670C" w:rsidRDefault="00000000">
      <w:pPr>
        <w:pStyle w:val="Heading2"/>
        <w:spacing w:after="150"/>
      </w:pPr>
      <w:r>
        <w:rPr>
          <w:b/>
          <w:bCs/>
          <w:sz w:val="56"/>
          <w:szCs w:val="56"/>
        </w:rPr>
        <w:lastRenderedPageBreak/>
        <w:t>3.3 Our Recommendation: Commit to Interventionism as Primary Semantics</w:t>
      </w:r>
    </w:p>
    <w:p w14:paraId="1389D6E4" w14:textId="77777777" w:rsidR="00AA670C" w:rsidRDefault="00000000">
      <w:pPr>
        <w:pStyle w:val="Heading2"/>
        <w:spacing w:after="150"/>
      </w:pPr>
      <w:r>
        <w:rPr>
          <w:color w:val="000000"/>
          <w:sz w:val="24"/>
          <w:szCs w:val="24"/>
          <w:u w:color="000000"/>
        </w:rPr>
        <w:t>We recommend committing to Woodward's interventionism as the primary causal semantics for the CMR system, while acknowledging Cartwright's capacity interpretation as a complementary lens for assessing context-robustness.</w:t>
      </w:r>
    </w:p>
    <w:p w14:paraId="2A05AAB1" w14:textId="77777777" w:rsidR="00AA670C" w:rsidRDefault="00AA670C">
      <w:pPr>
        <w:pStyle w:val="Heading2"/>
        <w:spacing w:after="150"/>
      </w:pPr>
    </w:p>
    <w:p w14:paraId="3672152E" w14:textId="77777777" w:rsidR="00AA670C" w:rsidRDefault="00000000">
      <w:pPr>
        <w:pStyle w:val="Heading2"/>
        <w:spacing w:after="150"/>
      </w:pPr>
      <w:r>
        <w:rPr>
          <w:color w:val="000000"/>
          <w:sz w:val="24"/>
          <w:szCs w:val="24"/>
          <w:u w:color="000000"/>
        </w:rPr>
        <w:t>There are three reasons for this recommendation.</w:t>
      </w:r>
    </w:p>
    <w:p w14:paraId="51A3471F" w14:textId="77777777" w:rsidR="00AA670C" w:rsidRDefault="00AA670C">
      <w:pPr>
        <w:pStyle w:val="Heading2"/>
        <w:spacing w:after="150"/>
      </w:pPr>
    </w:p>
    <w:p w14:paraId="7FEC600D" w14:textId="77777777" w:rsidR="00AA670C" w:rsidRDefault="00000000">
      <w:pPr>
        <w:pStyle w:val="Heading2"/>
        <w:spacing w:after="150"/>
      </w:pPr>
      <w:r>
        <w:rPr>
          <w:color w:val="000000"/>
          <w:sz w:val="24"/>
          <w:szCs w:val="24"/>
          <w:u w:color="000000"/>
        </w:rPr>
        <w:t xml:space="preserve">First, the ATLAS system already uses do-calculus (Pearl, 2009) for causal inference within the Bayesian Network layer. Do-calculus is the computational realization of interventionist semantics: the operation </w:t>
      </w:r>
      <w:proofErr w:type="gramStart"/>
      <w:r>
        <w:rPr>
          <w:color w:val="000000"/>
          <w:sz w:val="24"/>
          <w:szCs w:val="24"/>
          <w:u w:color="000000"/>
        </w:rPr>
        <w:t>do(</w:t>
      </w:r>
      <w:proofErr w:type="gramEnd"/>
      <w:r>
        <w:rPr>
          <w:color w:val="000000"/>
          <w:sz w:val="24"/>
          <w:szCs w:val="24"/>
          <w:u w:color="000000"/>
        </w:rPr>
        <w:t>X = x) means "intervene to set variable X to value x, regardless of what X's usual causes would produce." Since the system already computes interventionist quantities, the semantics should match the computation. Using a capacity semantics for the EWG and an interventionist semantics for the BN would create a mismatch between what the system means and what it computes.</w:t>
      </w:r>
    </w:p>
    <w:p w14:paraId="2A2DD33A" w14:textId="77777777" w:rsidR="00AA670C" w:rsidRDefault="00AA670C">
      <w:pPr>
        <w:pStyle w:val="Heading2"/>
        <w:spacing w:after="150"/>
      </w:pPr>
    </w:p>
    <w:p w14:paraId="3B0D1F54" w14:textId="77777777" w:rsidR="00AA670C" w:rsidRDefault="00000000">
      <w:pPr>
        <w:pStyle w:val="Heading2"/>
        <w:spacing w:after="150"/>
      </w:pPr>
      <w:r>
        <w:rPr>
          <w:color w:val="000000"/>
          <w:sz w:val="24"/>
          <w:szCs w:val="24"/>
          <w:u w:color="000000"/>
        </w:rPr>
        <w:t>Second, interventionism provides the clearest operationalization for the warrant types. Under interventionism, each warrant type can be evaluated by asking: does this evidence tell us what would happen if we intervened? This question has a clear answer for each type:</w:t>
      </w:r>
    </w:p>
    <w:p w14:paraId="0177A965" w14:textId="77777777" w:rsidR="00AA670C" w:rsidRDefault="00AA670C">
      <w:pPr>
        <w:pStyle w:val="Heading2"/>
        <w:spacing w:after="150"/>
      </w:pPr>
    </w:p>
    <w:p w14:paraId="66AA2CEE" w14:textId="77777777" w:rsidR="00AA670C" w:rsidRDefault="00000000">
      <w:pPr>
        <w:pStyle w:val="Heading2"/>
        <w:spacing w:after="150"/>
      </w:pPr>
      <w:r>
        <w:rPr>
          <w:color w:val="000000"/>
          <w:sz w:val="24"/>
          <w:szCs w:val="24"/>
          <w:u w:color="000000"/>
        </w:rPr>
        <w:t>CONSTITUTIVE warrants establish definitional links. Daylight at the retina just IS retinal illumination. There is no "intervention" question here — the link is constitutive, not causal in the interventionist sense. But constitutive links are structurally necessary: you cannot intervene on daylight without also intervening on retinal illumination (they are the same thing). So CONSTITUTIVE warrants constrain the space of possible interventions.</w:t>
      </w:r>
    </w:p>
    <w:p w14:paraId="298A8ADE" w14:textId="77777777" w:rsidR="00AA670C" w:rsidRDefault="00AA670C">
      <w:pPr>
        <w:pStyle w:val="Heading2"/>
        <w:spacing w:after="150"/>
      </w:pPr>
    </w:p>
    <w:p w14:paraId="42FE34E0" w14:textId="77777777" w:rsidR="00AA670C" w:rsidRDefault="00000000">
      <w:pPr>
        <w:pStyle w:val="Heading2"/>
        <w:spacing w:after="150"/>
      </w:pPr>
      <w:r>
        <w:rPr>
          <w:color w:val="000000"/>
          <w:sz w:val="24"/>
          <w:szCs w:val="24"/>
          <w:u w:color="000000"/>
        </w:rPr>
        <w:t xml:space="preserve">MECHANISM warrants provide evidence about the causal process that would be disrupted or activated by intervention. If you know the pathway (light → </w:t>
      </w:r>
      <w:proofErr w:type="spellStart"/>
      <w:r>
        <w:rPr>
          <w:color w:val="000000"/>
          <w:sz w:val="24"/>
          <w:szCs w:val="24"/>
          <w:u w:color="000000"/>
          <w:lang w:val="it-IT"/>
        </w:rPr>
        <w:t>retinal</w:t>
      </w:r>
      <w:proofErr w:type="spellEnd"/>
      <w:r>
        <w:rPr>
          <w:color w:val="000000"/>
          <w:sz w:val="24"/>
          <w:szCs w:val="24"/>
          <w:u w:color="000000"/>
          <w:lang w:val="it-IT"/>
        </w:rPr>
        <w:t xml:space="preserve"> </w:t>
      </w:r>
      <w:proofErr w:type="spellStart"/>
      <w:r>
        <w:rPr>
          <w:color w:val="000000"/>
          <w:sz w:val="24"/>
          <w:szCs w:val="24"/>
          <w:u w:color="000000"/>
          <w:lang w:val="it-IT"/>
        </w:rPr>
        <w:t>ganglion</w:t>
      </w:r>
      <w:proofErr w:type="spellEnd"/>
      <w:r>
        <w:rPr>
          <w:color w:val="000000"/>
          <w:sz w:val="24"/>
          <w:szCs w:val="24"/>
          <w:u w:color="000000"/>
          <w:lang w:val="it-IT"/>
        </w:rPr>
        <w:t xml:space="preserve"> </w:t>
      </w:r>
      <w:proofErr w:type="spellStart"/>
      <w:r>
        <w:rPr>
          <w:color w:val="000000"/>
          <w:sz w:val="24"/>
          <w:szCs w:val="24"/>
          <w:u w:color="000000"/>
          <w:lang w:val="it-IT"/>
        </w:rPr>
        <w:t>cells</w:t>
      </w:r>
      <w:proofErr w:type="spellEnd"/>
      <w:r>
        <w:rPr>
          <w:color w:val="000000"/>
          <w:sz w:val="24"/>
          <w:szCs w:val="24"/>
          <w:u w:color="000000"/>
          <w:lang w:val="it-IT"/>
        </w:rPr>
        <w:t xml:space="preserve"> </w:t>
      </w:r>
      <w:r>
        <w:rPr>
          <w:color w:val="000000"/>
          <w:sz w:val="24"/>
          <w:szCs w:val="24"/>
          <w:u w:color="000000"/>
        </w:rPr>
        <w:t xml:space="preserve">→ </w:t>
      </w:r>
      <w:proofErr w:type="spellStart"/>
      <w:r>
        <w:rPr>
          <w:color w:val="000000"/>
          <w:sz w:val="24"/>
          <w:szCs w:val="24"/>
          <w:u w:color="000000"/>
          <w:lang w:val="it-IT"/>
        </w:rPr>
        <w:t>raphe</w:t>
      </w:r>
      <w:proofErr w:type="spellEnd"/>
      <w:r>
        <w:rPr>
          <w:color w:val="000000"/>
          <w:sz w:val="24"/>
          <w:szCs w:val="24"/>
          <w:u w:color="000000"/>
          <w:lang w:val="it-IT"/>
        </w:rPr>
        <w:t xml:space="preserve"> nuclei </w:t>
      </w:r>
      <w:r>
        <w:rPr>
          <w:color w:val="000000"/>
          <w:sz w:val="24"/>
          <w:szCs w:val="24"/>
          <w:u w:color="000000"/>
        </w:rPr>
        <w:t>→ serotonin), you know that intervening to block the light would disrupt serotonin production, and intervening to increase the light would enhance it. MECHANISM warrants directly support interventionist claims because they tell you what happens when you intervene on specific links in the chain. This is why MECHANISM warrants have a moderately high discount factor (0.80) — they provide strong, though not conclusive, evidence about intervention outcomes.</w:t>
      </w:r>
    </w:p>
    <w:p w14:paraId="2D3F4121" w14:textId="77777777" w:rsidR="00AA670C" w:rsidRDefault="00AA670C">
      <w:pPr>
        <w:pStyle w:val="Heading2"/>
        <w:spacing w:after="150"/>
      </w:pPr>
    </w:p>
    <w:p w14:paraId="6EB25AF7" w14:textId="77777777" w:rsidR="00AA670C" w:rsidRDefault="00000000">
      <w:pPr>
        <w:pStyle w:val="Heading2"/>
        <w:spacing w:after="150"/>
      </w:pPr>
      <w:r>
        <w:rPr>
          <w:color w:val="000000"/>
          <w:sz w:val="24"/>
          <w:szCs w:val="24"/>
          <w:u w:color="000000"/>
        </w:rPr>
        <w:t xml:space="preserve">EMPIRICAL_COVARIANCE warrants provide observational evidence that is consistent with but does not establish causal claims. The correlation between windows and mood might be causal (windows → light → serotonin → mood) or confounded (newer buildings have </w:t>
      </w:r>
      <w:r>
        <w:rPr>
          <w:color w:val="000000"/>
          <w:sz w:val="24"/>
          <w:szCs w:val="24"/>
          <w:u w:color="000000"/>
        </w:rPr>
        <w:lastRenderedPageBreak/>
        <w:t>both bigger windows and better HVAC). Observational evidence alone cannot distinguish these cases (unless supplemented by methods that control for confounders, such as instrumental variables or natural experiments). This is why EMPIRICAL_COVARIANCE warrants, despite having the same prior as MECHANISM warrants, carry a different interpretation: they tell you that a relationship exists but not necessarily that intervention would reproduce it.</w:t>
      </w:r>
    </w:p>
    <w:p w14:paraId="4B58969D" w14:textId="77777777" w:rsidR="00AA670C" w:rsidRDefault="00AA670C">
      <w:pPr>
        <w:pStyle w:val="Heading2"/>
        <w:spacing w:after="150"/>
      </w:pPr>
    </w:p>
    <w:p w14:paraId="2096D9A2" w14:textId="77777777" w:rsidR="00AA670C" w:rsidRDefault="00000000">
      <w:pPr>
        <w:pStyle w:val="Heading2"/>
        <w:spacing w:after="150"/>
      </w:pPr>
      <w:r>
        <w:rPr>
          <w:color w:val="000000"/>
          <w:sz w:val="24"/>
          <w:szCs w:val="24"/>
          <w:u w:color="000000"/>
        </w:rPr>
        <w:t>FUNCTIONAL warrants tell you that an architectural feature serves the same role as a laboratory stimulus, but without specifying the mechanism. For example, plants in offices reduce stress — multiple studies confirm this — but whether the pathway involves visual complexity reduction, air-quality improvement, biophilic signaling, or attention mediation is unknown. From an interventionist standpoint, FUNCTIONAL warrants tell you that something is working but not what to intervene on if you want to enhance or disrupt the effect.</w:t>
      </w:r>
    </w:p>
    <w:p w14:paraId="5627D219" w14:textId="77777777" w:rsidR="00AA670C" w:rsidRDefault="00AA670C">
      <w:pPr>
        <w:pStyle w:val="Heading2"/>
        <w:spacing w:after="150"/>
      </w:pPr>
    </w:p>
    <w:p w14:paraId="50B3F667" w14:textId="77777777" w:rsidR="00AA670C" w:rsidRDefault="00000000">
      <w:pPr>
        <w:pStyle w:val="Heading2"/>
        <w:spacing w:after="150"/>
      </w:pPr>
      <w:r>
        <w:rPr>
          <w:color w:val="000000"/>
          <w:sz w:val="24"/>
          <w:szCs w:val="24"/>
          <w:u w:color="000000"/>
        </w:rPr>
        <w:t xml:space="preserve">CAPACITY warrants tell you that the neural system CAN respond to the architectural </w:t>
      </w:r>
      <w:proofErr w:type="gramStart"/>
      <w:r>
        <w:rPr>
          <w:color w:val="000000"/>
          <w:sz w:val="24"/>
          <w:szCs w:val="24"/>
          <w:u w:color="000000"/>
        </w:rPr>
        <w:t>feature, but</w:t>
      </w:r>
      <w:proofErr w:type="gramEnd"/>
      <w:r>
        <w:rPr>
          <w:color w:val="000000"/>
          <w:sz w:val="24"/>
          <w:szCs w:val="24"/>
          <w:u w:color="000000"/>
        </w:rPr>
        <w:t xml:space="preserve"> has not been shown to respond under real-world conditions. The visual system can detect fractal patterns; building facades contain fractal patterns; but nobody has measured fractal-processing neural activity during actual building viewing. From an interventionist standpoint, CAPACITY warrants provide the weakest form of causal evidence: the mechanism exists in principle but has not been demonstrated in practice.</w:t>
      </w:r>
    </w:p>
    <w:p w14:paraId="2300A7C9" w14:textId="77777777" w:rsidR="00AA670C" w:rsidRDefault="00AA670C">
      <w:pPr>
        <w:pStyle w:val="Heading2"/>
        <w:spacing w:after="150"/>
      </w:pPr>
    </w:p>
    <w:p w14:paraId="6B317FBE" w14:textId="77777777" w:rsidR="00AA670C" w:rsidRDefault="00000000">
      <w:pPr>
        <w:pStyle w:val="Heading2"/>
        <w:spacing w:after="150"/>
      </w:pPr>
      <w:r>
        <w:rPr>
          <w:color w:val="000000"/>
          <w:sz w:val="24"/>
          <w:szCs w:val="24"/>
          <w:u w:color="000000"/>
        </w:rPr>
        <w:t>ANALOGICAL warrants provide transfer from a domain where intervention has been performed to a domain where it has not. The auditory groove response to syncopated rhythm has been studied experimentally; visual rhythm in building facades has not. The analogy suggests that visual rhythm might produce a similar response, but the analogy could break down for many reasons (different sensory modalities, different temporal scales, different attentional demands). From an interventionist standpoint, ANALOGICAL warrants provide defeasible evidence about intervention outcomes, contingent on the structural validity of the analogy.</w:t>
      </w:r>
    </w:p>
    <w:p w14:paraId="64FE7EED" w14:textId="77777777" w:rsidR="00AA670C" w:rsidRDefault="00AA670C">
      <w:pPr>
        <w:pStyle w:val="Heading2"/>
        <w:spacing w:after="150"/>
      </w:pPr>
    </w:p>
    <w:p w14:paraId="12584150" w14:textId="77777777" w:rsidR="00AA670C" w:rsidRDefault="00000000">
      <w:pPr>
        <w:pStyle w:val="Heading2"/>
        <w:spacing w:after="150"/>
      </w:pPr>
      <w:r>
        <w:rPr>
          <w:color w:val="000000"/>
          <w:sz w:val="24"/>
          <w:szCs w:val="24"/>
          <w:u w:color="000000"/>
        </w:rPr>
        <w:t>THEORETICAL_DEFAULT warrants are explicit placeholders. They represent theoretical commitments rather than empirical evidence. From an interventionist standpoint, they provide no evidence whatsoever about intervention outcomes — they are assumptions to be tested, not evidence to be relied upon.</w:t>
      </w:r>
    </w:p>
    <w:p w14:paraId="5ECE4D29" w14:textId="77777777" w:rsidR="00AA670C" w:rsidRDefault="00AA670C">
      <w:pPr>
        <w:pStyle w:val="Heading2"/>
        <w:spacing w:after="150"/>
      </w:pPr>
    </w:p>
    <w:p w14:paraId="2B731974" w14:textId="77777777" w:rsidR="00AA670C" w:rsidRDefault="00000000">
      <w:pPr>
        <w:pStyle w:val="Heading2"/>
        <w:spacing w:after="150"/>
      </w:pPr>
      <w:r>
        <w:rPr>
          <w:color w:val="000000"/>
          <w:sz w:val="24"/>
          <w:szCs w:val="24"/>
          <w:u w:color="000000"/>
        </w:rPr>
        <w:t>Third, Cartwright's capacity framework can be incorporated as a meta-level interpretation. Cartwright's key insight is that causal capacities are context-dependent: a mechanism that operates in one context (the laboratory) may fail in another (a real building). This does not contradict interventionism — it supplements it. We can say: under our interventionist semantics, a causal claim is a claim about what would happen if you intervened. Under Cartwright's lens, the question is whether that interventionist claim generalizes to new contexts.</w:t>
      </w:r>
    </w:p>
    <w:p w14:paraId="79A43EC5" w14:textId="77777777" w:rsidR="00AA670C" w:rsidRDefault="00AA670C">
      <w:pPr>
        <w:pStyle w:val="Heading2"/>
        <w:spacing w:after="150"/>
      </w:pPr>
    </w:p>
    <w:p w14:paraId="2D08FE48" w14:textId="77777777" w:rsidR="00AA670C" w:rsidRDefault="00000000">
      <w:pPr>
        <w:pStyle w:val="Heading2"/>
        <w:spacing w:after="150"/>
      </w:pPr>
      <w:r>
        <w:rPr>
          <w:color w:val="000000"/>
          <w:sz w:val="24"/>
          <w:szCs w:val="24"/>
          <w:u w:color="000000"/>
        </w:rPr>
        <w:lastRenderedPageBreak/>
        <w:t>The warrant types then serve double duty. They provide evidence for the causal claim (interventionism) AND they indicate how context-robust that evidence is (capacity interpretation). MECHANISM warrants suggest understanding of WHY the intervention works, which is evidence for context-robustness — if you know the mechanism, you can predict when it will fail (when one of the links in the chain is disrupted). EMPIRICAL_COVARIANCE warrants provide only observational evidence, which may not transfer across contexts because the confounding structure may differ. ANALOGICAL warrants explicitly acknowledge that the evidence comes from a different context, making context-dependence the central concern.</w:t>
      </w:r>
    </w:p>
    <w:p w14:paraId="4D0FED97" w14:textId="77777777" w:rsidR="00AA670C" w:rsidRDefault="00000000">
      <w:pPr>
        <w:pStyle w:val="Heading2"/>
        <w:spacing w:after="150"/>
      </w:pPr>
      <w:r>
        <w:rPr>
          <w:b/>
          <w:bCs/>
          <w:sz w:val="56"/>
          <w:szCs w:val="56"/>
        </w:rPr>
        <w:t>3.4 Handling Confounding</w:t>
      </w:r>
    </w:p>
    <w:p w14:paraId="771AA719" w14:textId="77777777" w:rsidR="00AA670C" w:rsidRDefault="00000000">
      <w:pPr>
        <w:pStyle w:val="Heading2"/>
        <w:spacing w:after="150"/>
      </w:pPr>
      <w:r>
        <w:rPr>
          <w:color w:val="000000"/>
          <w:sz w:val="24"/>
          <w:szCs w:val="24"/>
          <w:u w:color="000000"/>
        </w:rPr>
        <w:t>Woodward specifically asked about confounding: how does the system handle cases where an observed correlation might not reflect a genuine causal relationship?</w:t>
      </w:r>
    </w:p>
    <w:p w14:paraId="548963D7" w14:textId="77777777" w:rsidR="00AA670C" w:rsidRDefault="00AA670C">
      <w:pPr>
        <w:pStyle w:val="Heading2"/>
        <w:spacing w:after="150"/>
      </w:pPr>
    </w:p>
    <w:p w14:paraId="35C80F64" w14:textId="77777777" w:rsidR="00AA670C" w:rsidRDefault="00000000">
      <w:pPr>
        <w:pStyle w:val="Heading2"/>
        <w:spacing w:after="150"/>
      </w:pPr>
      <w:r>
        <w:rPr>
          <w:color w:val="000000"/>
          <w:sz w:val="24"/>
          <w:szCs w:val="24"/>
          <w:u w:color="000000"/>
        </w:rPr>
        <w:t>The answer connects directly to the warrant types. Confounding is the problem of mistaking correlation for causation. It arises when a third variable (a confounder) causes both the putative cause and the putative effect, creating a spurious association.</w:t>
      </w:r>
    </w:p>
    <w:p w14:paraId="57033276" w14:textId="77777777" w:rsidR="00AA670C" w:rsidRDefault="00AA670C">
      <w:pPr>
        <w:pStyle w:val="Heading2"/>
        <w:spacing w:after="150"/>
      </w:pPr>
    </w:p>
    <w:p w14:paraId="30B3CF7B" w14:textId="77777777" w:rsidR="00AA670C" w:rsidRDefault="00000000">
      <w:pPr>
        <w:pStyle w:val="Heading2"/>
        <w:spacing w:after="150"/>
      </w:pPr>
      <w:r>
        <w:rPr>
          <w:color w:val="000000"/>
          <w:sz w:val="24"/>
          <w:szCs w:val="24"/>
          <w:u w:color="000000"/>
        </w:rPr>
        <w:t>Example: buildings with large windows tend to have happier occupants. But buildings with large windows also tend to be newer, and newer buildings have better HVAC systems, and better HVAC improves occupant comfort. The confounder is building age (or, more precisely, the package of modern building features that correlate with large windows).</w:t>
      </w:r>
    </w:p>
    <w:p w14:paraId="7D2B69C3" w14:textId="77777777" w:rsidR="00AA670C" w:rsidRDefault="00AA670C">
      <w:pPr>
        <w:pStyle w:val="Heading2"/>
        <w:spacing w:after="150"/>
      </w:pPr>
    </w:p>
    <w:p w14:paraId="05855401" w14:textId="77777777" w:rsidR="00AA670C" w:rsidRDefault="00000000">
      <w:pPr>
        <w:pStyle w:val="Heading2"/>
        <w:spacing w:after="150"/>
      </w:pPr>
      <w:r>
        <w:rPr>
          <w:color w:val="000000"/>
          <w:sz w:val="24"/>
          <w:szCs w:val="24"/>
          <w:u w:color="000000"/>
        </w:rPr>
        <w:t>How does CMR handle this? Through the warrant type system:</w:t>
      </w:r>
    </w:p>
    <w:p w14:paraId="66F46F12" w14:textId="77777777" w:rsidR="00AA670C" w:rsidRDefault="00AA670C">
      <w:pPr>
        <w:pStyle w:val="Heading2"/>
        <w:spacing w:after="150"/>
      </w:pPr>
    </w:p>
    <w:p w14:paraId="4A55F508" w14:textId="77777777" w:rsidR="00AA670C" w:rsidRDefault="00000000">
      <w:pPr>
        <w:pStyle w:val="Heading2"/>
        <w:spacing w:after="150"/>
      </w:pPr>
      <w:r>
        <w:rPr>
          <w:color w:val="000000"/>
          <w:sz w:val="24"/>
          <w:szCs w:val="24"/>
          <w:u w:color="000000"/>
        </w:rPr>
        <w:t>EMPIRICAL_COVARIANCE warrants are inherently vulnerable to confounding. The observed correlation between windows and mood could be entirely driven by the confounder (building age/HVAC quality). The discount factor for EMPIRICAL_COVARIANCE (0.80) reflects this: we trust the correlation somewhat, but we know it might not survive intervention.</w:t>
      </w:r>
    </w:p>
    <w:p w14:paraId="5EA61889" w14:textId="77777777" w:rsidR="00AA670C" w:rsidRDefault="00AA670C">
      <w:pPr>
        <w:pStyle w:val="Heading2"/>
        <w:spacing w:after="150"/>
      </w:pPr>
    </w:p>
    <w:p w14:paraId="25081770" w14:textId="77777777" w:rsidR="00AA670C" w:rsidRDefault="00000000">
      <w:pPr>
        <w:pStyle w:val="Heading2"/>
        <w:spacing w:after="150"/>
      </w:pPr>
      <w:r>
        <w:rPr>
          <w:color w:val="000000"/>
          <w:sz w:val="24"/>
          <w:szCs w:val="24"/>
          <w:u w:color="000000"/>
        </w:rPr>
        <w:t>MECHANISM warrants are much less vulnerable to confounding. If we understand the causal pathway (light → retina → serotonin → mood), we know WHY the intervention works, and a confounder (HVAC quality) would have to disrupt this specific pathway to invalidate the claim. Understanding the mechanism provides a kind of "armor" against confounding because you know where the causal action is happening.</w:t>
      </w:r>
    </w:p>
    <w:p w14:paraId="4277EB18" w14:textId="77777777" w:rsidR="00AA670C" w:rsidRDefault="00AA670C">
      <w:pPr>
        <w:pStyle w:val="Heading2"/>
        <w:spacing w:after="150"/>
      </w:pPr>
    </w:p>
    <w:p w14:paraId="0D82D588" w14:textId="77777777" w:rsidR="00AA670C" w:rsidRDefault="00000000">
      <w:pPr>
        <w:pStyle w:val="Heading2"/>
        <w:spacing w:after="150"/>
      </w:pPr>
      <w:r>
        <w:rPr>
          <w:color w:val="000000"/>
          <w:sz w:val="24"/>
          <w:szCs w:val="24"/>
          <w:u w:color="000000"/>
        </w:rPr>
        <w:t>CONSTITUTIVE warrants are not vulnerable to confounding at all. If daylight at the retina IS retinal illumination (by definition), no confounder can make this link spurious.</w:t>
      </w:r>
    </w:p>
    <w:p w14:paraId="6F4685C4" w14:textId="77777777" w:rsidR="00AA670C" w:rsidRDefault="00AA670C">
      <w:pPr>
        <w:pStyle w:val="Heading2"/>
        <w:spacing w:after="150"/>
      </w:pPr>
    </w:p>
    <w:p w14:paraId="7F86955A" w14:textId="77777777" w:rsidR="00AA670C" w:rsidRDefault="00000000">
      <w:pPr>
        <w:pStyle w:val="Heading2"/>
        <w:spacing w:after="150"/>
      </w:pPr>
      <w:r>
        <w:rPr>
          <w:color w:val="000000"/>
          <w:sz w:val="24"/>
          <w:szCs w:val="24"/>
          <w:u w:color="000000"/>
        </w:rPr>
        <w:lastRenderedPageBreak/>
        <w:t>This means that the warrant type system implicitly tracks vulnerability to confounding. Claims supported only by EMPIRICAL_COVARIANCE warrant should be treated with caution (possible confounders), while claims supported by MECHANISM warrant are more robust. And the discount factors reflect this: MECHANISM and EMPIRICAL_COVARIANCE have the same prior (0.60 in the master system), but their epistemic implications are very different, and their vulnerability to confounding is very different. This is one reason the paper argues that warrant types carry information that bare numbers cannot.</w:t>
      </w:r>
    </w:p>
    <w:p w14:paraId="691CA623" w14:textId="77777777" w:rsidR="00AA670C" w:rsidRDefault="00AA670C">
      <w:pPr>
        <w:pStyle w:val="Heading2"/>
        <w:spacing w:after="150"/>
      </w:pPr>
    </w:p>
    <w:p w14:paraId="0B1E8414" w14:textId="77777777" w:rsidR="00AA670C" w:rsidRDefault="00000000">
      <w:pPr>
        <w:pStyle w:val="Heading2"/>
        <w:spacing w:after="150"/>
      </w:pPr>
      <w:r>
        <w:rPr>
          <w:color w:val="000000"/>
          <w:sz w:val="24"/>
          <w:szCs w:val="24"/>
          <w:u w:color="000000"/>
        </w:rPr>
        <w:t>A concrete recommendation for the paper: add a paragraph in §2 explaining how confounding maps onto warrant types. Show that the system does not need a separate "confounding detection" module because the warrant type hierarchy already encodes vulnerability to confounding. This is elegant and connects to Woodward's interventionist program directly.</w:t>
      </w:r>
    </w:p>
    <w:p w14:paraId="2CBDB44E" w14:textId="77777777" w:rsidR="00AA670C" w:rsidRDefault="00000000">
      <w:pPr>
        <w:pStyle w:val="Heading2"/>
        <w:spacing w:after="150"/>
      </w:pPr>
      <w:r>
        <w:rPr>
          <w:b/>
          <w:bCs/>
          <w:sz w:val="56"/>
          <w:szCs w:val="56"/>
        </w:rPr>
        <w:t>3.5 What This Adds to the Paper</w:t>
      </w:r>
    </w:p>
    <w:p w14:paraId="04BAE14B" w14:textId="77777777" w:rsidR="00AA670C" w:rsidRDefault="00000000">
      <w:pPr>
        <w:pStyle w:val="Heading2"/>
        <w:spacing w:after="150"/>
      </w:pPr>
      <w:r>
        <w:rPr>
          <w:color w:val="000000"/>
          <w:sz w:val="24"/>
          <w:szCs w:val="24"/>
          <w:u w:color="000000"/>
        </w:rPr>
        <w:t>We recommend adding a subsection in §2 (or a new §2.1) titled "Causal Semantics of Warrant Types" that:</w:t>
      </w:r>
    </w:p>
    <w:p w14:paraId="10619C44" w14:textId="77777777" w:rsidR="00AA670C" w:rsidRDefault="00AA670C">
      <w:pPr>
        <w:pStyle w:val="Heading2"/>
        <w:spacing w:after="150"/>
      </w:pPr>
    </w:p>
    <w:p w14:paraId="0BB4A204" w14:textId="77777777" w:rsidR="00AA670C" w:rsidRDefault="00000000">
      <w:pPr>
        <w:pStyle w:val="Heading2"/>
        <w:spacing w:after="150"/>
      </w:pPr>
      <w:r>
        <w:rPr>
          <w:color w:val="000000"/>
          <w:sz w:val="24"/>
          <w:szCs w:val="24"/>
          <w:u w:color="000000"/>
        </w:rPr>
        <w:t>- Commits explicitly to interventionism as the primary causal semantics</w:t>
      </w:r>
    </w:p>
    <w:p w14:paraId="2BB8279B" w14:textId="77777777" w:rsidR="00AA670C" w:rsidRDefault="00000000">
      <w:pPr>
        <w:pStyle w:val="Heading2"/>
        <w:spacing w:after="150"/>
      </w:pPr>
      <w:r>
        <w:rPr>
          <w:color w:val="000000"/>
          <w:sz w:val="24"/>
          <w:szCs w:val="24"/>
          <w:u w:color="000000"/>
        </w:rPr>
        <w:t>- Maps each of the seven warrant types to its interventionist evidential status (as described above)</w:t>
      </w:r>
    </w:p>
    <w:p w14:paraId="52D428F8" w14:textId="77777777" w:rsidR="00AA670C" w:rsidRDefault="00000000">
      <w:pPr>
        <w:pStyle w:val="Heading2"/>
        <w:spacing w:after="150"/>
      </w:pPr>
      <w:r>
        <w:rPr>
          <w:color w:val="000000"/>
          <w:sz w:val="24"/>
          <w:szCs w:val="24"/>
          <w:u w:color="000000"/>
        </w:rPr>
        <w:t>- Discusses confounding as a reason for differential discounting of warrant types</w:t>
      </w:r>
    </w:p>
    <w:p w14:paraId="30348CC2" w14:textId="77777777" w:rsidR="00AA670C" w:rsidRDefault="00000000">
      <w:pPr>
        <w:pStyle w:val="Heading2"/>
        <w:spacing w:after="150"/>
      </w:pPr>
      <w:r>
        <w:rPr>
          <w:color w:val="000000"/>
          <w:sz w:val="24"/>
          <w:szCs w:val="24"/>
          <w:u w:color="000000"/>
        </w:rPr>
        <w:t>- Acknowledges Cartwright's capacity interpretation as a complementary framework for assessing whether interventionist claims will generalize to new contexts</w:t>
      </w:r>
    </w:p>
    <w:p w14:paraId="6B08C012" w14:textId="77777777" w:rsidR="00AA670C" w:rsidRDefault="00000000">
      <w:pPr>
        <w:pStyle w:val="Heading2"/>
        <w:spacing w:after="150"/>
      </w:pPr>
      <w:r>
        <w:rPr>
          <w:color w:val="000000"/>
          <w:sz w:val="24"/>
          <w:szCs w:val="24"/>
          <w:u w:color="000000"/>
        </w:rPr>
        <w:t>- Provides worked examples showing how the choice of semantics affects practical recommendations</w:t>
      </w:r>
    </w:p>
    <w:p w14:paraId="49BD6B53" w14:textId="77777777" w:rsidR="00AA670C" w:rsidRDefault="00AA670C">
      <w:pPr>
        <w:pStyle w:val="Heading2"/>
        <w:spacing w:after="150"/>
      </w:pPr>
    </w:p>
    <w:p w14:paraId="02CB2181" w14:textId="77777777" w:rsidR="00AA670C" w:rsidRDefault="00000000">
      <w:pPr>
        <w:pStyle w:val="Heading2"/>
        <w:spacing w:after="150"/>
      </w:pPr>
      <w:r>
        <w:rPr>
          <w:color w:val="000000"/>
          <w:sz w:val="24"/>
          <w:szCs w:val="24"/>
          <w:u w:color="000000"/>
        </w:rPr>
        <w:t>This would be approximately 2 pages and would directly satisfy Woodward's demand for semantic clarity and Cartwright's demand for attention to context-dependence.</w:t>
      </w:r>
    </w:p>
    <w:p w14:paraId="45D0F6E1" w14:textId="77777777" w:rsidR="00AA670C" w:rsidRDefault="00000000">
      <w:pPr>
        <w:pStyle w:val="Heading"/>
        <w:spacing w:after="200"/>
      </w:pPr>
      <w:r>
        <w:rPr>
          <w:b/>
          <w:bCs/>
          <w:sz w:val="64"/>
          <w:szCs w:val="64"/>
        </w:rPr>
        <w:t>4. How the Three Gaps Interconnect</w:t>
      </w:r>
    </w:p>
    <w:p w14:paraId="7C9BE53C" w14:textId="77777777" w:rsidR="00AA670C" w:rsidRDefault="00000000">
      <w:pPr>
        <w:pStyle w:val="Heading"/>
        <w:spacing w:after="200"/>
      </w:pPr>
      <w:r>
        <w:rPr>
          <w:color w:val="000000"/>
          <w:sz w:val="24"/>
          <w:szCs w:val="24"/>
          <w:u w:color="000000"/>
        </w:rPr>
        <w:t>The three gaps are not independent. They form a logical chain that determines the natural order of exposition in the revised paper.</w:t>
      </w:r>
    </w:p>
    <w:p w14:paraId="03B63B4B" w14:textId="77777777" w:rsidR="00AA670C" w:rsidRDefault="00AA670C">
      <w:pPr>
        <w:pStyle w:val="Heading"/>
        <w:spacing w:after="200"/>
      </w:pPr>
    </w:p>
    <w:p w14:paraId="010D4F8B" w14:textId="77777777" w:rsidR="00AA670C" w:rsidRDefault="00000000">
      <w:pPr>
        <w:pStyle w:val="Heading"/>
        <w:spacing w:after="200"/>
      </w:pPr>
      <w:r>
        <w:rPr>
          <w:color w:val="000000"/>
          <w:sz w:val="24"/>
          <w:szCs w:val="24"/>
          <w:u w:color="000000"/>
        </w:rPr>
        <w:t xml:space="preserve">Think of it as building a house. You cannot put up the walls (formal specification) until you have laid the foundation (causal semantics). And you cannot test whether the house is </w:t>
      </w:r>
      <w:r>
        <w:rPr>
          <w:color w:val="000000"/>
          <w:sz w:val="24"/>
          <w:szCs w:val="24"/>
          <w:u w:color="000000"/>
        </w:rPr>
        <w:lastRenderedPageBreak/>
        <w:t xml:space="preserve">structurally sound (empirical validation) until the walls are up. The order is: semantics → formalization → </w:t>
      </w:r>
      <w:proofErr w:type="spellStart"/>
      <w:r>
        <w:rPr>
          <w:color w:val="000000"/>
          <w:sz w:val="24"/>
          <w:szCs w:val="24"/>
          <w:u w:color="000000"/>
          <w:lang w:val="it-IT"/>
        </w:rPr>
        <w:t>validation</w:t>
      </w:r>
      <w:proofErr w:type="spellEnd"/>
      <w:r>
        <w:rPr>
          <w:color w:val="000000"/>
          <w:sz w:val="24"/>
          <w:szCs w:val="24"/>
          <w:u w:color="000000"/>
          <w:lang w:val="it-IT"/>
        </w:rPr>
        <w:t>.</w:t>
      </w:r>
    </w:p>
    <w:p w14:paraId="76B129CF" w14:textId="77777777" w:rsidR="00AA670C" w:rsidRDefault="00AA670C">
      <w:pPr>
        <w:pStyle w:val="Heading"/>
        <w:spacing w:after="200"/>
      </w:pPr>
    </w:p>
    <w:p w14:paraId="059DF1C0" w14:textId="77777777" w:rsidR="00AA670C" w:rsidRDefault="00000000">
      <w:pPr>
        <w:pStyle w:val="Heading"/>
        <w:spacing w:after="200"/>
      </w:pPr>
      <w:r>
        <w:rPr>
          <w:color w:val="000000"/>
          <w:sz w:val="24"/>
          <w:szCs w:val="24"/>
          <w:u w:color="000000"/>
        </w:rPr>
        <w:t>Here is why:</w:t>
      </w:r>
    </w:p>
    <w:p w14:paraId="175001E2" w14:textId="77777777" w:rsidR="00AA670C" w:rsidRDefault="00AA670C">
      <w:pPr>
        <w:pStyle w:val="Heading"/>
        <w:spacing w:after="200"/>
      </w:pPr>
    </w:p>
    <w:p w14:paraId="7364F83E" w14:textId="77777777" w:rsidR="00AA670C" w:rsidRDefault="00000000">
      <w:pPr>
        <w:pStyle w:val="Heading"/>
        <w:spacing w:after="200"/>
      </w:pPr>
      <w:r>
        <w:rPr>
          <w:color w:val="000000"/>
          <w:sz w:val="24"/>
          <w:szCs w:val="24"/>
          <w:u w:color="000000"/>
        </w:rPr>
        <w:t>The formal specification (Gap 1) requires a causal semantics (Gap 3). The projection function π maps from epistemic uncertainty to aleatory uncertainty. But what does "epistemic uncertainty about a causal claim" mean? That depends on what a causal claim IS. If causation is interventionist, then epistemic uncertainty is uncertainty about what would happen under intervention. If causation is about capacities, then epistemic uncertainty is uncertainty about whether a capacity exists. The formal definition of π — what it preserves, what it discards — depends on which semantics you choose.</w:t>
      </w:r>
    </w:p>
    <w:p w14:paraId="039444C2" w14:textId="77777777" w:rsidR="00AA670C" w:rsidRDefault="00AA670C">
      <w:pPr>
        <w:pStyle w:val="Heading"/>
        <w:spacing w:after="200"/>
      </w:pPr>
    </w:p>
    <w:p w14:paraId="6A1E7F0C" w14:textId="77777777" w:rsidR="00AA670C" w:rsidRDefault="00000000">
      <w:pPr>
        <w:pStyle w:val="Heading"/>
        <w:spacing w:after="200"/>
      </w:pPr>
      <w:r>
        <w:rPr>
          <w:color w:val="000000"/>
          <w:sz w:val="24"/>
          <w:szCs w:val="24"/>
          <w:u w:color="000000"/>
        </w:rPr>
        <w:t>The empirical validation (Gap 2) requires the formal specification (Gap 1). You cannot calibrate a function you have not defined. If the projection function is informal, there is nothing to test. You need the mathematical definition first, then you can ask: does this specific, well-defined mapping produce calibrated probabilities?</w:t>
      </w:r>
    </w:p>
    <w:p w14:paraId="2EFCCE85" w14:textId="77777777" w:rsidR="00AA670C" w:rsidRDefault="00AA670C">
      <w:pPr>
        <w:pStyle w:val="Heading"/>
        <w:spacing w:after="200"/>
      </w:pPr>
    </w:p>
    <w:p w14:paraId="338B9205" w14:textId="77777777" w:rsidR="00AA670C" w:rsidRDefault="00000000">
      <w:pPr>
        <w:pStyle w:val="Heading"/>
        <w:spacing w:after="200"/>
      </w:pPr>
      <w:r>
        <w:rPr>
          <w:color w:val="000000"/>
          <w:sz w:val="24"/>
          <w:szCs w:val="24"/>
          <w:u w:color="000000"/>
        </w:rPr>
        <w:t>And the semantic clarity (Gap 3) is tested by whether the formally specified, empirically calibrated system produces correct causal inferences (Gap 2). If the system produces well-calibrated predictions but only under the interventionist interpretation, that is evidence for interventionism. If it produces well-calibrated predictions under the capacity interpretation as well, that is evidence that both frameworks are compatible with the system's design.</w:t>
      </w:r>
    </w:p>
    <w:p w14:paraId="0C6D8B28" w14:textId="77777777" w:rsidR="00AA670C" w:rsidRDefault="00AA670C">
      <w:pPr>
        <w:pStyle w:val="Heading"/>
        <w:spacing w:after="200"/>
      </w:pPr>
    </w:p>
    <w:p w14:paraId="61803FFE" w14:textId="77777777" w:rsidR="00AA670C" w:rsidRDefault="00000000">
      <w:pPr>
        <w:pStyle w:val="Heading"/>
        <w:spacing w:after="200"/>
      </w:pPr>
      <w:proofErr w:type="gramStart"/>
      <w:r>
        <w:rPr>
          <w:color w:val="000000"/>
          <w:sz w:val="24"/>
          <w:szCs w:val="24"/>
          <w:u w:color="000000"/>
        </w:rPr>
        <w:t>So</w:t>
      </w:r>
      <w:proofErr w:type="gramEnd"/>
      <w:r>
        <w:rPr>
          <w:color w:val="000000"/>
          <w:sz w:val="24"/>
          <w:szCs w:val="24"/>
          <w:u w:color="000000"/>
        </w:rPr>
        <w:t xml:space="preserve"> the natural order of exposition in the revised paper would be: (3) → (1) → (2). First commit to a causal semantics (add §2.1). Then formally specify the projection function under that semantics (add §3.2 or new §4). Then empirically validate the specified system (add new §5 or §6). Each step builds on the previous one, and the whole package addresses Pearl, </w:t>
      </w:r>
      <w:proofErr w:type="spellStart"/>
      <w:r>
        <w:rPr>
          <w:color w:val="000000"/>
          <w:sz w:val="24"/>
          <w:szCs w:val="24"/>
          <w:u w:color="000000"/>
        </w:rPr>
        <w:t>Saltelli</w:t>
      </w:r>
      <w:proofErr w:type="spellEnd"/>
      <w:r>
        <w:rPr>
          <w:color w:val="000000"/>
          <w:sz w:val="24"/>
          <w:szCs w:val="24"/>
          <w:u w:color="000000"/>
        </w:rPr>
        <w:t>, Woodward, and Cartwright simultaneously.</w:t>
      </w:r>
    </w:p>
    <w:p w14:paraId="1023D189" w14:textId="77777777" w:rsidR="00AA670C" w:rsidRDefault="00AA670C">
      <w:pPr>
        <w:pStyle w:val="Heading"/>
        <w:spacing w:after="200"/>
      </w:pPr>
    </w:p>
    <w:p w14:paraId="492A3B94" w14:textId="77777777" w:rsidR="00AA670C" w:rsidRDefault="00000000">
      <w:pPr>
        <w:pStyle w:val="Heading"/>
        <w:spacing w:after="200"/>
      </w:pPr>
      <w:r>
        <w:rPr>
          <w:color w:val="000000"/>
          <w:sz w:val="24"/>
          <w:szCs w:val="24"/>
          <w:u w:color="000000"/>
        </w:rPr>
        <w:t>The good news is that none of this requires abandoning the paper's core thesis. The dual architecture remains sound. The bridge warrant types remain the right organizational principle. What changes is the depth of justification — we are moving from a suggestive proposal to a rigorously specified, empirically testable, and philosophically grounded system.</w:t>
      </w:r>
    </w:p>
    <w:p w14:paraId="743C6931" w14:textId="77777777" w:rsidR="00AA670C" w:rsidRDefault="00000000">
      <w:pPr>
        <w:pStyle w:val="Heading"/>
        <w:spacing w:after="200"/>
      </w:pPr>
      <w:r>
        <w:rPr>
          <w:b/>
          <w:bCs/>
          <w:sz w:val="64"/>
          <w:szCs w:val="64"/>
        </w:rPr>
        <w:lastRenderedPageBreak/>
        <w:t>5. A Note on Warrant Types: The Canonical Seven-Type System</w:t>
      </w:r>
    </w:p>
    <w:p w14:paraId="4C9C6121" w14:textId="77777777" w:rsidR="00AA670C" w:rsidRDefault="00000000">
      <w:pPr>
        <w:pStyle w:val="Heading"/>
        <w:spacing w:after="200"/>
      </w:pPr>
      <w:r>
        <w:rPr>
          <w:color w:val="000000"/>
          <w:sz w:val="24"/>
          <w:szCs w:val="24"/>
          <w:u w:color="000000"/>
        </w:rPr>
        <w:t xml:space="preserve">For clarity, we here document the full canonical warrant type system used in the CMR system, along with their default priors and evidential interpretations. This corrects an inconsistency in the current draft, where </w:t>
      </w:r>
      <w:proofErr w:type="spellStart"/>
      <w:r>
        <w:rPr>
          <w:color w:val="000000"/>
          <w:sz w:val="24"/>
          <w:szCs w:val="24"/>
          <w:u w:color="000000"/>
        </w:rPr>
        <w:t>the</w:t>
      </w:r>
      <w:proofErr w:type="spellEnd"/>
      <w:r>
        <w:rPr>
          <w:color w:val="000000"/>
          <w:sz w:val="24"/>
          <w:szCs w:val="24"/>
          <w:u w:color="000000"/>
        </w:rPr>
        <w:t xml:space="preserve"> worked example in §3.1 uses an older five-type system (EMPIRICAL, MECHANISM, ANALOGICAL, AUTHORITY, STIPULATIVE) with different numerical values. The canonical system is the seven-type hierarchy described below.</w:t>
      </w:r>
    </w:p>
    <w:p w14:paraId="26471139" w14:textId="77777777" w:rsidR="00AA670C" w:rsidRDefault="00AA670C">
      <w:pPr>
        <w:pStyle w:val="Heading"/>
        <w:spacing w:after="200"/>
      </w:pPr>
    </w:p>
    <w:tbl>
      <w:tblPr>
        <w:tblW w:w="902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05"/>
        <w:gridCol w:w="1804"/>
        <w:gridCol w:w="1803"/>
        <w:gridCol w:w="1804"/>
        <w:gridCol w:w="1804"/>
      </w:tblGrid>
      <w:tr w:rsidR="00AA670C" w14:paraId="7F27363F" w14:textId="77777777">
        <w:trPr>
          <w:trHeight w:val="13800"/>
        </w:trPr>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6C7035" w14:textId="77777777" w:rsidR="00AA670C" w:rsidRDefault="00000000">
            <w:pPr>
              <w:pStyle w:val="Default"/>
              <w:tabs>
                <w:tab w:val="left" w:pos="720"/>
                <w:tab w:val="left" w:pos="1440"/>
              </w:tabs>
            </w:pPr>
            <w:r>
              <w:rPr>
                <w:rFonts w:ascii="Times New Roman" w:hAnsi="Times New Roman"/>
                <w:u w:color="000000"/>
              </w:rPr>
              <w:lastRenderedPageBreak/>
              <w:t>CONSTITUTIVE</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195315" w14:textId="77777777" w:rsidR="00AA670C" w:rsidRDefault="00000000">
            <w:pPr>
              <w:pStyle w:val="Default"/>
              <w:tabs>
                <w:tab w:val="left" w:pos="720"/>
                <w:tab w:val="left" w:pos="1440"/>
              </w:tabs>
            </w:pPr>
            <w:r>
              <w:rPr>
                <w:rFonts w:ascii="Times New Roman" w:hAnsi="Times New Roman"/>
                <w:u w:color="000000"/>
              </w:rPr>
              <w:t>0.75</w:t>
            </w:r>
          </w:p>
        </w:tc>
        <w:tc>
          <w:tcPr>
            <w:tcW w:w="18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951E73" w14:textId="77777777" w:rsidR="00AA670C" w:rsidRDefault="00000000">
            <w:pPr>
              <w:pStyle w:val="Default"/>
              <w:tabs>
                <w:tab w:val="left" w:pos="720"/>
                <w:tab w:val="left" w:pos="1440"/>
              </w:tabs>
            </w:pPr>
            <w:r>
              <w:rPr>
                <w:rFonts w:ascii="Times New Roman" w:hAnsi="Times New Roman"/>
                <w:u w:color="000000"/>
                <w:lang w:val="en-US"/>
              </w:rPr>
              <w:t xml:space="preserve">The architectural feature literally IS the mechanism — </w:t>
            </w:r>
            <w:r>
              <w:rPr>
                <w:rFonts w:ascii="Times New Roman" w:hAnsi="Times New Roman"/>
                <w:u w:color="000000"/>
                <w:lang w:val="pt-PT"/>
              </w:rPr>
              <w:t xml:space="preserve">no </w:t>
            </w:r>
            <w:proofErr w:type="spellStart"/>
            <w:r>
              <w:rPr>
                <w:rFonts w:ascii="Times New Roman" w:hAnsi="Times New Roman"/>
                <w:u w:color="000000"/>
                <w:lang w:val="pt-PT"/>
              </w:rPr>
              <w:t>transfer</w:t>
            </w:r>
            <w:proofErr w:type="spellEnd"/>
            <w:r>
              <w:rPr>
                <w:rFonts w:ascii="Times New Roman" w:hAnsi="Times New Roman"/>
                <w:u w:color="000000"/>
                <w:lang w:val="pt-PT"/>
              </w:rPr>
              <w:t xml:space="preserve"> gap </w:t>
            </w:r>
            <w:proofErr w:type="spellStart"/>
            <w:r>
              <w:rPr>
                <w:rFonts w:ascii="Times New Roman" w:hAnsi="Times New Roman"/>
                <w:u w:color="000000"/>
                <w:lang w:val="pt-PT"/>
              </w:rPr>
              <w:t>exists</w:t>
            </w:r>
            <w:proofErr w:type="spellEnd"/>
            <w:r>
              <w:rPr>
                <w:rFonts w:ascii="Times New Roman" w:hAnsi="Times New Roman"/>
                <w:u w:color="000000"/>
                <w:lang w:val="pt-PT"/>
              </w:rPr>
              <w:t>.</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BE091B" w14:textId="77777777" w:rsidR="00AA670C" w:rsidRDefault="00000000">
            <w:pPr>
              <w:pStyle w:val="Default"/>
              <w:tabs>
                <w:tab w:val="left" w:pos="720"/>
                <w:tab w:val="left" w:pos="1440"/>
              </w:tabs>
            </w:pPr>
            <w:r>
              <w:rPr>
                <w:rFonts w:ascii="Times New Roman" w:hAnsi="Times New Roman"/>
                <w:u w:color="000000"/>
                <w:lang w:val="en-US"/>
              </w:rPr>
              <w:t>Daylight lux at the retina in a lab study vs. daylight lux at the retina through an actual window — same variable, same measurement.</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7016CA" w14:textId="77777777" w:rsidR="00AA670C" w:rsidRDefault="00000000">
            <w:pPr>
              <w:pStyle w:val="Default"/>
              <w:tabs>
                <w:tab w:val="left" w:pos="720"/>
                <w:tab w:val="left" w:pos="1440"/>
              </w:tabs>
            </w:pPr>
            <w:r>
              <w:rPr>
                <w:rFonts w:ascii="Times New Roman" w:hAnsi="Times New Roman"/>
                <w:u w:color="000000"/>
                <w:lang w:val="en-US"/>
              </w:rPr>
              <w:t xml:space="preserve">Not causal per </w:t>
            </w:r>
            <w:proofErr w:type="gramStart"/>
            <w:r>
              <w:rPr>
                <w:rFonts w:ascii="Times New Roman" w:hAnsi="Times New Roman"/>
                <w:u w:color="000000"/>
                <w:lang w:val="en-US"/>
              </w:rPr>
              <w:t>se, but</w:t>
            </w:r>
            <w:proofErr w:type="gramEnd"/>
            <w:r>
              <w:rPr>
                <w:rFonts w:ascii="Times New Roman" w:hAnsi="Times New Roman"/>
                <w:u w:color="000000"/>
                <w:lang w:val="en-US"/>
              </w:rPr>
              <w:t xml:space="preserve"> constrains the space of possible interventions. If you intervene on daylight, you necessarily intervene on retinal illumination.</w:t>
            </w:r>
          </w:p>
        </w:tc>
      </w:tr>
      <w:tr w:rsidR="00AA670C" w14:paraId="5D1A00AD" w14:textId="77777777">
        <w:trPr>
          <w:trHeight w:val="13800"/>
        </w:trPr>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58FA43" w14:textId="77777777" w:rsidR="00AA670C" w:rsidRDefault="00000000">
            <w:pPr>
              <w:pStyle w:val="Default"/>
              <w:tabs>
                <w:tab w:val="left" w:pos="720"/>
                <w:tab w:val="left" w:pos="1440"/>
              </w:tabs>
            </w:pPr>
            <w:r>
              <w:rPr>
                <w:rFonts w:ascii="Times New Roman" w:hAnsi="Times New Roman"/>
                <w:u w:color="000000"/>
              </w:rPr>
              <w:lastRenderedPageBreak/>
              <w:t>MECHANISM</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859B0E" w14:textId="77777777" w:rsidR="00AA670C" w:rsidRDefault="00000000">
            <w:pPr>
              <w:pStyle w:val="Default"/>
              <w:tabs>
                <w:tab w:val="left" w:pos="720"/>
                <w:tab w:val="left" w:pos="1440"/>
              </w:tabs>
            </w:pPr>
            <w:r>
              <w:rPr>
                <w:rFonts w:ascii="Times New Roman" w:hAnsi="Times New Roman"/>
                <w:u w:color="000000"/>
              </w:rPr>
              <w:t>0.60</w:t>
            </w:r>
          </w:p>
        </w:tc>
        <w:tc>
          <w:tcPr>
            <w:tcW w:w="18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9A4332" w14:textId="77777777" w:rsidR="00AA670C" w:rsidRDefault="00000000">
            <w:pPr>
              <w:pStyle w:val="Default"/>
              <w:tabs>
                <w:tab w:val="left" w:pos="720"/>
                <w:tab w:val="left" w:pos="1440"/>
              </w:tabs>
            </w:pPr>
            <w:r>
              <w:rPr>
                <w:rFonts w:ascii="Times New Roman" w:hAnsi="Times New Roman"/>
                <w:u w:color="000000"/>
                <w:lang w:val="en-US"/>
              </w:rPr>
              <w:t>A complete causal pathway has been traced end-to-end, experimentally tested at each link, though not necessarily in one integrated study.</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10D092" w14:textId="77777777" w:rsidR="00AA670C" w:rsidRDefault="00000000">
            <w:pPr>
              <w:pStyle w:val="Default"/>
              <w:tabs>
                <w:tab w:val="left" w:pos="720"/>
                <w:tab w:val="left" w:pos="1440"/>
              </w:tabs>
            </w:pPr>
            <w:r>
              <w:rPr>
                <w:rFonts w:ascii="Times New Roman" w:hAnsi="Times New Roman"/>
                <w:u w:color="000000"/>
                <w:lang w:val="en-US"/>
              </w:rPr>
              <w:t xml:space="preserve">The pathway daylight </w:t>
            </w:r>
            <w:r>
              <w:rPr>
                <w:rFonts w:ascii="Times New Roman" w:hAnsi="Times New Roman"/>
                <w:u w:color="000000"/>
              </w:rPr>
              <w:t xml:space="preserve">→ </w:t>
            </w:r>
            <w:proofErr w:type="spellStart"/>
            <w:r>
              <w:rPr>
                <w:rFonts w:ascii="Times New Roman" w:hAnsi="Times New Roman"/>
                <w:u w:color="000000"/>
                <w:lang w:val="it-IT"/>
              </w:rPr>
              <w:t>retinal</w:t>
            </w:r>
            <w:proofErr w:type="spellEnd"/>
            <w:r>
              <w:rPr>
                <w:rFonts w:ascii="Times New Roman" w:hAnsi="Times New Roman"/>
                <w:u w:color="000000"/>
                <w:lang w:val="it-IT"/>
              </w:rPr>
              <w:t xml:space="preserve"> </w:t>
            </w:r>
            <w:proofErr w:type="spellStart"/>
            <w:r>
              <w:rPr>
                <w:rFonts w:ascii="Times New Roman" w:hAnsi="Times New Roman"/>
                <w:u w:color="000000"/>
                <w:lang w:val="it-IT"/>
              </w:rPr>
              <w:t>ganglion</w:t>
            </w:r>
            <w:proofErr w:type="spellEnd"/>
            <w:r>
              <w:rPr>
                <w:rFonts w:ascii="Times New Roman" w:hAnsi="Times New Roman"/>
                <w:u w:color="000000"/>
                <w:lang w:val="it-IT"/>
              </w:rPr>
              <w:t xml:space="preserve"> </w:t>
            </w:r>
            <w:proofErr w:type="spellStart"/>
            <w:r>
              <w:rPr>
                <w:rFonts w:ascii="Times New Roman" w:hAnsi="Times New Roman"/>
                <w:u w:color="000000"/>
                <w:lang w:val="it-IT"/>
              </w:rPr>
              <w:t>cells</w:t>
            </w:r>
            <w:proofErr w:type="spellEnd"/>
            <w:r>
              <w:rPr>
                <w:rFonts w:ascii="Times New Roman" w:hAnsi="Times New Roman"/>
                <w:u w:color="000000"/>
                <w:lang w:val="it-IT"/>
              </w:rPr>
              <w:t xml:space="preserve"> </w:t>
            </w:r>
            <w:r>
              <w:rPr>
                <w:rFonts w:ascii="Times New Roman" w:hAnsi="Times New Roman"/>
                <w:u w:color="000000"/>
              </w:rPr>
              <w:t xml:space="preserve">→ </w:t>
            </w:r>
            <w:proofErr w:type="spellStart"/>
            <w:r>
              <w:rPr>
                <w:rFonts w:ascii="Times New Roman" w:hAnsi="Times New Roman"/>
                <w:u w:color="000000"/>
                <w:lang w:val="it-IT"/>
              </w:rPr>
              <w:t>raphe</w:t>
            </w:r>
            <w:proofErr w:type="spellEnd"/>
            <w:r>
              <w:rPr>
                <w:rFonts w:ascii="Times New Roman" w:hAnsi="Times New Roman"/>
                <w:u w:color="000000"/>
                <w:lang w:val="it-IT"/>
              </w:rPr>
              <w:t xml:space="preserve"> nuclei </w:t>
            </w:r>
            <w:r>
              <w:rPr>
                <w:rFonts w:ascii="Times New Roman" w:hAnsi="Times New Roman"/>
                <w:u w:color="000000"/>
              </w:rPr>
              <w:t xml:space="preserve">→ </w:t>
            </w:r>
            <w:r>
              <w:rPr>
                <w:rFonts w:ascii="Times New Roman" w:hAnsi="Times New Roman"/>
                <w:u w:color="000000"/>
                <w:lang w:val="en-US"/>
              </w:rPr>
              <w:t xml:space="preserve">tryptophan hydroxylase </w:t>
            </w:r>
            <w:r>
              <w:rPr>
                <w:rFonts w:ascii="Times New Roman" w:hAnsi="Times New Roman"/>
                <w:u w:color="000000"/>
              </w:rPr>
              <w:t xml:space="preserve">→ </w:t>
            </w:r>
            <w:r>
              <w:rPr>
                <w:rFonts w:ascii="Times New Roman" w:hAnsi="Times New Roman"/>
                <w:u w:color="000000"/>
                <w:lang w:val="en-US"/>
              </w:rPr>
              <w:t>serotonin synthesis, where each link has independent experimental support.</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1E5119" w14:textId="77777777" w:rsidR="00AA670C" w:rsidRDefault="00000000">
            <w:pPr>
              <w:pStyle w:val="Default"/>
              <w:tabs>
                <w:tab w:val="left" w:pos="720"/>
                <w:tab w:val="left" w:pos="1440"/>
              </w:tabs>
            </w:pPr>
            <w:r>
              <w:rPr>
                <w:rFonts w:ascii="Times New Roman" w:hAnsi="Times New Roman"/>
                <w:u w:color="000000"/>
                <w:lang w:val="en-US"/>
              </w:rPr>
              <w:t>Strong support for interventionist claims — understanding the mechanism tells you what would break or activate under intervention.</w:t>
            </w:r>
          </w:p>
        </w:tc>
      </w:tr>
      <w:tr w:rsidR="00AA670C" w14:paraId="641CD17B" w14:textId="77777777">
        <w:trPr>
          <w:trHeight w:val="13800"/>
        </w:trPr>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98C975" w14:textId="77777777" w:rsidR="00AA670C" w:rsidRDefault="00000000">
            <w:pPr>
              <w:pStyle w:val="Default"/>
              <w:tabs>
                <w:tab w:val="left" w:pos="720"/>
                <w:tab w:val="left" w:pos="1440"/>
              </w:tabs>
            </w:pPr>
            <w:r>
              <w:rPr>
                <w:rFonts w:ascii="Times New Roman" w:hAnsi="Times New Roman"/>
                <w:u w:color="000000"/>
                <w:lang w:val="en-US"/>
              </w:rPr>
              <w:lastRenderedPageBreak/>
              <w:t>EMPIRICAL_COVARIANCE</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757AD4" w14:textId="77777777" w:rsidR="00AA670C" w:rsidRDefault="00000000">
            <w:pPr>
              <w:pStyle w:val="Default"/>
              <w:tabs>
                <w:tab w:val="left" w:pos="720"/>
                <w:tab w:val="left" w:pos="1440"/>
              </w:tabs>
            </w:pPr>
            <w:r>
              <w:rPr>
                <w:rFonts w:ascii="Times New Roman" w:hAnsi="Times New Roman"/>
                <w:u w:color="000000"/>
              </w:rPr>
              <w:t>0.60</w:t>
            </w:r>
          </w:p>
        </w:tc>
        <w:tc>
          <w:tcPr>
            <w:tcW w:w="18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F5CB05" w14:textId="77777777" w:rsidR="00AA670C" w:rsidRDefault="00000000">
            <w:pPr>
              <w:pStyle w:val="Default"/>
              <w:tabs>
                <w:tab w:val="left" w:pos="720"/>
                <w:tab w:val="left" w:pos="1440"/>
              </w:tabs>
            </w:pPr>
            <w:r>
              <w:rPr>
                <w:rFonts w:ascii="Times New Roman" w:hAnsi="Times New Roman"/>
                <w:u w:color="000000"/>
                <w:lang w:val="en-US"/>
              </w:rPr>
              <w:t>A robust replicated correlation establishing the input-output relationship without requiring complete mechanistic decomposition.</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7A348B" w14:textId="77777777" w:rsidR="00AA670C" w:rsidRDefault="00000000">
            <w:pPr>
              <w:pStyle w:val="Default"/>
              <w:tabs>
                <w:tab w:val="left" w:pos="720"/>
                <w:tab w:val="left" w:pos="1440"/>
              </w:tabs>
            </w:pPr>
            <w:r>
              <w:rPr>
                <w:rFonts w:ascii="Times New Roman" w:hAnsi="Times New Roman"/>
                <w:u w:color="000000"/>
                <w:lang w:val="en-US"/>
              </w:rPr>
              <w:t>Multiple studies show that people in well-daylit buildings report better mood, without specifying whether the pathway runs through serotonin, circadian entrainment, or some other mechanism.</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3E750A" w14:textId="77777777" w:rsidR="00AA670C" w:rsidRDefault="00000000">
            <w:pPr>
              <w:pStyle w:val="Default"/>
              <w:tabs>
                <w:tab w:val="left" w:pos="720"/>
                <w:tab w:val="left" w:pos="1440"/>
              </w:tabs>
            </w:pPr>
            <w:r>
              <w:rPr>
                <w:rFonts w:ascii="Times New Roman" w:hAnsi="Times New Roman"/>
                <w:u w:color="000000"/>
                <w:lang w:val="it-IT"/>
              </w:rPr>
              <w:t xml:space="preserve">Moderate support </w:t>
            </w:r>
            <w:r>
              <w:rPr>
                <w:rFonts w:ascii="Times New Roman" w:hAnsi="Times New Roman"/>
                <w:u w:color="000000"/>
                <w:lang w:val="en-US"/>
              </w:rPr>
              <w:t>— the correlation is consistent with causation but may reflect confounding. Cannot distinguish causal from spurious association without additional evidence.</w:t>
            </w:r>
          </w:p>
        </w:tc>
      </w:tr>
      <w:tr w:rsidR="00AA670C" w14:paraId="1F499B88" w14:textId="77777777">
        <w:trPr>
          <w:trHeight w:val="13800"/>
        </w:trPr>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9D3526" w14:textId="77777777" w:rsidR="00AA670C" w:rsidRDefault="00000000">
            <w:pPr>
              <w:pStyle w:val="Default"/>
              <w:tabs>
                <w:tab w:val="left" w:pos="720"/>
                <w:tab w:val="left" w:pos="1440"/>
              </w:tabs>
            </w:pPr>
            <w:r>
              <w:rPr>
                <w:rFonts w:ascii="Times New Roman" w:hAnsi="Times New Roman"/>
                <w:u w:color="000000"/>
                <w:lang w:val="en-US"/>
              </w:rPr>
              <w:lastRenderedPageBreak/>
              <w:t>FUNCTIONAL</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0CC7FF" w14:textId="77777777" w:rsidR="00AA670C" w:rsidRDefault="00000000">
            <w:pPr>
              <w:pStyle w:val="Default"/>
              <w:tabs>
                <w:tab w:val="left" w:pos="720"/>
                <w:tab w:val="left" w:pos="1440"/>
              </w:tabs>
            </w:pPr>
            <w:r>
              <w:rPr>
                <w:rFonts w:ascii="Times New Roman" w:hAnsi="Times New Roman"/>
                <w:u w:color="000000"/>
              </w:rPr>
              <w:t>0.50</w:t>
            </w:r>
          </w:p>
        </w:tc>
        <w:tc>
          <w:tcPr>
            <w:tcW w:w="18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616FA3" w14:textId="77777777" w:rsidR="00AA670C" w:rsidRDefault="00000000">
            <w:pPr>
              <w:pStyle w:val="Default"/>
              <w:tabs>
                <w:tab w:val="left" w:pos="720"/>
                <w:tab w:val="left" w:pos="1440"/>
              </w:tabs>
            </w:pPr>
            <w:r>
              <w:rPr>
                <w:rFonts w:ascii="Times New Roman" w:hAnsi="Times New Roman"/>
                <w:u w:color="000000"/>
                <w:lang w:val="en-US"/>
              </w:rPr>
              <w:t>The architectural feature serves the same functional role as the laboratory stimulus, but the underlying mechanism is unspecified.</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046634" w14:textId="77777777" w:rsidR="00AA670C" w:rsidRDefault="00000000">
            <w:pPr>
              <w:pStyle w:val="Default"/>
              <w:tabs>
                <w:tab w:val="left" w:pos="720"/>
                <w:tab w:val="left" w:pos="1440"/>
              </w:tabs>
            </w:pPr>
            <w:r>
              <w:rPr>
                <w:rFonts w:ascii="Times New Roman" w:hAnsi="Times New Roman"/>
                <w:u w:color="000000"/>
                <w:lang w:val="en-US"/>
              </w:rPr>
              <w:t>Plants in offices reduce stress — confirmed across multiple studies — but whether through visual complexity reduction, air-quality improvement, biophilic signaling, or attention mediation remains unknown.</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D1B641" w14:textId="77777777" w:rsidR="00AA670C" w:rsidRDefault="00000000">
            <w:pPr>
              <w:pStyle w:val="Default"/>
              <w:tabs>
                <w:tab w:val="left" w:pos="720"/>
                <w:tab w:val="left" w:pos="1440"/>
              </w:tabs>
            </w:pPr>
            <w:r>
              <w:rPr>
                <w:rFonts w:ascii="Times New Roman" w:hAnsi="Times New Roman"/>
                <w:u w:color="000000"/>
                <w:lang w:val="en-US"/>
              </w:rPr>
              <w:t>Tells you that something works but not what to intervene on to enhance or disrupt the effect.</w:t>
            </w:r>
          </w:p>
        </w:tc>
      </w:tr>
      <w:tr w:rsidR="00AA670C" w14:paraId="78AC4B21" w14:textId="77777777">
        <w:trPr>
          <w:trHeight w:val="13800"/>
        </w:trPr>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E0618F" w14:textId="77777777" w:rsidR="00AA670C" w:rsidRDefault="00000000">
            <w:pPr>
              <w:pStyle w:val="Default"/>
              <w:tabs>
                <w:tab w:val="left" w:pos="720"/>
                <w:tab w:val="left" w:pos="1440"/>
              </w:tabs>
            </w:pPr>
            <w:r>
              <w:rPr>
                <w:rFonts w:ascii="Times New Roman" w:hAnsi="Times New Roman"/>
                <w:u w:color="000000"/>
                <w:lang w:val="en-US"/>
              </w:rPr>
              <w:lastRenderedPageBreak/>
              <w:t>CAPACITY</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0B8AC8" w14:textId="77777777" w:rsidR="00AA670C" w:rsidRDefault="00000000">
            <w:pPr>
              <w:pStyle w:val="Default"/>
              <w:tabs>
                <w:tab w:val="left" w:pos="720"/>
                <w:tab w:val="left" w:pos="1440"/>
              </w:tabs>
            </w:pPr>
            <w:r>
              <w:rPr>
                <w:rFonts w:ascii="Times New Roman" w:hAnsi="Times New Roman"/>
                <w:u w:color="000000"/>
              </w:rPr>
              <w:t>0.45</w:t>
            </w:r>
          </w:p>
        </w:tc>
        <w:tc>
          <w:tcPr>
            <w:tcW w:w="18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D800B6" w14:textId="77777777" w:rsidR="00AA670C" w:rsidRDefault="00000000">
            <w:pPr>
              <w:pStyle w:val="Default"/>
              <w:tabs>
                <w:tab w:val="left" w:pos="720"/>
                <w:tab w:val="left" w:pos="1440"/>
              </w:tabs>
            </w:pPr>
            <w:r>
              <w:rPr>
                <w:rFonts w:ascii="Times New Roman" w:hAnsi="Times New Roman"/>
                <w:u w:color="000000"/>
                <w:lang w:val="en-US"/>
              </w:rPr>
              <w:t>The neural system has the demonstrated capacity to respond to the feature, but no direct evidence of response under architectural conditions exists.</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A008BB" w14:textId="77777777" w:rsidR="00AA670C" w:rsidRDefault="00000000">
            <w:pPr>
              <w:pStyle w:val="Default"/>
              <w:tabs>
                <w:tab w:val="left" w:pos="720"/>
                <w:tab w:val="left" w:pos="1440"/>
              </w:tabs>
            </w:pPr>
            <w:r>
              <w:rPr>
                <w:rFonts w:ascii="Times New Roman" w:hAnsi="Times New Roman"/>
                <w:u w:color="000000"/>
                <w:lang w:val="en-US"/>
              </w:rPr>
              <w:t>The visual system can detect 1/f fractal statistics in natural scenes, and building facades contain fractal statistics, but no study has directly measured fractal-processing neural activity during facade viewing.</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7BB3C4" w14:textId="77777777" w:rsidR="00AA670C" w:rsidRDefault="00000000">
            <w:pPr>
              <w:pStyle w:val="Default"/>
              <w:tabs>
                <w:tab w:val="left" w:pos="720"/>
                <w:tab w:val="left" w:pos="1440"/>
              </w:tabs>
            </w:pPr>
            <w:r>
              <w:rPr>
                <w:rFonts w:ascii="Times New Roman" w:hAnsi="Times New Roman"/>
                <w:u w:color="000000"/>
                <w:lang w:val="en-US"/>
              </w:rPr>
              <w:t>Weak — the mechanism exists in principle but has not been demonstrated in the real-world context where intervention would occur.</w:t>
            </w:r>
          </w:p>
        </w:tc>
      </w:tr>
      <w:tr w:rsidR="00AA670C" w14:paraId="1C89577B" w14:textId="77777777">
        <w:trPr>
          <w:trHeight w:val="13800"/>
        </w:trPr>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CB2488" w14:textId="77777777" w:rsidR="00AA670C" w:rsidRDefault="00000000">
            <w:pPr>
              <w:pStyle w:val="Default"/>
              <w:tabs>
                <w:tab w:val="left" w:pos="720"/>
                <w:tab w:val="left" w:pos="1440"/>
              </w:tabs>
            </w:pPr>
            <w:r>
              <w:rPr>
                <w:rFonts w:ascii="Times New Roman" w:hAnsi="Times New Roman"/>
                <w:u w:color="000000"/>
                <w:lang w:val="es-ES_tradnl"/>
              </w:rPr>
              <w:lastRenderedPageBreak/>
              <w:t>ANALOGICAL</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452C55" w14:textId="77777777" w:rsidR="00AA670C" w:rsidRDefault="00000000">
            <w:pPr>
              <w:pStyle w:val="Default"/>
              <w:tabs>
                <w:tab w:val="left" w:pos="720"/>
                <w:tab w:val="left" w:pos="1440"/>
              </w:tabs>
            </w:pPr>
            <w:r>
              <w:rPr>
                <w:rFonts w:ascii="Times New Roman" w:hAnsi="Times New Roman"/>
                <w:u w:color="000000"/>
              </w:rPr>
              <w:t>0.35</w:t>
            </w:r>
          </w:p>
        </w:tc>
        <w:tc>
          <w:tcPr>
            <w:tcW w:w="18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C271D2" w14:textId="77777777" w:rsidR="00AA670C" w:rsidRDefault="00000000">
            <w:pPr>
              <w:pStyle w:val="Default"/>
              <w:tabs>
                <w:tab w:val="left" w:pos="720"/>
                <w:tab w:val="left" w:pos="1440"/>
              </w:tabs>
            </w:pPr>
            <w:r>
              <w:rPr>
                <w:rFonts w:ascii="Times New Roman" w:hAnsi="Times New Roman"/>
                <w:u w:color="000000"/>
                <w:lang w:val="en-US"/>
              </w:rPr>
              <w:t>The warrant rests on structural analogy alone — a finding in one domain is extrapolated to another without direct evidence.</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95874A" w14:textId="77777777" w:rsidR="00AA670C" w:rsidRDefault="00000000">
            <w:pPr>
              <w:pStyle w:val="Default"/>
              <w:tabs>
                <w:tab w:val="left" w:pos="720"/>
                <w:tab w:val="left" w:pos="1440"/>
              </w:tabs>
            </w:pPr>
            <w:r>
              <w:rPr>
                <w:rFonts w:ascii="Times New Roman" w:hAnsi="Times New Roman"/>
                <w:u w:color="000000"/>
                <w:lang w:val="en-US"/>
              </w:rPr>
              <w:t>The auditory groove response to syncopated rhythms is extrapolated to visual rhythm in building facades. The analogy is suggestive but structurally unvalidated.</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740FA7" w14:textId="77777777" w:rsidR="00AA670C" w:rsidRDefault="00000000">
            <w:pPr>
              <w:pStyle w:val="Default"/>
              <w:tabs>
                <w:tab w:val="left" w:pos="720"/>
                <w:tab w:val="left" w:pos="1440"/>
              </w:tabs>
            </w:pPr>
            <w:r>
              <w:rPr>
                <w:rFonts w:ascii="Times New Roman" w:hAnsi="Times New Roman"/>
                <w:u w:color="000000"/>
                <w:lang w:val="en-US"/>
              </w:rPr>
              <w:t>Defeasible — supports intervention claims only if the analogy is structurally valid, which is uncertain.</w:t>
            </w:r>
          </w:p>
        </w:tc>
      </w:tr>
      <w:tr w:rsidR="00AA670C" w14:paraId="7EEB9833" w14:textId="77777777">
        <w:trPr>
          <w:trHeight w:val="13800"/>
        </w:trPr>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EDCD0B" w14:textId="77777777" w:rsidR="00AA670C" w:rsidRDefault="00000000">
            <w:pPr>
              <w:pStyle w:val="Default"/>
              <w:tabs>
                <w:tab w:val="left" w:pos="720"/>
                <w:tab w:val="left" w:pos="1440"/>
              </w:tabs>
            </w:pPr>
            <w:r>
              <w:rPr>
                <w:rFonts w:ascii="Times New Roman" w:hAnsi="Times New Roman"/>
                <w:u w:color="000000"/>
              </w:rPr>
              <w:lastRenderedPageBreak/>
              <w:t>THEORETICAL_DEFAULT</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E00426" w14:textId="77777777" w:rsidR="00AA670C" w:rsidRDefault="00000000">
            <w:pPr>
              <w:pStyle w:val="Default"/>
              <w:tabs>
                <w:tab w:val="left" w:pos="720"/>
                <w:tab w:val="left" w:pos="1440"/>
              </w:tabs>
            </w:pPr>
            <w:r>
              <w:rPr>
                <w:rFonts w:ascii="Times New Roman" w:hAnsi="Times New Roman"/>
                <w:u w:color="000000"/>
                <w:lang w:val="en-US"/>
              </w:rPr>
              <w:t>below 0.50 (flagged)</w:t>
            </w:r>
          </w:p>
        </w:tc>
        <w:tc>
          <w:tcPr>
            <w:tcW w:w="18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0C07E3" w14:textId="77777777" w:rsidR="00AA670C" w:rsidRDefault="00000000">
            <w:pPr>
              <w:pStyle w:val="Default"/>
              <w:tabs>
                <w:tab w:val="left" w:pos="720"/>
                <w:tab w:val="left" w:pos="1440"/>
              </w:tabs>
            </w:pPr>
            <w:r>
              <w:rPr>
                <w:rFonts w:ascii="Times New Roman" w:hAnsi="Times New Roman"/>
                <w:u w:color="000000"/>
                <w:lang w:val="en-US"/>
              </w:rPr>
              <w:t>An explicit placeholder derived from theoretical commitments rather than empirical evidence. Must carry a flag stating the assumption, its basis, and conditions for revision.</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976063" w14:textId="77777777" w:rsidR="00AA670C" w:rsidRDefault="00000000">
            <w:pPr>
              <w:pStyle w:val="Default"/>
              <w:tabs>
                <w:tab w:val="left" w:pos="720"/>
                <w:tab w:val="left" w:pos="1440"/>
              </w:tabs>
            </w:pPr>
            <w:r>
              <w:rPr>
                <w:rFonts w:ascii="Times New Roman" w:hAnsi="Times New Roman"/>
                <w:u w:color="000000"/>
                <w:lang w:val="en-US"/>
              </w:rPr>
              <w:t>A claim that biophilic design reduces cortisol based solely on evolutionary psychology theory (Wilson, 1984), without any direct empirical test.</w:t>
            </w:r>
          </w:p>
        </w:tc>
        <w:tc>
          <w:tcPr>
            <w:tcW w:w="1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599665" w14:textId="77777777" w:rsidR="00AA670C" w:rsidRDefault="00000000">
            <w:pPr>
              <w:pStyle w:val="Default"/>
              <w:tabs>
                <w:tab w:val="left" w:pos="720"/>
                <w:tab w:val="left" w:pos="1440"/>
              </w:tabs>
            </w:pPr>
            <w:r>
              <w:rPr>
                <w:rFonts w:ascii="Times New Roman" w:hAnsi="Times New Roman"/>
                <w:u w:color="000000"/>
                <w:lang w:val="it-IT"/>
              </w:rPr>
              <w:t xml:space="preserve">None </w:t>
            </w:r>
            <w:r>
              <w:rPr>
                <w:rFonts w:ascii="Times New Roman" w:hAnsi="Times New Roman"/>
                <w:u w:color="000000"/>
                <w:lang w:val="en-US"/>
              </w:rPr>
              <w:t>— provides no evidence about intervention outcomes. Serves as a hypothesis to be tested.</w:t>
            </w:r>
          </w:p>
        </w:tc>
      </w:tr>
    </w:tbl>
    <w:p w14:paraId="2F3AD1DE" w14:textId="77777777" w:rsidR="00AA670C" w:rsidRDefault="00AA670C">
      <w:pPr>
        <w:pStyle w:val="Heading"/>
        <w:widowControl w:val="0"/>
        <w:spacing w:after="200"/>
      </w:pPr>
    </w:p>
    <w:p w14:paraId="7E91F65B" w14:textId="77777777" w:rsidR="00AA670C" w:rsidRDefault="00AA670C">
      <w:pPr>
        <w:pStyle w:val="Heading"/>
        <w:widowControl w:val="0"/>
        <w:spacing w:after="200"/>
      </w:pPr>
    </w:p>
    <w:p w14:paraId="40A4F08D" w14:textId="77777777" w:rsidR="00AA670C" w:rsidRDefault="00000000">
      <w:pPr>
        <w:pStyle w:val="Heading"/>
        <w:widowControl w:val="0"/>
        <w:spacing w:after="200"/>
      </w:pPr>
      <w:r>
        <w:rPr>
          <w:color w:val="000000"/>
          <w:sz w:val="24"/>
          <w:szCs w:val="24"/>
          <w:u w:color="000000"/>
        </w:rPr>
        <w:t>Important enforcement rule: A parameter's confidence score can never exceed the ceiling implied by its bridge warrant type. An ANALOGICAL warrant with confidence 0.65 is flagged as a logical contradiction — the system rejects it. This ceiling constraint ensures that strong claims cannot be made on weak evidence.</w:t>
      </w:r>
    </w:p>
    <w:p w14:paraId="12AD35DB" w14:textId="77777777" w:rsidR="00AA670C" w:rsidRDefault="00000000">
      <w:pPr>
        <w:pStyle w:val="Heading"/>
        <w:spacing w:after="200"/>
      </w:pPr>
      <w:r>
        <w:rPr>
          <w:b/>
          <w:bCs/>
          <w:sz w:val="64"/>
          <w:szCs w:val="64"/>
          <w:lang w:val="fr-FR"/>
        </w:rPr>
        <w:t xml:space="preserve">6. </w:t>
      </w:r>
      <w:proofErr w:type="spellStart"/>
      <w:r>
        <w:rPr>
          <w:b/>
          <w:bCs/>
          <w:sz w:val="64"/>
          <w:szCs w:val="64"/>
          <w:lang w:val="fr-FR"/>
        </w:rPr>
        <w:t>References</w:t>
      </w:r>
      <w:proofErr w:type="spellEnd"/>
    </w:p>
    <w:p w14:paraId="19F7C3DD" w14:textId="77777777" w:rsidR="00AA670C" w:rsidRDefault="00000000">
      <w:pPr>
        <w:pStyle w:val="Heading"/>
        <w:spacing w:after="200"/>
      </w:pPr>
      <w:r>
        <w:rPr>
          <w:color w:val="000000"/>
          <w:sz w:val="24"/>
          <w:szCs w:val="24"/>
          <w:u w:color="000000"/>
          <w:lang w:val="nl-NL"/>
        </w:rPr>
        <w:t xml:space="preserve">Aan het Rot, M., </w:t>
      </w:r>
      <w:proofErr w:type="spellStart"/>
      <w:r>
        <w:rPr>
          <w:color w:val="000000"/>
          <w:sz w:val="24"/>
          <w:szCs w:val="24"/>
          <w:u w:color="000000"/>
          <w:lang w:val="nl-NL"/>
        </w:rPr>
        <w:t>Mathew</w:t>
      </w:r>
      <w:proofErr w:type="spellEnd"/>
      <w:r>
        <w:rPr>
          <w:color w:val="000000"/>
          <w:sz w:val="24"/>
          <w:szCs w:val="24"/>
          <w:u w:color="000000"/>
          <w:lang w:val="nl-NL"/>
        </w:rPr>
        <w:t xml:space="preserve">, S. J., &amp; </w:t>
      </w:r>
      <w:proofErr w:type="spellStart"/>
      <w:r>
        <w:rPr>
          <w:color w:val="000000"/>
          <w:sz w:val="24"/>
          <w:szCs w:val="24"/>
          <w:u w:color="000000"/>
          <w:lang w:val="nl-NL"/>
        </w:rPr>
        <w:t>Bhagwagar</w:t>
      </w:r>
      <w:proofErr w:type="spellEnd"/>
      <w:r>
        <w:rPr>
          <w:color w:val="000000"/>
          <w:sz w:val="24"/>
          <w:szCs w:val="24"/>
          <w:u w:color="000000"/>
          <w:lang w:val="nl-NL"/>
        </w:rPr>
        <w:t xml:space="preserve">, Z. (2009). </w:t>
      </w:r>
      <w:proofErr w:type="spellStart"/>
      <w:r>
        <w:rPr>
          <w:color w:val="000000"/>
          <w:sz w:val="24"/>
          <w:szCs w:val="24"/>
          <w:u w:color="000000"/>
          <w:lang w:val="nl-NL"/>
        </w:rPr>
        <w:t>Neurobiological</w:t>
      </w:r>
      <w:proofErr w:type="spellEnd"/>
      <w:r>
        <w:rPr>
          <w:color w:val="000000"/>
          <w:sz w:val="24"/>
          <w:szCs w:val="24"/>
          <w:u w:color="000000"/>
          <w:lang w:val="nl-NL"/>
        </w:rPr>
        <w:t xml:space="preserve"> </w:t>
      </w:r>
      <w:proofErr w:type="spellStart"/>
      <w:r>
        <w:rPr>
          <w:color w:val="000000"/>
          <w:sz w:val="24"/>
          <w:szCs w:val="24"/>
          <w:u w:color="000000"/>
          <w:lang w:val="nl-NL"/>
        </w:rPr>
        <w:t>mechanisms</w:t>
      </w:r>
      <w:proofErr w:type="spellEnd"/>
      <w:r>
        <w:rPr>
          <w:color w:val="000000"/>
          <w:sz w:val="24"/>
          <w:szCs w:val="24"/>
          <w:u w:color="000000"/>
          <w:lang w:val="nl-NL"/>
        </w:rPr>
        <w:t xml:space="preserve"> in major </w:t>
      </w:r>
      <w:proofErr w:type="spellStart"/>
      <w:r>
        <w:rPr>
          <w:color w:val="000000"/>
          <w:sz w:val="24"/>
          <w:szCs w:val="24"/>
          <w:u w:color="000000"/>
          <w:lang w:val="nl-NL"/>
        </w:rPr>
        <w:t>depressive</w:t>
      </w:r>
      <w:proofErr w:type="spellEnd"/>
      <w:r>
        <w:rPr>
          <w:color w:val="000000"/>
          <w:sz w:val="24"/>
          <w:szCs w:val="24"/>
          <w:u w:color="000000"/>
          <w:lang w:val="nl-NL"/>
        </w:rPr>
        <w:t xml:space="preserve"> disorder. CMAJ, 180(3), 305-313.</w:t>
      </w:r>
    </w:p>
    <w:p w14:paraId="5121BCB1" w14:textId="77777777" w:rsidR="00AA670C" w:rsidRDefault="00000000">
      <w:pPr>
        <w:pStyle w:val="Heading"/>
        <w:spacing w:after="200"/>
      </w:pPr>
      <w:r>
        <w:rPr>
          <w:color w:val="000000"/>
          <w:sz w:val="24"/>
          <w:szCs w:val="24"/>
          <w:u w:color="000000"/>
        </w:rPr>
        <w:t>Beauchemin, K. M., &amp; Hays, P. (1996). Sunny hospital rooms expedite recovery from severe and refractory depressions. Journal of Affective Disorders, 40(1-2), 49-51.</w:t>
      </w:r>
    </w:p>
    <w:p w14:paraId="1650B01D" w14:textId="77777777" w:rsidR="00AA670C" w:rsidRDefault="00000000">
      <w:pPr>
        <w:pStyle w:val="Heading"/>
        <w:spacing w:after="200"/>
      </w:pPr>
      <w:r>
        <w:rPr>
          <w:color w:val="000000"/>
          <w:sz w:val="24"/>
          <w:szCs w:val="24"/>
          <w:u w:color="000000"/>
        </w:rPr>
        <w:t>Beckers, S., &amp; Halpern, J. Y. (2019). Abstracting causal models. Proceedings of the AAAI Conference on Artificial Intelligence, 33, 2678-2685.</w:t>
      </w:r>
    </w:p>
    <w:p w14:paraId="30810BE6" w14:textId="77777777" w:rsidR="00AA670C" w:rsidRDefault="00000000">
      <w:pPr>
        <w:pStyle w:val="Heading"/>
        <w:spacing w:after="200"/>
      </w:pPr>
      <w:r>
        <w:rPr>
          <w:color w:val="000000"/>
          <w:sz w:val="24"/>
          <w:szCs w:val="24"/>
          <w:u w:color="000000"/>
        </w:rPr>
        <w:t>Berridge, K. C., &amp; Robinson, T. E. (1998). What is the role of dopamine in reward: hedonic impact, reward learning, or incentive salience? Brain Research Reviews, 28(3), 309-369.</w:t>
      </w:r>
    </w:p>
    <w:p w14:paraId="61B23558" w14:textId="77777777" w:rsidR="00AA670C" w:rsidRDefault="00000000">
      <w:pPr>
        <w:pStyle w:val="Heading"/>
        <w:spacing w:after="200"/>
      </w:pPr>
      <w:r>
        <w:rPr>
          <w:color w:val="000000"/>
          <w:sz w:val="24"/>
          <w:szCs w:val="24"/>
          <w:u w:color="000000"/>
        </w:rPr>
        <w:t>Borenstein, M., Hedges, L. V., Higgins, J. P. T., &amp; Rothstein, H. R. (2009). Introduction to meta-analysis. John Wiley and Sons.</w:t>
      </w:r>
    </w:p>
    <w:p w14:paraId="0CB5530E" w14:textId="77777777" w:rsidR="00AA670C" w:rsidRDefault="00000000">
      <w:pPr>
        <w:pStyle w:val="Heading"/>
        <w:spacing w:after="200"/>
      </w:pPr>
      <w:r>
        <w:rPr>
          <w:color w:val="000000"/>
          <w:sz w:val="24"/>
          <w:szCs w:val="24"/>
          <w:u w:color="000000"/>
        </w:rPr>
        <w:t>Boubekri, M., Cheung, I. N., Reid, K. J., Wang, C.-H., &amp; Zee, P. C. (2014). Impact of windows and daylight exposure on overall health and sleep quality of office workers. Journal of Clinical Sleep Medicine, 10(6), 603-611.</w:t>
      </w:r>
    </w:p>
    <w:p w14:paraId="233FEAA6" w14:textId="77777777" w:rsidR="00AA670C" w:rsidRDefault="00000000">
      <w:pPr>
        <w:pStyle w:val="Heading"/>
        <w:spacing w:after="200"/>
      </w:pPr>
      <w:r>
        <w:rPr>
          <w:color w:val="000000"/>
          <w:sz w:val="24"/>
          <w:szCs w:val="24"/>
          <w:u w:color="000000"/>
        </w:rPr>
        <w:t>Cartwright, N. (1983). How the laws of physics lie. Oxford University Press.</w:t>
      </w:r>
    </w:p>
    <w:p w14:paraId="66199C5F" w14:textId="77777777" w:rsidR="00AA670C" w:rsidRDefault="00000000">
      <w:pPr>
        <w:pStyle w:val="Heading"/>
        <w:spacing w:after="200"/>
      </w:pPr>
      <w:r>
        <w:rPr>
          <w:color w:val="000000"/>
          <w:sz w:val="24"/>
          <w:szCs w:val="24"/>
          <w:u w:color="000000"/>
        </w:rPr>
        <w:t>Cartwright, N. (1989). Nature's capacities and their measurement. Oxford University Press.</w:t>
      </w:r>
    </w:p>
    <w:p w14:paraId="7F90DFF2" w14:textId="77777777" w:rsidR="00AA670C" w:rsidRDefault="00000000">
      <w:pPr>
        <w:pStyle w:val="Heading"/>
        <w:spacing w:after="200"/>
      </w:pPr>
      <w:r>
        <w:rPr>
          <w:color w:val="000000"/>
          <w:sz w:val="24"/>
          <w:szCs w:val="24"/>
          <w:u w:color="000000"/>
        </w:rPr>
        <w:t>Cartwright, N. (1999). The dappled world: A study of the boundaries of science. Cambridge University Press.</w:t>
      </w:r>
    </w:p>
    <w:p w14:paraId="73EC3548" w14:textId="77777777" w:rsidR="00AA670C" w:rsidRDefault="00000000">
      <w:pPr>
        <w:pStyle w:val="Heading"/>
        <w:spacing w:after="200"/>
      </w:pPr>
      <w:r>
        <w:rPr>
          <w:color w:val="000000"/>
          <w:sz w:val="24"/>
          <w:szCs w:val="24"/>
          <w:u w:color="000000"/>
        </w:rPr>
        <w:t>Cohen, J. (1988). Statistical power analysis for the behavioral sciences (2nd ed.). Lawrence Erlbaum Associates.</w:t>
      </w:r>
    </w:p>
    <w:p w14:paraId="47C4FA6D" w14:textId="77777777" w:rsidR="00AA670C" w:rsidRDefault="00000000">
      <w:pPr>
        <w:pStyle w:val="Heading"/>
        <w:spacing w:after="200"/>
      </w:pPr>
      <w:r>
        <w:rPr>
          <w:color w:val="000000"/>
          <w:sz w:val="24"/>
          <w:szCs w:val="24"/>
          <w:u w:color="000000"/>
        </w:rPr>
        <w:t>Cooke, R. M. (1991). Experts in uncertainty: Opinion and subjective probability in science. Oxford University Press.</w:t>
      </w:r>
    </w:p>
    <w:p w14:paraId="6AC7F765" w14:textId="77777777" w:rsidR="00AA670C" w:rsidRDefault="00000000">
      <w:pPr>
        <w:pStyle w:val="Heading"/>
        <w:spacing w:after="200"/>
      </w:pPr>
      <w:r>
        <w:rPr>
          <w:color w:val="000000"/>
          <w:sz w:val="24"/>
          <w:szCs w:val="24"/>
          <w:u w:color="000000"/>
        </w:rPr>
        <w:t>Craver, C. F. (2007). Explaining the brain: Mechanisms and the mosaic unity of neuroscience. Oxford University Press.</w:t>
      </w:r>
    </w:p>
    <w:p w14:paraId="146AC8B1" w14:textId="77777777" w:rsidR="00AA670C" w:rsidRDefault="00000000">
      <w:pPr>
        <w:pStyle w:val="Heading"/>
        <w:spacing w:after="200"/>
      </w:pPr>
      <w:r>
        <w:rPr>
          <w:color w:val="000000"/>
          <w:sz w:val="24"/>
          <w:szCs w:val="24"/>
          <w:u w:color="000000"/>
        </w:rPr>
        <w:t>Dawid, A. P. (1982). The well-calibrated Bayesian. Journal of the American Statistical Association, 77(379), 605-610.</w:t>
      </w:r>
    </w:p>
    <w:p w14:paraId="5FA1F076" w14:textId="77777777" w:rsidR="00AA670C" w:rsidRDefault="00000000">
      <w:pPr>
        <w:pStyle w:val="Heading"/>
        <w:spacing w:after="200"/>
      </w:pPr>
      <w:r>
        <w:rPr>
          <w:color w:val="000000"/>
          <w:sz w:val="24"/>
          <w:szCs w:val="24"/>
          <w:u w:color="000000"/>
        </w:rPr>
        <w:t xml:space="preserve">Der </w:t>
      </w:r>
      <w:proofErr w:type="spellStart"/>
      <w:r>
        <w:rPr>
          <w:color w:val="000000"/>
          <w:sz w:val="24"/>
          <w:szCs w:val="24"/>
          <w:u w:color="000000"/>
        </w:rPr>
        <w:t>Kiureghian</w:t>
      </w:r>
      <w:proofErr w:type="spellEnd"/>
      <w:r>
        <w:rPr>
          <w:color w:val="000000"/>
          <w:sz w:val="24"/>
          <w:szCs w:val="24"/>
          <w:u w:color="000000"/>
        </w:rPr>
        <w:t>, A., &amp; Ditlevsen, O. (2009). Aleatory or epistemic? Does it matter? Structural Safety, 31(2), 105-112.</w:t>
      </w:r>
    </w:p>
    <w:p w14:paraId="6292C79D" w14:textId="77777777" w:rsidR="00AA670C" w:rsidRDefault="00000000">
      <w:pPr>
        <w:pStyle w:val="Heading"/>
        <w:spacing w:after="200"/>
      </w:pPr>
      <w:r>
        <w:rPr>
          <w:color w:val="000000"/>
          <w:sz w:val="24"/>
          <w:szCs w:val="24"/>
          <w:u w:color="000000"/>
        </w:rPr>
        <w:lastRenderedPageBreak/>
        <w:t>Gneiting, T., &amp; Raftery, A. E. (2007). Strictly proper scoring rules, prediction, and estimation. Journal of the American Statistical Association, 102(477), 359-378.</w:t>
      </w:r>
    </w:p>
    <w:p w14:paraId="3400CFB1" w14:textId="77777777" w:rsidR="00AA670C" w:rsidRDefault="00000000">
      <w:pPr>
        <w:pStyle w:val="Heading"/>
        <w:spacing w:after="200"/>
      </w:pPr>
      <w:r>
        <w:rPr>
          <w:color w:val="000000"/>
          <w:sz w:val="24"/>
          <w:szCs w:val="24"/>
          <w:u w:color="000000"/>
        </w:rPr>
        <w:t>Hacking, I. (1975). The emergence of probability. Cambridge University Press.</w:t>
      </w:r>
    </w:p>
    <w:p w14:paraId="1E2C843B" w14:textId="77777777" w:rsidR="00AA670C" w:rsidRDefault="00000000">
      <w:pPr>
        <w:pStyle w:val="Heading"/>
        <w:spacing w:after="200"/>
      </w:pPr>
      <w:proofErr w:type="spellStart"/>
      <w:r>
        <w:rPr>
          <w:color w:val="000000"/>
          <w:sz w:val="24"/>
          <w:szCs w:val="24"/>
          <w:u w:color="000000"/>
        </w:rPr>
        <w:t>Hagerhall</w:t>
      </w:r>
      <w:proofErr w:type="spellEnd"/>
      <w:r>
        <w:rPr>
          <w:color w:val="000000"/>
          <w:sz w:val="24"/>
          <w:szCs w:val="24"/>
          <w:u w:color="000000"/>
        </w:rPr>
        <w:t>, C. M., Purcell, T., &amp; Taylor, R. (2004). Fractal dimension of landscape silhouette outlines as a predictor of landscape preference. Journal of Environmental Psychology, 24(2), 247-255.</w:t>
      </w:r>
    </w:p>
    <w:p w14:paraId="2CD9977D" w14:textId="77777777" w:rsidR="00AA670C" w:rsidRDefault="00000000">
      <w:pPr>
        <w:pStyle w:val="Heading"/>
        <w:spacing w:after="200"/>
      </w:pPr>
      <w:r>
        <w:rPr>
          <w:color w:val="000000"/>
          <w:sz w:val="24"/>
          <w:szCs w:val="24"/>
          <w:u w:color="000000"/>
        </w:rPr>
        <w:t>Halpern, J. Y. (2003). Reasoning about uncertainty. MIT Press.</w:t>
      </w:r>
    </w:p>
    <w:p w14:paraId="329557E6" w14:textId="77777777" w:rsidR="00AA670C" w:rsidRDefault="00000000">
      <w:pPr>
        <w:pStyle w:val="Heading"/>
        <w:spacing w:after="200"/>
      </w:pPr>
      <w:r>
        <w:rPr>
          <w:color w:val="000000"/>
          <w:sz w:val="24"/>
          <w:szCs w:val="24"/>
          <w:u w:color="000000"/>
        </w:rPr>
        <w:t>Helton, J. C. (1997). Uncertainty and sensitivity analysis in the presence of stochastic and subjective uncertainty. Journal of Statistical Computation and Simulation, 57(1-4), 3-76.</w:t>
      </w:r>
    </w:p>
    <w:p w14:paraId="2659E2F4" w14:textId="77777777" w:rsidR="00AA670C" w:rsidRDefault="00000000">
      <w:pPr>
        <w:pStyle w:val="Heading"/>
        <w:spacing w:after="200"/>
      </w:pPr>
      <w:r>
        <w:rPr>
          <w:color w:val="000000"/>
          <w:sz w:val="24"/>
          <w:szCs w:val="24"/>
          <w:u w:color="000000"/>
        </w:rPr>
        <w:t>Hoffman, F. O., &amp; Hammonds, J. S. (1994). Propagation of uncertainty in risk assessments: The need to distinguish between uncertainty due to lack of knowledge and uncertainty due to variability. Risk Analysis, 14(5), 707-712.</w:t>
      </w:r>
    </w:p>
    <w:p w14:paraId="616480A8" w14:textId="77777777" w:rsidR="00AA670C" w:rsidRDefault="00000000">
      <w:pPr>
        <w:pStyle w:val="Heading"/>
        <w:spacing w:after="200"/>
      </w:pPr>
      <w:r>
        <w:rPr>
          <w:color w:val="000000"/>
          <w:sz w:val="24"/>
          <w:szCs w:val="24"/>
          <w:u w:color="000000"/>
        </w:rPr>
        <w:t>Howard, R. A. (1966). Information value theory. IEEE Transactions on Systems Science and Cybernetics, 2(1), 22-26.</w:t>
      </w:r>
    </w:p>
    <w:p w14:paraId="67A89AF3" w14:textId="77777777" w:rsidR="00AA670C" w:rsidRDefault="00000000">
      <w:pPr>
        <w:pStyle w:val="Heading"/>
        <w:spacing w:after="200"/>
      </w:pPr>
      <w:r>
        <w:rPr>
          <w:color w:val="000000"/>
          <w:sz w:val="24"/>
          <w:szCs w:val="24"/>
          <w:u w:color="000000"/>
        </w:rPr>
        <w:t>Jaynes, E. T. (2003). Probability theory: The logic of science. Cambridge University Press.</w:t>
      </w:r>
    </w:p>
    <w:p w14:paraId="4A4D4806" w14:textId="77777777" w:rsidR="00AA670C" w:rsidRDefault="00000000">
      <w:pPr>
        <w:pStyle w:val="Heading"/>
        <w:spacing w:after="200"/>
      </w:pPr>
      <w:r>
        <w:rPr>
          <w:color w:val="000000"/>
          <w:sz w:val="24"/>
          <w:szCs w:val="24"/>
          <w:u w:color="000000"/>
        </w:rPr>
        <w:t>Kaplan, R., &amp; Kaplan, S. (1989). The experience of nature: A psychological perspective. Cambridge University Press.</w:t>
      </w:r>
    </w:p>
    <w:p w14:paraId="11D0EFAA" w14:textId="77777777" w:rsidR="00AA670C" w:rsidRDefault="00000000">
      <w:pPr>
        <w:pStyle w:val="Heading"/>
        <w:spacing w:after="200"/>
      </w:pPr>
      <w:r>
        <w:rPr>
          <w:color w:val="000000"/>
          <w:sz w:val="24"/>
          <w:szCs w:val="24"/>
          <w:u w:color="000000"/>
        </w:rPr>
        <w:t>Knight, F. H. (1921). Risk, uncertainty, and profit. Houghton Mifflin.</w:t>
      </w:r>
    </w:p>
    <w:p w14:paraId="17870C4D" w14:textId="77777777" w:rsidR="00AA670C" w:rsidRDefault="00000000">
      <w:pPr>
        <w:pStyle w:val="Heading"/>
        <w:spacing w:after="200"/>
      </w:pPr>
      <w:r>
        <w:rPr>
          <w:color w:val="000000"/>
          <w:sz w:val="24"/>
          <w:szCs w:val="24"/>
          <w:u w:color="000000"/>
          <w:lang w:val="de-DE"/>
        </w:rPr>
        <w:t>Kolmogorov, A. N. (1933). Grundbegriffe der Wahrscheinlichkeitsrechnung. Julius Springer.</w:t>
      </w:r>
    </w:p>
    <w:p w14:paraId="32EF9AA6" w14:textId="77777777" w:rsidR="00AA670C" w:rsidRDefault="00000000">
      <w:pPr>
        <w:pStyle w:val="Heading"/>
        <w:spacing w:after="200"/>
      </w:pPr>
      <w:r>
        <w:rPr>
          <w:color w:val="000000"/>
          <w:sz w:val="24"/>
          <w:szCs w:val="24"/>
          <w:u w:color="000000"/>
        </w:rPr>
        <w:t>Lambert, G. W., Reid, C., Kaye, D. M., Jennings, G. L., &amp; Esler, M. D. (2002). Effect of sunlight and season on serotonin turnover in the brain. The Lancet, 360(9348), 1840-1842.</w:t>
      </w:r>
    </w:p>
    <w:p w14:paraId="2D0CA062" w14:textId="77777777" w:rsidR="00AA670C" w:rsidRDefault="00000000">
      <w:pPr>
        <w:pStyle w:val="Heading"/>
        <w:spacing w:after="200"/>
      </w:pPr>
      <w:r>
        <w:rPr>
          <w:color w:val="000000"/>
          <w:sz w:val="24"/>
          <w:szCs w:val="24"/>
          <w:u w:color="000000"/>
        </w:rPr>
        <w:t>Liben-Nowell, D., &amp; Kleinberg, J. (2007). The link-prediction problem for social networks. Journal of the American Society for Information Science and Technology, 58(7), 1019-1031.</w:t>
      </w:r>
    </w:p>
    <w:p w14:paraId="58718D6B" w14:textId="77777777" w:rsidR="00AA670C" w:rsidRDefault="00000000">
      <w:pPr>
        <w:pStyle w:val="Heading"/>
        <w:spacing w:after="200"/>
      </w:pPr>
      <w:r>
        <w:rPr>
          <w:color w:val="000000"/>
          <w:sz w:val="24"/>
          <w:szCs w:val="24"/>
          <w:u w:color="000000"/>
        </w:rPr>
        <w:t>Machamer, P., Darden, L., &amp; Craver, C. F. (2000). Thinking about mechanisms. Philosophy of Science, 67(1), 1-25.</w:t>
      </w:r>
    </w:p>
    <w:p w14:paraId="174B1618" w14:textId="77777777" w:rsidR="00AA670C" w:rsidRDefault="00000000">
      <w:pPr>
        <w:pStyle w:val="Heading"/>
        <w:spacing w:after="200"/>
      </w:pPr>
      <w:r>
        <w:rPr>
          <w:color w:val="000000"/>
          <w:sz w:val="24"/>
          <w:szCs w:val="24"/>
          <w:u w:color="000000"/>
        </w:rPr>
        <w:t>National Research Council. (2009). Assessing the reliability of complex models: Mathematical and statistical foundations of verification, validation, and uncertainty quantification. National Academies Press.</w:t>
      </w:r>
    </w:p>
    <w:p w14:paraId="369B507D" w14:textId="77777777" w:rsidR="00AA670C" w:rsidRDefault="00000000">
      <w:pPr>
        <w:pStyle w:val="Heading"/>
        <w:spacing w:after="200"/>
      </w:pPr>
      <w:r>
        <w:rPr>
          <w:color w:val="000000"/>
          <w:sz w:val="24"/>
          <w:szCs w:val="24"/>
          <w:u w:color="000000"/>
        </w:rPr>
        <w:t>Oberkampf, W. L., Trucano, T. G., &amp; Hirsch, C. (2004). Verification, validation, and predictive capability in computational engineering and physics. Applied Mechanics Reviews, 57(5), 345-384.</w:t>
      </w:r>
    </w:p>
    <w:p w14:paraId="7F6BA6F8" w14:textId="77777777" w:rsidR="00AA670C" w:rsidRDefault="00000000">
      <w:pPr>
        <w:pStyle w:val="Heading"/>
        <w:spacing w:after="200"/>
      </w:pPr>
      <w:r>
        <w:rPr>
          <w:color w:val="000000"/>
          <w:sz w:val="24"/>
          <w:szCs w:val="24"/>
          <w:u w:color="000000"/>
        </w:rPr>
        <w:t>Oreskes, N., Shrader-Frechette, K., &amp; Belitz, K. (1994). Verification, validation, and confirmation of numerical models in the earth sciences. Science, 263(5147), 641-646.</w:t>
      </w:r>
    </w:p>
    <w:p w14:paraId="5FF176F2" w14:textId="77777777" w:rsidR="00AA670C" w:rsidRDefault="00000000">
      <w:pPr>
        <w:pStyle w:val="Heading"/>
        <w:spacing w:after="200"/>
      </w:pPr>
      <w:r>
        <w:rPr>
          <w:color w:val="000000"/>
          <w:sz w:val="24"/>
          <w:szCs w:val="24"/>
          <w:u w:color="000000"/>
        </w:rPr>
        <w:t>Pearl, J. (1988). Probabilistic reasoning in intelligent systems: Networks of plausible inference. Morgan Kaufmann.</w:t>
      </w:r>
    </w:p>
    <w:p w14:paraId="4D6D0FAF" w14:textId="77777777" w:rsidR="00AA670C" w:rsidRDefault="00000000">
      <w:pPr>
        <w:pStyle w:val="Heading"/>
        <w:spacing w:after="200"/>
      </w:pPr>
      <w:r>
        <w:rPr>
          <w:color w:val="000000"/>
          <w:sz w:val="24"/>
          <w:szCs w:val="24"/>
          <w:u w:color="000000"/>
        </w:rPr>
        <w:t>Quine, W. V. O., &amp; Ullian, J. S. (1978). The web of belief (2nd ed.). Random House.</w:t>
      </w:r>
    </w:p>
    <w:p w14:paraId="6BFF8A62" w14:textId="77777777" w:rsidR="00AA670C" w:rsidRDefault="00000000">
      <w:pPr>
        <w:pStyle w:val="Heading"/>
        <w:spacing w:after="200"/>
      </w:pPr>
      <w:r>
        <w:rPr>
          <w:color w:val="000000"/>
          <w:sz w:val="24"/>
          <w:szCs w:val="24"/>
          <w:u w:color="000000"/>
        </w:rPr>
        <w:lastRenderedPageBreak/>
        <w:t>Pearl, J. (2009). Causality: Models, reasoning, and inference (2nd ed.). Cambridge University Press.</w:t>
      </w:r>
    </w:p>
    <w:p w14:paraId="456CBB53" w14:textId="77777777" w:rsidR="00AA670C" w:rsidRDefault="00000000">
      <w:pPr>
        <w:pStyle w:val="Heading"/>
        <w:spacing w:after="200"/>
      </w:pPr>
      <w:r>
        <w:rPr>
          <w:color w:val="000000"/>
          <w:sz w:val="24"/>
          <w:szCs w:val="24"/>
          <w:u w:color="000000"/>
        </w:rPr>
        <w:t>Platt, J. (1999). Probabilistic outputs for support vector machines and comparisons to regularized likelihood methods. In Advances in large margin classifiers (pp. 61-74). MIT Press.</w:t>
      </w:r>
    </w:p>
    <w:p w14:paraId="775B4461" w14:textId="77777777" w:rsidR="00AA670C" w:rsidRDefault="00000000">
      <w:pPr>
        <w:pStyle w:val="Heading"/>
        <w:spacing w:after="200"/>
      </w:pPr>
      <w:proofErr w:type="spellStart"/>
      <w:r>
        <w:rPr>
          <w:color w:val="000000"/>
          <w:sz w:val="24"/>
          <w:szCs w:val="24"/>
          <w:u w:color="000000"/>
        </w:rPr>
        <w:t>Raiffa</w:t>
      </w:r>
      <w:proofErr w:type="spellEnd"/>
      <w:r>
        <w:rPr>
          <w:color w:val="000000"/>
          <w:sz w:val="24"/>
          <w:szCs w:val="24"/>
          <w:u w:color="000000"/>
        </w:rPr>
        <w:t xml:space="preserve">, H., &amp; </w:t>
      </w:r>
      <w:proofErr w:type="spellStart"/>
      <w:r>
        <w:rPr>
          <w:color w:val="000000"/>
          <w:sz w:val="24"/>
          <w:szCs w:val="24"/>
          <w:u w:color="000000"/>
        </w:rPr>
        <w:t>Schlaifer</w:t>
      </w:r>
      <w:proofErr w:type="spellEnd"/>
      <w:r>
        <w:rPr>
          <w:color w:val="000000"/>
          <w:sz w:val="24"/>
          <w:szCs w:val="24"/>
          <w:u w:color="000000"/>
        </w:rPr>
        <w:t>, R. (1961). Applied statistical decision theory. Harvard Business School.</w:t>
      </w:r>
    </w:p>
    <w:p w14:paraId="035B264B" w14:textId="77777777" w:rsidR="00AA670C" w:rsidRDefault="00000000">
      <w:pPr>
        <w:pStyle w:val="Heading"/>
        <w:spacing w:after="200"/>
      </w:pPr>
      <w:r>
        <w:rPr>
          <w:color w:val="000000"/>
          <w:sz w:val="24"/>
          <w:szCs w:val="24"/>
          <w:u w:color="000000"/>
          <w:lang w:val="de-DE"/>
        </w:rPr>
        <w:t xml:space="preserve">Rubenstein, P. K., Weichwald, S., Bongers, S., Mooij, J. M., </w:t>
      </w:r>
      <w:proofErr w:type="spellStart"/>
      <w:r>
        <w:rPr>
          <w:color w:val="000000"/>
          <w:sz w:val="24"/>
          <w:szCs w:val="24"/>
          <w:u w:color="000000"/>
          <w:lang w:val="de-DE"/>
        </w:rPr>
        <w:t>Janzing</w:t>
      </w:r>
      <w:proofErr w:type="spellEnd"/>
      <w:r>
        <w:rPr>
          <w:color w:val="000000"/>
          <w:sz w:val="24"/>
          <w:szCs w:val="24"/>
          <w:u w:color="000000"/>
          <w:lang w:val="de-DE"/>
        </w:rPr>
        <w:t xml:space="preserve">, D., </w:t>
      </w:r>
      <w:proofErr w:type="spellStart"/>
      <w:r>
        <w:rPr>
          <w:color w:val="000000"/>
          <w:sz w:val="24"/>
          <w:szCs w:val="24"/>
          <w:u w:color="000000"/>
          <w:lang w:val="de-DE"/>
        </w:rPr>
        <w:t>Grosse-Wentrup</w:t>
      </w:r>
      <w:proofErr w:type="spellEnd"/>
      <w:r>
        <w:rPr>
          <w:color w:val="000000"/>
          <w:sz w:val="24"/>
          <w:szCs w:val="24"/>
          <w:u w:color="000000"/>
          <w:lang w:val="de-DE"/>
        </w:rPr>
        <w:t xml:space="preserve">, M., &amp; </w:t>
      </w:r>
      <w:proofErr w:type="spellStart"/>
      <w:r>
        <w:rPr>
          <w:color w:val="000000"/>
          <w:sz w:val="24"/>
          <w:szCs w:val="24"/>
          <w:u w:color="000000"/>
          <w:lang w:val="de-DE"/>
        </w:rPr>
        <w:t>Sch</w:t>
      </w:r>
      <w:proofErr w:type="spellEnd"/>
      <w:r>
        <w:rPr>
          <w:color w:val="000000"/>
          <w:sz w:val="24"/>
          <w:szCs w:val="24"/>
          <w:u w:color="000000"/>
          <w:lang w:val="sv-SE"/>
        </w:rPr>
        <w:t>ö</w:t>
      </w:r>
      <w:proofErr w:type="spellStart"/>
      <w:r>
        <w:rPr>
          <w:color w:val="000000"/>
          <w:sz w:val="24"/>
          <w:szCs w:val="24"/>
          <w:u w:color="000000"/>
        </w:rPr>
        <w:t>lkopf</w:t>
      </w:r>
      <w:proofErr w:type="spellEnd"/>
      <w:r>
        <w:rPr>
          <w:color w:val="000000"/>
          <w:sz w:val="24"/>
          <w:szCs w:val="24"/>
          <w:u w:color="000000"/>
        </w:rPr>
        <w:t>, B. (2017). Causal consistency of structural equation models. Proceedings of UAI, 2017.</w:t>
      </w:r>
    </w:p>
    <w:p w14:paraId="5AD8B1AF" w14:textId="77777777" w:rsidR="00AA670C" w:rsidRDefault="00000000">
      <w:pPr>
        <w:pStyle w:val="Heading"/>
        <w:spacing w:after="200"/>
      </w:pPr>
      <w:r>
        <w:rPr>
          <w:color w:val="000000"/>
          <w:sz w:val="24"/>
          <w:szCs w:val="24"/>
          <w:u w:color="000000"/>
        </w:rPr>
        <w:t>Saltelli, A., Annoni, P., Azzini, I., Campolongo, F., Ratto, M., &amp; Tarantola, S. (2010). Variance based sensitivity analysis of model output. Computer Physics Communications, 181(2), 259-270.</w:t>
      </w:r>
    </w:p>
    <w:p w14:paraId="46256762" w14:textId="77777777" w:rsidR="00AA670C" w:rsidRDefault="00000000">
      <w:pPr>
        <w:pStyle w:val="Heading"/>
        <w:spacing w:after="200"/>
      </w:pPr>
      <w:r>
        <w:rPr>
          <w:color w:val="000000"/>
          <w:sz w:val="24"/>
          <w:szCs w:val="24"/>
          <w:u w:color="000000"/>
          <w:lang w:val="it-IT"/>
        </w:rPr>
        <w:t xml:space="preserve">Saltelli, A., Ratto, M., Andres, T., Campolongo, F., Cariboni, J., </w:t>
      </w:r>
      <w:proofErr w:type="spellStart"/>
      <w:r>
        <w:rPr>
          <w:color w:val="000000"/>
          <w:sz w:val="24"/>
          <w:szCs w:val="24"/>
          <w:u w:color="000000"/>
          <w:lang w:val="it-IT"/>
        </w:rPr>
        <w:t>Gatelli</w:t>
      </w:r>
      <w:proofErr w:type="spellEnd"/>
      <w:r>
        <w:rPr>
          <w:color w:val="000000"/>
          <w:sz w:val="24"/>
          <w:szCs w:val="24"/>
          <w:u w:color="000000"/>
          <w:lang w:val="it-IT"/>
        </w:rPr>
        <w:t xml:space="preserve">, D., ... &amp; Tarantola, S. (2008). Global sensitivity </w:t>
      </w:r>
      <w:proofErr w:type="spellStart"/>
      <w:r>
        <w:rPr>
          <w:color w:val="000000"/>
          <w:sz w:val="24"/>
          <w:szCs w:val="24"/>
          <w:u w:color="000000"/>
          <w:lang w:val="it-IT"/>
        </w:rPr>
        <w:t>analysis</w:t>
      </w:r>
      <w:proofErr w:type="spellEnd"/>
      <w:r>
        <w:rPr>
          <w:color w:val="000000"/>
          <w:sz w:val="24"/>
          <w:szCs w:val="24"/>
          <w:u w:color="000000"/>
          <w:lang w:val="it-IT"/>
        </w:rPr>
        <w:t>: The primer. John Wiley and Sons.</w:t>
      </w:r>
    </w:p>
    <w:p w14:paraId="23FBE828" w14:textId="77777777" w:rsidR="00AA670C" w:rsidRDefault="00000000">
      <w:pPr>
        <w:pStyle w:val="Heading"/>
        <w:spacing w:after="200"/>
      </w:pPr>
      <w:r>
        <w:rPr>
          <w:color w:val="000000"/>
          <w:sz w:val="24"/>
          <w:szCs w:val="24"/>
          <w:u w:color="000000"/>
        </w:rPr>
        <w:t>Sobol, I. M. (2001). Global sensitivity indices for nonlinear mathematical models and their Monte Carlo estimates. Mathematics and Computers in Simulation, 55(1-3), 271-280.</w:t>
      </w:r>
    </w:p>
    <w:p w14:paraId="1205F9EF" w14:textId="77777777" w:rsidR="00AA670C" w:rsidRDefault="00000000">
      <w:pPr>
        <w:pStyle w:val="Heading"/>
        <w:spacing w:after="200"/>
      </w:pPr>
      <w:proofErr w:type="spellStart"/>
      <w:r>
        <w:rPr>
          <w:color w:val="000000"/>
          <w:sz w:val="24"/>
          <w:szCs w:val="24"/>
          <w:u w:color="000000"/>
        </w:rPr>
        <w:t>Spirtes</w:t>
      </w:r>
      <w:proofErr w:type="spellEnd"/>
      <w:r>
        <w:rPr>
          <w:color w:val="000000"/>
          <w:sz w:val="24"/>
          <w:szCs w:val="24"/>
          <w:u w:color="000000"/>
        </w:rPr>
        <w:t xml:space="preserve">, P., </w:t>
      </w:r>
      <w:proofErr w:type="spellStart"/>
      <w:r>
        <w:rPr>
          <w:color w:val="000000"/>
          <w:sz w:val="24"/>
          <w:szCs w:val="24"/>
          <w:u w:color="000000"/>
        </w:rPr>
        <w:t>Glymour</w:t>
      </w:r>
      <w:proofErr w:type="spellEnd"/>
      <w:r>
        <w:rPr>
          <w:color w:val="000000"/>
          <w:sz w:val="24"/>
          <w:szCs w:val="24"/>
          <w:u w:color="000000"/>
        </w:rPr>
        <w:t xml:space="preserve">, C., &amp; </w:t>
      </w:r>
      <w:proofErr w:type="spellStart"/>
      <w:r>
        <w:rPr>
          <w:color w:val="000000"/>
          <w:sz w:val="24"/>
          <w:szCs w:val="24"/>
          <w:u w:color="000000"/>
        </w:rPr>
        <w:t>Scheines</w:t>
      </w:r>
      <w:proofErr w:type="spellEnd"/>
      <w:r>
        <w:rPr>
          <w:color w:val="000000"/>
          <w:sz w:val="24"/>
          <w:szCs w:val="24"/>
          <w:u w:color="000000"/>
        </w:rPr>
        <w:t>, R. (2000). Causation, prediction, and search (2nd ed.). MIT Press.</w:t>
      </w:r>
    </w:p>
    <w:p w14:paraId="0A521088" w14:textId="77777777" w:rsidR="00AA670C" w:rsidRDefault="00000000">
      <w:pPr>
        <w:pStyle w:val="Heading"/>
        <w:spacing w:after="200"/>
      </w:pPr>
      <w:r>
        <w:rPr>
          <w:color w:val="000000"/>
          <w:sz w:val="24"/>
          <w:szCs w:val="24"/>
          <w:u w:color="000000"/>
        </w:rPr>
        <w:t>Toulmin, S. E. (1958). The uses of argument. Cambridge University Press.</w:t>
      </w:r>
    </w:p>
    <w:p w14:paraId="0950E88F" w14:textId="77777777" w:rsidR="00AA670C" w:rsidRDefault="00000000">
      <w:pPr>
        <w:pStyle w:val="Heading"/>
        <w:spacing w:after="200"/>
      </w:pPr>
      <w:r>
        <w:rPr>
          <w:color w:val="000000"/>
          <w:sz w:val="24"/>
          <w:szCs w:val="24"/>
          <w:u w:color="000000"/>
        </w:rPr>
        <w:t>Ulrich, R. S. (1984). View through a window may influence recovery from surgery. Science, 224(4647), 420-422.</w:t>
      </w:r>
    </w:p>
    <w:p w14:paraId="7FF65D6F" w14:textId="77777777" w:rsidR="00AA670C" w:rsidRDefault="00000000">
      <w:pPr>
        <w:pStyle w:val="Heading"/>
        <w:spacing w:after="200"/>
      </w:pPr>
      <w:r>
        <w:rPr>
          <w:color w:val="000000"/>
          <w:sz w:val="24"/>
          <w:szCs w:val="24"/>
          <w:u w:color="000000"/>
        </w:rPr>
        <w:t>Walton, D. (2006). Fundamentals of critical argumentation. Cambridge University Press.</w:t>
      </w:r>
    </w:p>
    <w:p w14:paraId="296B60F7" w14:textId="77777777" w:rsidR="00AA670C" w:rsidRDefault="00000000">
      <w:pPr>
        <w:pStyle w:val="Heading"/>
        <w:spacing w:after="200"/>
      </w:pPr>
      <w:r>
        <w:rPr>
          <w:color w:val="000000"/>
          <w:sz w:val="24"/>
          <w:szCs w:val="24"/>
          <w:u w:color="000000"/>
        </w:rPr>
        <w:t>Wilson, E. O. (1984). Biophilia. Harvard University Press.</w:t>
      </w:r>
    </w:p>
    <w:p w14:paraId="17739DF4" w14:textId="77777777" w:rsidR="00AA670C" w:rsidRDefault="00000000">
      <w:pPr>
        <w:pStyle w:val="Heading"/>
        <w:spacing w:after="200"/>
      </w:pPr>
      <w:r>
        <w:rPr>
          <w:color w:val="000000"/>
          <w:sz w:val="24"/>
          <w:szCs w:val="24"/>
          <w:u w:color="000000"/>
        </w:rPr>
        <w:t>Woodward, J. (2003). Making things happen: A theory of causal explanation. Oxford University Press.</w:t>
      </w:r>
    </w:p>
    <w:p w14:paraId="497F5249" w14:textId="77777777" w:rsidR="00AA670C" w:rsidRDefault="00000000">
      <w:pPr>
        <w:pStyle w:val="Heading"/>
        <w:spacing w:after="200"/>
      </w:pPr>
      <w:r>
        <w:rPr>
          <w:color w:val="000000"/>
          <w:sz w:val="24"/>
          <w:szCs w:val="24"/>
          <w:u w:color="000000"/>
        </w:rPr>
        <w:t>Young, S. N. (2007). How to increase serotonin in the human brain without drugs. Journal of Psychiatry and Neuroscience, 32(6), 394-399.</w:t>
      </w:r>
    </w:p>
    <w:p w14:paraId="3484A0A6" w14:textId="77777777" w:rsidR="00AA670C" w:rsidRDefault="00000000">
      <w:pPr>
        <w:pStyle w:val="Heading"/>
        <w:spacing w:after="200"/>
      </w:pPr>
      <w:r>
        <w:rPr>
          <w:color w:val="000000"/>
          <w:sz w:val="24"/>
          <w:szCs w:val="24"/>
          <w:u w:color="000000"/>
        </w:rPr>
        <w:t xml:space="preserve">Zhang, J., &amp; </w:t>
      </w:r>
      <w:proofErr w:type="spellStart"/>
      <w:r>
        <w:rPr>
          <w:color w:val="000000"/>
          <w:sz w:val="24"/>
          <w:szCs w:val="24"/>
          <w:u w:color="000000"/>
        </w:rPr>
        <w:t>Spirtes</w:t>
      </w:r>
      <w:proofErr w:type="spellEnd"/>
      <w:r>
        <w:rPr>
          <w:color w:val="000000"/>
          <w:sz w:val="24"/>
          <w:szCs w:val="24"/>
          <w:u w:color="000000"/>
        </w:rPr>
        <w:t>, P. (2008). Detection of unfaithfulness and robust causal inference. Minds and Machines, 18(2), 239-271.</w:t>
      </w:r>
    </w:p>
    <w:sectPr w:rsidR="00AA670C">
      <w:headerReference w:type="default" r:id="rId6"/>
      <w:footerReference w:type="default" r:id="rId7"/>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FB001" w14:textId="77777777" w:rsidR="00BD5648" w:rsidRDefault="00BD5648">
      <w:r>
        <w:separator/>
      </w:r>
    </w:p>
  </w:endnote>
  <w:endnote w:type="continuationSeparator" w:id="0">
    <w:p w14:paraId="1CB7FF43" w14:textId="77777777" w:rsidR="00BD5648" w:rsidRDefault="00BD5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DEC1" w14:textId="77777777" w:rsidR="00AA670C" w:rsidRDefault="00AA670C">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8769A" w14:textId="77777777" w:rsidR="00BD5648" w:rsidRDefault="00BD5648">
      <w:r>
        <w:separator/>
      </w:r>
    </w:p>
  </w:footnote>
  <w:footnote w:type="continuationSeparator" w:id="0">
    <w:p w14:paraId="14961024" w14:textId="77777777" w:rsidR="00BD5648" w:rsidRDefault="00BD5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8CDC8" w14:textId="77777777" w:rsidR="00AA670C" w:rsidRDefault="00AA670C">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isplayBackgroundShape/>
  <w:proofState w:spelling="clean" w:grammar="clean"/>
  <w:defaultTabStop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70C"/>
    <w:rsid w:val="00085AFA"/>
    <w:rsid w:val="002B42BA"/>
    <w:rsid w:val="00393D1E"/>
    <w:rsid w:val="0058637D"/>
    <w:rsid w:val="00630F52"/>
    <w:rsid w:val="00767132"/>
    <w:rsid w:val="00996729"/>
    <w:rsid w:val="00AA670C"/>
    <w:rsid w:val="00B5569F"/>
    <w:rsid w:val="00BC44ED"/>
    <w:rsid w:val="00BD5648"/>
    <w:rsid w:val="00C00056"/>
    <w:rsid w:val="00EA63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5DD61A6"/>
  <w15:docId w15:val="{7302262E-92DC-7341-BD07-44AC9EE03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002B42B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uiPriority w:val="9"/>
    <w:unhideWhenUsed/>
    <w:qFormat/>
    <w:pPr>
      <w:outlineLvl w:val="1"/>
    </w:pPr>
    <w:rPr>
      <w:rFonts w:cs="Arial Unicode MS"/>
      <w:color w:val="2E74B5"/>
      <w:sz w:val="26"/>
      <w:szCs w:val="26"/>
      <w:u w:color="2E74B5"/>
      <w14:textOutline w14:w="0" w14:cap="flat" w14:cmpd="sng" w14:algn="ctr">
        <w14:noFill/>
        <w14:prstDash w14:val="solid"/>
        <w14:bevel/>
      </w14:textOutline>
    </w:rPr>
  </w:style>
  <w:style w:type="paragraph" w:styleId="Heading3">
    <w:name w:val="heading 3"/>
    <w:basedOn w:val="Normal"/>
    <w:next w:val="Normal"/>
    <w:link w:val="Heading3Char"/>
    <w:uiPriority w:val="9"/>
    <w:unhideWhenUsed/>
    <w:qFormat/>
    <w:rsid w:val="00BC44ED"/>
    <w:pPr>
      <w:keepNext/>
      <w:keepLines/>
      <w:spacing w:before="120" w:after="12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Heading">
    <w:name w:val="Heading"/>
    <w:pPr>
      <w:outlineLvl w:val="0"/>
    </w:pPr>
    <w:rPr>
      <w:rFonts w:cs="Arial Unicode MS"/>
      <w:color w:val="2E74B5"/>
      <w:sz w:val="32"/>
      <w:szCs w:val="32"/>
      <w:u w:color="2E74B5"/>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de-DE"/>
      <w14:textOutline w14:w="0" w14:cap="flat" w14:cmpd="sng" w14:algn="ctr">
        <w14:noFill/>
        <w14:prstDash w14:val="solid"/>
        <w14:bevel/>
      </w14:textOutline>
    </w:rPr>
  </w:style>
  <w:style w:type="character" w:customStyle="1" w:styleId="Heading1Char">
    <w:name w:val="Heading 1 Char"/>
    <w:basedOn w:val="DefaultParagraphFont"/>
    <w:link w:val="Heading1"/>
    <w:uiPriority w:val="9"/>
    <w:rsid w:val="002B42BA"/>
    <w:rPr>
      <w:rFonts w:asciiTheme="majorHAnsi" w:eastAsiaTheme="majorEastAsia" w:hAnsiTheme="majorHAnsi" w:cstheme="majorBidi"/>
      <w:color w:val="365F91" w:themeColor="accent1" w:themeShade="BF"/>
      <w:sz w:val="32"/>
      <w:szCs w:val="32"/>
      <w:lang w:eastAsia="en-US"/>
    </w:rPr>
  </w:style>
  <w:style w:type="paragraph" w:styleId="Date">
    <w:name w:val="Date"/>
    <w:basedOn w:val="Normal"/>
    <w:next w:val="Normal"/>
    <w:link w:val="DateChar"/>
    <w:uiPriority w:val="99"/>
    <w:semiHidden/>
    <w:unhideWhenUsed/>
    <w:rsid w:val="002B42BA"/>
  </w:style>
  <w:style w:type="character" w:customStyle="1" w:styleId="DateChar">
    <w:name w:val="Date Char"/>
    <w:basedOn w:val="DefaultParagraphFont"/>
    <w:link w:val="Date"/>
    <w:uiPriority w:val="99"/>
    <w:semiHidden/>
    <w:rsid w:val="002B42BA"/>
    <w:rPr>
      <w:sz w:val="24"/>
      <w:szCs w:val="24"/>
      <w:lang w:eastAsia="en-US"/>
    </w:rPr>
  </w:style>
  <w:style w:type="character" w:customStyle="1" w:styleId="Heading3Char">
    <w:name w:val="Heading 3 Char"/>
    <w:basedOn w:val="DefaultParagraphFont"/>
    <w:link w:val="Heading3"/>
    <w:uiPriority w:val="9"/>
    <w:rsid w:val="00BC44ED"/>
    <w:rPr>
      <w:rFonts w:asciiTheme="majorHAnsi" w:eastAsiaTheme="majorEastAsia" w:hAnsiTheme="majorHAnsi" w:cstheme="majorBidi"/>
      <w:color w:val="243F60"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30</Pages>
  <Words>8871</Words>
  <Characters>50565</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Kirsh</cp:lastModifiedBy>
  <cp:revision>5</cp:revision>
  <dcterms:created xsi:type="dcterms:W3CDTF">2026-02-27T04:55:00Z</dcterms:created>
  <dcterms:modified xsi:type="dcterms:W3CDTF">2026-02-27T02:37:00Z</dcterms:modified>
</cp:coreProperties>
</file>