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sz w:val="56"/>
          <w:szCs w:val="56"/>
        </w:rPr>
        <w:t xml:space="preserve">The Article Eater</w:t>
      </w:r>
    </w:p>
    <w:p>
      <w:pPr>
        <w:spacing w:after="120"/>
        <w:jc w:val="center"/>
      </w:pPr>
      <w:r>
        <w:rPr>
          <w:rFonts w:ascii="Arial" w:cs="Arial" w:eastAsia="Arial" w:hAnsi="Arial"/>
          <w:i/>
          <w:iCs/>
          <w:sz w:val="28"/>
          <w:szCs w:val="28"/>
        </w:rPr>
        <w:t xml:space="preserve">Compositional Mechanistic Reasoning for Evidence-Based Architectural Design</w:t>
      </w:r>
    </w:p>
    <w:p>
      <w:pPr>
        <w:spacing w:after="80"/>
        <w:jc w:val="center"/>
      </w:pPr>
      <w:r>
        <w:rPr>
          <w:rFonts w:ascii="Arial" w:cs="Arial" w:eastAsia="Arial" w:hAnsi="Arial"/>
          <w:sz w:val="24"/>
          <w:szCs w:val="24"/>
        </w:rPr>
        <w:t xml:space="preserve">Mechanisms, Predictions, and Surprises from Composing
Neuroscience, Environmental Psychology, and Architectural Theory</w:t>
      </w:r>
    </w:p>
    <w:p>
      <w:pPr>
        <w:spacing w:before="600"/>
        <w:jc w:val="center"/>
      </w:pPr>
      <w:r>
        <w:rPr>
          <w:rFonts w:ascii="Arial" w:cs="Arial" w:eastAsia="Arial" w:hAnsi="Arial"/>
          <w:sz w:val="26"/>
          <w:szCs w:val="26"/>
        </w:rPr>
        <w:t xml:space="preserve">David Kirsh</w:t>
      </w:r>
    </w:p>
    <w:p>
      <w:pPr>
        <w:jc w:val="center"/>
      </w:pPr>
      <w:r>
        <w:rPr>
          <w:rFonts w:ascii="Arial" w:cs="Arial" w:eastAsia="Arial" w:hAnsi="Arial"/>
          <w:sz w:val="22"/>
          <w:szCs w:val="22"/>
        </w:rPr>
        <w:t xml:space="preserve">Department of Cognitive Science, UC San Diego</w:t>
      </w:r>
    </w:p>
    <w:p>
      <w:pPr>
        <w:spacing w:before="400"/>
        <w:jc w:val="center"/>
      </w:pPr>
      <w:r>
        <w:rPr>
          <w:rFonts w:ascii="Arial" w:cs="Arial" w:eastAsia="Arial" w:hAnsi="Arial"/>
          <w:i/>
          <w:iCs/>
          <w:sz w:val="22"/>
          <w:szCs w:val="22"/>
        </w:rPr>
        <w:t xml:space="preserve">Prepared for discussion with Andy Clark and colleagues — February 2026</w:t>
      </w:r>
    </w:p>
    <w:p>
      <w:r>
        <w:br w:type="page"/>
      </w:r>
    </w:p>
    <w:p>
      <w:pPr>
        <w:pStyle w:val="Heading1"/>
      </w:pPr>
      <w:r>
        <w:t xml:space="preserve">1. The Problem, and the Key Idea</w:t>
      </w:r>
    </w:p>
    <w:p>
      <w:pPr>
        <w:spacing w:after="120" w:line="276"/>
      </w:pPr>
      <w:r>
        <w:t xml:space="preserve">Environmental psychology has accumulated thousands of studies about how built environments affect human cognition, emotion, and behavior. Yet this evidence remains inaccessible because it is scattered across journals, each study manipulates one or two variables in isolation, and real design questions involve dozens of simultaneous features. The Article Eater solves this through </w:t>
      </w:r>
      <w:r>
        <w:rPr>
          <w:b/>
          <w:bCs/>
        </w:rPr>
        <w:t xml:space="preserve">templates</w:t>
      </w:r>
      <w:r>
        <w:t xml:space="preserve">—structured causal schemas that connect environmental features to human outcomes through named neural and cognitive mechanisms—and through the </w:t>
      </w:r>
      <w:r>
        <w:rPr>
          <w:b/>
          <w:bCs/>
        </w:rPr>
        <w:t xml:space="preserve">composition</w:t>
      </w:r>
      <w:r>
        <w:t xml:space="preserve"> of templates to generate multi-variable predictions no individual study ever made.</w:t>
      </w:r>
    </w:p>
    <w:p>
      <w:pPr>
        <w:spacing w:after="120" w:line="276"/>
      </w:pPr>
      <w:r>
        <w:t xml:space="preserve">Here is one template in plain language. The full system contains approximately 60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56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tcPr>
          <w:p>
            <w:r>
              <w:rPr>
                <w:rFonts w:ascii="Arial" w:cs="Arial" w:eastAsia="Arial" w:hAnsi="Arial"/>
                <w:b/>
                <w:bCs/>
                <w:color w:val="FFFFFF"/>
                <w:sz w:val="20"/>
                <w:szCs w:val="20"/>
              </w:rPr>
              <w:t xml:space="preserve">Template T014: Morning Natural Light → Sustained Attention</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b/>
                <w:bCs/>
                <w:sz w:val="19"/>
                <w:szCs w:val="19"/>
              </w:rPr>
              <w:t xml:space="preserve">Environment</w:t>
            </w:r>
          </w:p>
        </w:tc>
        <w:tc>
          <w:tcPr>
            <w:tcW w:type="dxa" w:w="6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Natural light exposure (lux at eye level, spectral composition, timing relative to circadian phase)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sz w:val="19"/>
                <w:szCs w:val="19"/>
              </w:rPr>
              <w:t xml:space="preserve">Human outcome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Sustained attention accuracy (PVT reaction time, vigilance errors)</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b/>
                <w:bCs/>
                <w:sz w:val="19"/>
                <w:szCs w:val="19"/>
              </w:rPr>
              <w:t xml:space="preserve">Neural mechanism</w:t>
            </w:r>
          </w:p>
        </w:tc>
        <w:tc>
          <w:tcPr>
            <w:tcW w:type="dxa" w:w="6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Blue light 460–480nm → ipRGC melanopsin activation → retinohypothalamic tract → SCN phase entrainment → PVN → HPA axis cortisol awakening response → LC tonic NE release → dorsal attention network (IPS + FEF) sustained activation → vigilance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sz w:val="19"/>
                <w:szCs w:val="19"/>
              </w:rPr>
              <w:t xml:space="preserve">Effect size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d = 0.35–0.65; positive linear 100–2000 lux; ceiling above 2000</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b/>
                <w:bCs/>
                <w:sz w:val="19"/>
                <w:szCs w:val="19"/>
              </w:rPr>
              <w:t xml:space="preserve">Boundary conditions</w:t>
            </w:r>
          </w:p>
        </w:tc>
        <w:tc>
          <w:tcPr>
            <w:tcW w:type="dxa" w:w="6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Exposure &gt; 30 min. Not shift workers. Attenuated by screen luminance. Morning &gt; afternoon.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sz w:val="19"/>
                <w:szCs w:val="19"/>
              </w:rPr>
              <w:t xml:space="preserve">Moderators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Chronotype (morning: d≈0.6; evening: d≈0.3), season, age, prior sleep</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b/>
                <w:bCs/>
                <w:sz w:val="19"/>
                <w:szCs w:val="19"/>
              </w:rPr>
              <w:t xml:space="preserve">Interactions</w:t>
            </w:r>
          </w:p>
        </w:tc>
        <w:tc>
          <w:tcPr>
            <w:tcW w:type="dxa" w:w="6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Synergistic with nature views. Antagonistic with glare/thermal discomfort. Conditional on noise.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sz w:val="19"/>
                <w:szCs w:val="19"/>
              </w:rPr>
              <w:t xml:space="preserve">Evidence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Boubekri et al. (2014), N=49, d=0.52; Viola et al. (2008), N=104, d=0.58; Phipps-Nelson et al. (2003), N=16, d=0.63; Cajochen (2007), N=28, d=0.47</w:t>
            </w:r>
          </w:p>
        </w:tc>
      </w:tr>
    </w:tbl>
    <w:p>
      <w:pPr>
        <w:spacing w:after="120" w:line="276"/>
      </w:pPr>
    </w:p>
    <w:p>
      <w:pPr>
        <w:spacing w:after="120" w:line="276"/>
      </w:pPr>
      <w:r>
        <w:t xml:space="preserve">Notice the </w:t>
      </w:r>
      <w:r>
        <w:rPr>
          <w:b/>
          <w:bCs/>
        </w:rPr>
        <w:t xml:space="preserve">mechanism chain</w:t>
      </w:r>
      <w:r>
        <w:t xml:space="preserve">. It names every node from photoreceptor to cortical network: ipRGCs, retinohypothalamic tract, suprachiasmatic nucleus, paraventricular nucleus, HPA axis, locus coeruleus, dorsal attention network. This is not optional decoration—it is the system’s most distinctive and most important feature. The field of “neuroarchitecture” has talked about the brain for two decades but almost never specifies an actual neural pathway. The template system forces that specificity, and the specificity is what makes everything else possible: interaction detection, novel predictions, and the identification of experiments the field has never thought to run.</w:t>
      </w:r>
    </w:p>
    <w:p>
      <w:r>
        <w:br w:type="page"/>
      </w:r>
    </w:p>
    <w:p>
      <w:pPr>
        <w:pStyle w:val="Heading1"/>
      </w:pPr>
      <w:r>
        <w:t xml:space="preserve">2. Why Neural Mechanism Chains Are the Central Contribution</w:t>
      </w:r>
    </w:p>
    <w:p>
      <w:pPr>
        <w:spacing w:after="120" w:line="276"/>
      </w:pPr>
      <w:r>
        <w:t xml:space="preserve">The single most important thing this system does—more important than extraction, storage, or retrieval—is </w:t>
      </w:r>
      <w:r>
        <w:rPr>
          <w:b/>
          <w:bCs/>
        </w:rPr>
        <w:t xml:space="preserve">force the specification of neural and cognitive mechanism chains</w:t>
      </w:r>
      <w:r>
        <w:t xml:space="preserve"> for every claim in environmental psychology. Here is why this matters, with examples.</w:t>
      </w:r>
    </w:p>
    <w:p>
      <w:pPr>
        <w:pStyle w:val="Heading2"/>
      </w:pPr>
      <w:r>
        <w:t xml:space="preserve">2.1 Mechanism Chains Enable Interaction Detection</w:t>
      </w:r>
    </w:p>
    <w:p>
      <w:pPr>
        <w:spacing w:after="120" w:line="276"/>
      </w:pPr>
      <w:r>
        <w:t xml:space="preserve">Consider two well-established findings studied independently: (1) natural light improves sustained attention (Template T014, above); (2) ambient noise impairs concentration (Template T055). Studied separately, these are two unrelated facts about offices. But look at the mechanism chains:</w:t>
      </w:r>
    </w:p>
    <w:p>
      <w:pPr>
        <w:spacing w:after="120" w:line="276"/>
      </w:pPr>
      <w:r>
        <w:rPr>
          <w:b/>
          <w:bCs/>
        </w:rPr>
        <w:t xml:space="preserve">T014 (light → attention): </w:t>
      </w:r>
      <w:r>
        <w:t xml:space="preserve">... → </w:t>
      </w:r>
      <w:r>
        <w:rPr>
          <w:b/>
          <w:bCs/>
        </w:rPr>
        <w:t xml:space="preserve">LC tonic NE release</w:t>
      </w:r>
      <w:r>
        <w:t xml:space="preserve"> → DAN sustained activation → vigilance</w:t>
      </w:r>
    </w:p>
    <w:p>
      <w:pPr>
        <w:spacing w:after="120" w:line="276"/>
      </w:pPr>
      <w:r>
        <w:rPr>
          <w:b/>
          <w:bCs/>
        </w:rPr>
        <w:t xml:space="preserve">T055 (noise → distraction): </w:t>
      </w:r>
      <w:r>
        <w:t xml:space="preserve">Unpredictable auditory input → cochlear nucleus → inferior colliculus → MGB → auditory cortex → </w:t>
      </w:r>
      <w:r>
        <w:rPr>
          <w:b/>
          <w:bCs/>
        </w:rPr>
        <w:t xml:space="preserve">LC phasic NE burst</w:t>
      </w:r>
      <w:r>
        <w:t xml:space="preserve"> → ventral attention network (TPJ + IFG) → involuntary attentional reorienting → task interruption</w:t>
      </w:r>
    </w:p>
    <w:p>
      <w:pPr>
        <w:spacing w:after="120" w:line="276"/>
      </w:pPr>
      <w:r>
        <w:t xml:space="preserve">Both templates pass through the </w:t>
      </w:r>
      <w:r>
        <w:rPr>
          <w:b/>
          <w:bCs/>
        </w:rPr>
        <w:t xml:space="preserve">locus coeruleus</w:t>
      </w:r>
      <w:r>
        <w:t xml:space="preserve">, but in opposite modes. Natural light promotes </w:t>
      </w:r>
      <w:r>
        <w:rPr>
          <w:i/>
          <w:iCs/>
        </w:rPr>
        <w:t xml:space="preserve">tonic</w:t>
      </w:r>
      <w:r>
        <w:t xml:space="preserve"> LC firing (sustained, low-level norepinephrine release that supports steady vigilance). Unpredictable noise triggers </w:t>
      </w:r>
      <w:r>
        <w:rPr>
          <w:i/>
          <w:iCs/>
        </w:rPr>
        <w:t xml:space="preserve">phasic</w:t>
      </w:r>
      <w:r>
        <w:t xml:space="preserve"> LC bursts (transient, high-amplitude NE release that reorients attention). These are not just “different effects”—they are </w:t>
      </w:r>
      <w:r>
        <w:rPr>
          <w:b/>
          <w:bCs/>
        </w:rPr>
        <w:t xml:space="preserve">competing demands on the same brainstem nucleus</w:t>
      </w:r>
      <w:r>
        <w:t xml:space="preserve">. Aston-Jones and Cohen (2005) showed that tonic and phasic LC modes are functionally antagonistic: phasic bursts disrupt tonic mode, and high tonic firing suppresses phasic responsivity.</w:t>
      </w:r>
    </w:p>
    <w:p>
      <w:pPr>
        <w:shd w:fill="E8F5E8" w:val="clear"/>
        <w:spacing w:before="180" w:after="0"/>
        <w:ind w:left="360" w:right="360"/>
      </w:pPr>
      <w:r>
        <w:rPr>
          <w:rFonts w:ascii="Arial" w:cs="Arial" w:eastAsia="Arial" w:hAnsi="Arial"/>
          <w:b/>
          <w:bCs/>
          <w:color w:val="1B6B2B"/>
          <w:sz w:val="21"/>
          <w:szCs w:val="21"/>
        </w:rPr>
        <w:t xml:space="preserve">PREDICTION 1: Light-noise interaction via LC mode competition</w:t>
      </w:r>
    </w:p>
    <w:p>
      <w:pPr>
        <w:shd w:fill="E8F5E8" w:val="clear"/>
        <w:spacing w:after="180"/>
        <w:ind w:left="360" w:right="360"/>
      </w:pPr>
      <w:r>
        <w:t xml:space="preserve">In a noisy open-plan office, natural light’s attentional benefit should be </w:t>
      </w:r>
      <w:r>
        <w:rPr>
          <w:b/>
          <w:bCs/>
        </w:rPr>
        <w:t xml:space="preserve">specifically reduced</w:t>
      </w:r>
      <w:r>
        <w:t xml:space="preserve"> because phasic LC bursts from unpredictable noise disrupt the tonic LC state that light promotes. Conversely, in a quiet room, light’s benefit should be at full strength because there are no phasic interruptions. This is not a prediction any individual study made—it emerges from composing two mechanism chains that share a node. And it has a specific architectural implication: </w:t>
      </w:r>
      <w:r>
        <w:rPr>
          <w:b/>
          <w:bCs/>
        </w:rPr>
        <w:t xml:space="preserve">natural light and acoustic control are not independent design decisions</w:t>
      </w:r>
      <w:r>
        <w:t xml:space="preserve">. Investing in daylight without investing in sound absorption may yield less than half the expected benefit.</w:t>
      </w:r>
    </w:p>
    <w:p>
      <w:pPr>
        <w:pStyle w:val="Heading2"/>
      </w:pPr>
      <w:r>
        <w:t xml:space="preserve">2.2 Mechanism Chains Reveal Hidden Commonalities</w:t>
      </w:r>
    </w:p>
    <w:p>
      <w:pPr>
        <w:spacing w:after="120" w:line="276"/>
      </w:pPr>
      <w:r>
        <w:t xml:space="preserve">Consider three seemingly unrelated findings: (a) wood surfaces reduce stress (T022); (b) nature views reduce stress (T041); (c) moderate visual complexity is preferred over low or high complexity (T031). Different environmental features, different research traditions, different journals. But the mechanism chains converge:</w:t>
      </w:r>
    </w:p>
    <w:p>
      <w:pPr>
        <w:spacing w:after="120" w:line="276"/>
      </w:pPr>
      <w:r>
        <w:rPr>
          <w:b/>
          <w:bCs/>
        </w:rPr>
        <w:t xml:space="preserve">T022 (wood → stress): </w:t>
      </w:r>
      <w:r>
        <w:t xml:space="preserve">Wood grain pattern → V1/V2 spatial frequency analysis → 1/f spectrum detection → </w:t>
      </w:r>
      <w:r>
        <w:rPr>
          <w:b/>
          <w:bCs/>
        </w:rPr>
        <w:t xml:space="preserve">low prediction error in early visual cortex</w:t>
      </w:r>
      <w:r>
        <w:t xml:space="preserve"> → </w:t>
      </w:r>
      <w:r>
        <w:rPr>
          <w:b/>
          <w:bCs/>
        </w:rPr>
        <w:t xml:space="preserve">reduced feedforward-feedback mismatch signal</w:t>
      </w:r>
      <w:r>
        <w:t xml:space="preserve"> → reduced amygdala threat evaluation → PNS activation</w:t>
      </w:r>
    </w:p>
    <w:p>
      <w:pPr>
        <w:spacing w:after="120" w:line="276"/>
      </w:pPr>
      <w:r>
        <w:rPr>
          <w:b/>
          <w:bCs/>
        </w:rPr>
        <w:t xml:space="preserve">T041 (nature → stress): </w:t>
      </w:r>
      <w:r>
        <w:t xml:space="preserve">Natural scene → PPA/RSC scene analysis → detection of natural spatial statistics (1/f luminance, fractal depth planes, self-similar textures) → </w:t>
      </w:r>
      <w:r>
        <w:rPr>
          <w:b/>
          <w:bCs/>
        </w:rPr>
        <w:t xml:space="preserve">low prediction error in scene processing hierarchy</w:t>
      </w:r>
      <w:r>
        <w:t xml:space="preserve"> → </w:t>
      </w:r>
      <w:r>
        <w:rPr>
          <w:b/>
          <w:bCs/>
        </w:rPr>
        <w:t xml:space="preserve">reduced amygdala threat signal</w:t>
      </w:r>
      <w:r>
        <w:t xml:space="preserve"> (no novelty, no threat features) → hypothalamic-pituitary-adrenal downregulation → vagal tone increase → HRV increase, cortisol decrease</w:t>
      </w:r>
    </w:p>
    <w:p>
      <w:pPr>
        <w:spacing w:after="120" w:line="276"/>
      </w:pPr>
      <w:r>
        <w:rPr>
          <w:b/>
          <w:bCs/>
        </w:rPr>
        <w:t xml:space="preserve">T031 (complexity → preference): </w:t>
      </w:r>
      <w:r>
        <w:t xml:space="preserve">Visual scene statistics → hierarchical predictive model in V1→V2→V4→IT → </w:t>
      </w:r>
      <w:r>
        <w:rPr>
          <w:b/>
          <w:bCs/>
        </w:rPr>
        <w:t xml:space="preserve">prediction error magnitude</w:t>
      </w:r>
      <w:r>
        <w:t xml:space="preserve"> as a function of complexity. Too simple = no information gain = boredom. Too complex = PE exceeds model capacity = aversive. Moderate = </w:t>
      </w:r>
      <w:r>
        <w:rPr>
          <w:b/>
          <w:bCs/>
        </w:rPr>
        <w:t xml:space="preserve">PE is within the learnable range</w:t>
      </w:r>
      <w:r>
        <w:t xml:space="preserve"> = engagement + positive affect.</w:t>
      </w:r>
    </w:p>
    <w:p>
      <w:pPr>
        <w:shd w:fill="FFF8E7" w:val="clear"/>
        <w:spacing w:before="180" w:after="0"/>
        <w:ind w:left="360" w:right="360"/>
      </w:pPr>
      <w:r>
        <w:rPr>
          <w:rFonts w:ascii="Arial" w:cs="Arial" w:eastAsia="Arial" w:hAnsi="Arial"/>
          <w:b/>
          <w:bCs/>
          <w:color w:val="8B6914"/>
          <w:sz w:val="21"/>
          <w:szCs w:val="21"/>
        </w:rPr>
        <w:t xml:space="preserve">INSIGHT: All three are prediction error stories</w:t>
      </w:r>
    </w:p>
    <w:p>
      <w:pPr>
        <w:shd w:fill="FFF8E7" w:val="clear"/>
        <w:spacing w:after="180"/>
        <w:ind w:left="360" w:right="360"/>
      </w:pPr>
      <w:r>
        <w:t xml:space="preserve">The mechanism chains reveal that wood, nature views, and moderate complexity are all instances of the same computational principle: the visual system encountering statistical regularities that its hierarchical predictive models can process efficiently. This unification is invisible without the mechanism chains. It explains </w:t>
      </w:r>
      <w:r>
        <w:rPr>
          <w:i/>
          <w:iCs/>
        </w:rPr>
        <w:t xml:space="preserve">why</w:t>
      </w:r>
      <w:r>
        <w:t xml:space="preserve"> D ≈ 1.3 (the preferred fractal dimension) keeps appearing across contexts: it is the complexity level at which prediction error in early visual cortex is minimized given priors tuned to natural scenes (Field, 1987; Simoncelli &amp; Olshausen, 2001). And it generates a testable prediction: </w:t>
      </w:r>
      <w:r>
        <w:rPr>
          <w:b/>
          <w:bCs/>
        </w:rPr>
        <w:t xml:space="preserve">any stimulus with 1/f spatial statistics should reduce physiological stress</w:t>
      </w:r>
      <w:r>
        <w:t xml:space="preserve">, whether it is wood, a landscape, a fractal artwork, or a synthetic pattern—provided the observer’s visual priors are tuned to natural statistics.</w:t>
      </w:r>
    </w:p>
    <w:p>
      <w:pPr>
        <w:pStyle w:val="Heading2"/>
      </w:pPr>
      <w:r>
        <w:t xml:space="preserve">2.3 Mechanism Chains Decompose Classic Findings</w:t>
      </w:r>
    </w:p>
    <w:p>
      <w:pPr>
        <w:spacing w:after="120" w:line="276"/>
      </w:pPr>
      <w:r>
        <w:t xml:space="preserve">Ulrich’s (1984) famous finding—that surgical patients with tree views recovered faster than those facing a brick wall—is cited as a single fact: nature views help. But what was actually varying between the two conditions? The template system decomposes it into at least five simultaneous mechanisms:</w:t>
      </w:r>
    </w:p>
    <w:p>
      <w:pPr>
        <w:spacing w:after="120" w:line="276"/>
      </w:pPr>
      <w:r>
        <w:rPr>
          <w:b/>
          <w:bCs/>
        </w:rPr>
        <w:t xml:space="preserve">T014: </w:t>
      </w:r>
      <w:r>
        <w:t xml:space="preserve">The tree-view window provided more natural light (especially blue-enriched daylight) than a wall-facing window, modulating circadian entrainment and cortisol rhythms.</w:t>
      </w:r>
    </w:p>
    <w:p>
      <w:pPr>
        <w:spacing w:after="120" w:line="276"/>
      </w:pPr>
      <w:r>
        <w:rPr>
          <w:b/>
          <w:bCs/>
        </w:rPr>
        <w:t xml:space="preserve">T041: </w:t>
      </w:r>
      <w:r>
        <w:t xml:space="preserve">The nature content triggered restorative affective response via amygdala threat-signal attenuation and parasympathetic activation.</w:t>
      </w:r>
    </w:p>
    <w:p>
      <w:pPr>
        <w:spacing w:after="120" w:line="276"/>
      </w:pPr>
      <w:r>
        <w:rPr>
          <w:b/>
          <w:bCs/>
        </w:rPr>
        <w:t xml:space="preserve">T016: </w:t>
      </w:r>
      <w:r>
        <w:t xml:space="preserve">The view provided temporal information—time of day, season, weather—supporting circadian regulation and reducing temporal disorientation.</w:t>
      </w:r>
    </w:p>
    <w:p>
      <w:pPr>
        <w:spacing w:after="120" w:line="276"/>
      </w:pPr>
      <w:r>
        <w:rPr>
          <w:b/>
          <w:bCs/>
        </w:rPr>
        <w:t xml:space="preserve">T033: </w:t>
      </w:r>
      <w:r>
        <w:t xml:space="preserve">The tree view provided spatial depth (a vista) versus a flat wall, contributing experienced spatial extent and potential psychological “being-away.”</w:t>
      </w:r>
    </w:p>
    <w:p>
      <w:pPr>
        <w:spacing w:after="120" w:line="276"/>
      </w:pPr>
      <w:r>
        <w:rPr>
          <w:b/>
          <w:bCs/>
        </w:rPr>
        <w:t xml:space="preserve">T031: </w:t>
      </w:r>
      <w:r>
        <w:t xml:space="preserve">The tree canopy provided moderate visual complexity and gentle motion (leaf movement), engaging soft fascination—involuntary attention that allows directed attention to rest.</w:t>
      </w:r>
    </w:p>
    <w:p>
      <w:pPr>
        <w:shd w:fill="F0E8F8" w:val="clear"/>
        <w:spacing w:before="180" w:after="0"/>
        <w:ind w:left="360" w:right="360"/>
      </w:pPr>
      <w:r>
        <w:rPr>
          <w:rFonts w:ascii="Arial" w:cs="Arial" w:eastAsia="Arial" w:hAnsi="Arial"/>
          <w:b/>
          <w:bCs/>
          <w:color w:val="6B2B8E"/>
          <w:sz w:val="21"/>
          <w:szCs w:val="21"/>
        </w:rPr>
        <w:t xml:space="preserve">CHALLENGE: Ulrich’s d = 0.8 is a COMPOUND effect of 5+ mechanisms</w:t>
      </w:r>
    </w:p>
    <w:p>
      <w:pPr>
        <w:shd w:fill="F0E8F8" w:val="clear"/>
        <w:spacing w:after="180"/>
        <w:ind w:left="360" w:right="360"/>
      </w:pPr>
      <w:r>
        <w:t xml:space="preserve">The template system shows that the iconic nature-view study confounded at least five mechanisms. </w:t>
      </w:r>
      <w:r>
        <w:rPr>
          <w:b/>
          <w:bCs/>
        </w:rPr>
        <w:t xml:space="preserve">No one has isolated them.</w:t>
      </w:r>
      <w:r>
        <w:t xml:space="preserve"> Which matters most? The light? The nature content? The depth? The complexity? The circadian information? Each mechanism predicts a different design intervention. If it’s mainly light (T014), then a light box might work as well as a window. If it’s nature content (T041), then a nature photograph might suffice. If it’s depth (T033), then any vista—even an urban one—should help. If it’s circadian information (T016), then a dynamic lighting system that mimics daylight changes would be the intervention. The template system doesn’t just record Ulrich’s finding—it decomposes it into a </w:t>
      </w:r>
      <w:r>
        <w:rPr>
          <w:b/>
          <w:bCs/>
        </w:rPr>
        <w:t xml:space="preserve">research program of five independent experiments</w:t>
      </w:r>
      <w:r>
        <w:t xml:space="preserve"> that would isolate the active ingredient.</w:t>
      </w:r>
    </w:p>
    <w:p>
      <w:pPr>
        <w:pStyle w:val="Heading2"/>
      </w:pPr>
      <w:r>
        <w:t xml:space="preserve">2.4 Mechanism Chains Bridge Disciplines</w:t>
      </w:r>
    </w:p>
    <w:p>
      <w:pPr>
        <w:spacing w:after="120" w:line="276"/>
      </w:pPr>
      <w:r>
        <w:t xml:space="preserve">Perhaps most importantly, mechanism chains connect findings across disciplines that have never talked to each other. Circadian photobiology (a subfield of chronobiology) and Attention Restoration Theory (environmental psychology) and Predictive Processing (computational neuroscience) are published in different journals, cited by different communities, and framed in different theoretical vocabularies. But when you write down their mechanism chains, you discover shared nodes—and shared nodes mean the disciplines are studying different aspects of the same underlying system.</w:t>
      </w:r>
    </w:p>
    <w:p>
      <w:pPr>
        <w:spacing w:after="120" w:line="276"/>
      </w:pPr>
      <w:r>
        <w:t xml:space="preserve">The LC-NE system is the most dramatic example. It appears in templates for light (T014: tonic mode → sustained attention), noise (T055: phasic mode → distraction), thermal stress (T028: arousal modulation under thermal deviation), caffeine effects on office performance (an unlisted but obvious template), and Berlyne’s arousal-based aesthetics (T029: general stimulation level → Yerkes-Dodson inverted U). Five different environmental features, five different research traditions, </w:t>
      </w:r>
      <w:r>
        <w:rPr>
          <w:b/>
          <w:bCs/>
        </w:rPr>
        <w:t xml:space="preserve">one brainstem nucleus</w:t>
      </w:r>
      <w:r>
        <w:t xml:space="preserve">. The template system makes this convergence visible and turns it into a design principle: </w:t>
      </w:r>
      <w:r>
        <w:rPr>
          <w:i/>
          <w:iCs/>
        </w:rPr>
        <w:t xml:space="preserve">you cannot design light, sound, temperature, and stimulation independently because they all feed through the same arousal bottleneck</w:t>
      </w:r>
      <w:r>
        <w:t xml:space="preserve">.</w:t>
      </w:r>
    </w:p>
    <w:p>
      <w:r>
        <w:br w:type="page"/>
      </w:r>
    </w:p>
    <w:p>
      <w:pPr>
        <w:pStyle w:val="Heading1"/>
      </w:pPr>
      <w:r>
        <w:t xml:space="preserve">3. How Templates Come From Theories</w:t>
      </w:r>
    </w:p>
    <w:p>
      <w:pPr>
        <w:spacing w:after="120" w:line="276"/>
      </w:pPr>
      <w:r>
        <w:t xml:space="preserve">Each template is derived from one or more theories. The </w:t>
      </w:r>
      <w:r>
        <w:rPr>
          <w:b/>
          <w:bCs/>
        </w:rPr>
        <w:t xml:space="preserve">formal reduction of theories to templates</w:t>
      </w:r>
      <w:r>
        <w:t xml:space="preserve"> is itself a scholarly contribution: it maps what each theory claims, where theories share predictions, where they collide, and what each claims that no template captures (the </w:t>
      </w:r>
      <w:r>
        <w:rPr>
          <w:b/>
          <w:bCs/>
        </w:rPr>
        <w:t xml:space="preserve">irreducible residual</w:t>
      </w:r>
      <w:r>
        <w:t xml:space="preserve">). I demonstrate the reduction for ART and SRT, then give the full inventory.</w:t>
      </w:r>
    </w:p>
    <w:p>
      <w:pPr>
        <w:pStyle w:val="Heading2"/>
      </w:pPr>
      <w:r>
        <w:t xml:space="preserve">3.1 Reduction: Attention Restoration Theory (Kaplan, 1989)</w:t>
      </w:r>
    </w:p>
    <w:p>
      <w:pPr>
        <w:spacing w:after="120" w:line="276"/>
      </w:pPr>
      <w:r>
        <w:t xml:space="preserve">ART claims directed attention is a depletable resource restored by environments with fascination, being-away, extent, and compatibility. Fascination maps to T041 + T031; being-away to T044; extent to T007 + T033; compatibility to T061. </w:t>
      </w:r>
      <w:r>
        <w:rPr>
          <w:b/>
          <w:bCs/>
        </w:rPr>
        <w:t xml:space="preserve">Irreducible residual: </w:t>
      </w:r>
      <w:r>
        <w:t xml:space="preserve">(a) the four properties are jointly necessary and sufficient; (b) directed attention is a specific depletable resource. Neither is required by the templates.</w:t>
      </w:r>
    </w:p>
    <w:p>
      <w:pPr>
        <w:shd w:fill="FFF8E7" w:val="clear"/>
        <w:spacing w:before="180" w:after="0"/>
        <w:ind w:left="360" w:right="360"/>
      </w:pPr>
      <w:r>
        <w:rPr>
          <w:rFonts w:ascii="Arial" w:cs="Arial" w:eastAsia="Arial" w:hAnsi="Arial"/>
          <w:b/>
          <w:bCs/>
          <w:color w:val="8B6914"/>
          <w:sz w:val="21"/>
          <w:szCs w:val="21"/>
        </w:rPr>
        <w:t xml:space="preserve">INSIGHT: ART is two theories bundled together</w:t>
      </w:r>
    </w:p>
    <w:p>
      <w:pPr>
        <w:shd w:fill="FFF8E7" w:val="clear"/>
        <w:spacing w:after="180"/>
        <w:ind w:left="360" w:right="360"/>
      </w:pPr>
      <w:r>
        <w:t xml:space="preserve">The reduction reveals that ART’s </w:t>
      </w:r>
      <w:r>
        <w:rPr>
          <w:i/>
          <w:iCs/>
        </w:rPr>
        <w:t xml:space="preserve">environmental claims</w:t>
      </w:r>
      <w:r>
        <w:t xml:space="preserve"> (fascination, being-away, extent, compatibility) generate robust, well-supported templates. But ART’s </w:t>
      </w:r>
      <w:r>
        <w:rPr>
          <w:i/>
          <w:iCs/>
        </w:rPr>
        <w:t xml:space="preserve">cognitive mechanism</w:t>
      </w:r>
      <w:r>
        <w:t xml:space="preserve"> (directed attention fatigue/recovery) is a separable theoretical commitment the templates don’t require. You can keep ART’s environmental predictions while replacing its resource metaphysics with PP’s precision-weighting account (Hohwy, 2013), or with Kurzban et al.’s (2013) opportunity cost model. The predictions don’t change. This structural discovery—that the theory’s empirical content is dissociable from its mechanism story—is visible only after formal reduction.</w:t>
      </w:r>
    </w:p>
    <w:p>
      <w:pPr>
        <w:pStyle w:val="Heading2"/>
      </w:pPr>
      <w:r>
        <w:t xml:space="preserve">3.2 Reduction: Stress Recovery Theory (Ulrich, 1983)</w:t>
      </w:r>
    </w:p>
    <w:p>
      <w:pPr>
        <w:spacing w:after="120" w:line="276"/>
      </w:pPr>
      <w:r>
        <w:t xml:space="preserve">SRT claims unthreatening nature triggers rapid, </w:t>
      </w:r>
      <w:r>
        <w:rPr>
          <w:i/>
          <w:iCs/>
        </w:rPr>
        <w:t xml:space="preserve">pre-cognitive</w:t>
      </w:r>
      <w:r>
        <w:t xml:space="preserve"> parasympathetic stress recovery. Nature → T041 (d = 0.4–0.8). Safety features decompose: water → T042, spatial openness → T025, vegetation → T038. </w:t>
      </w:r>
      <w:r>
        <w:rPr>
          <w:b/>
          <w:bCs/>
        </w:rPr>
        <w:t xml:space="preserve">Irreducible residual: </w:t>
      </w:r>
      <w:r>
        <w:t xml:space="preserve">the affective pathway is pre-cognitive, preceding and independent of cognitive appraisal.</w:t>
      </w:r>
    </w:p>
    <w:p>
      <w:pPr>
        <w:shd w:fill="E8F5E8" w:val="clear"/>
        <w:spacing w:before="180" w:after="0"/>
        <w:ind w:left="360" w:right="360"/>
      </w:pPr>
      <w:r>
        <w:rPr>
          <w:rFonts w:ascii="Arial" w:cs="Arial" w:eastAsia="Arial" w:hAnsi="Arial"/>
          <w:b/>
          <w:bCs/>
          <w:color w:val="1B6B2B"/>
          <w:sz w:val="21"/>
          <w:szCs w:val="21"/>
        </w:rPr>
        <w:t xml:space="preserve">PREDICTION 2: The ART-SRT collision— beautiful but dangerous nature</w:t>
      </w:r>
    </w:p>
    <w:p>
      <w:pPr>
        <w:shd w:fill="E8F5E8" w:val="clear"/>
        <w:spacing w:after="180"/>
        <w:ind w:left="360" w:right="360"/>
      </w:pPr>
      <w:r>
        <w:t xml:space="preserve">ART and SRT share the prediction that nature helps, but for different reasons. Construct a VR environment that is </w:t>
      </w:r>
      <w:r>
        <w:rPr>
          <w:b/>
          <w:bCs/>
        </w:rPr>
        <w:t xml:space="preserve">fascinating but threatening</w:t>
      </w:r>
      <w:r>
        <w:t xml:space="preserve">—a spectacular cliff edge, a waterfall with dangerous rapids, a moonlit forest with animal sounds. ART predicts </w:t>
      </w:r>
      <w:r>
        <w:rPr>
          <w:i/>
          <w:iCs/>
        </w:rPr>
        <w:t xml:space="preserve">restoration</w:t>
      </w:r>
      <w:r>
        <w:t xml:space="preserve"> (fascination present, extent present). SRT predicts </w:t>
      </w:r>
      <w:r>
        <w:rPr>
          <w:i/>
          <w:iCs/>
        </w:rPr>
        <w:t xml:space="preserve">no restoration</w:t>
      </w:r>
      <w:r>
        <w:t xml:space="preserve"> (threat present, parasympathetic recovery blocked). Measure both attention (ART) and cortisol (SRT). The template system identifies this as the diagnostic case that separates the theories’ shared prediction surface.</w:t>
      </w:r>
    </w:p>
    <w:p>
      <w:pPr>
        <w:pStyle w:val="Heading2"/>
      </w:pPr>
      <w:r>
        <w:t xml:space="preserve">3.3 Full Theory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tcPr>
          <w:p>
            <w:r>
              <w:rPr>
                <w:rFonts w:ascii="Arial" w:cs="Arial" w:eastAsia="Arial" w:hAnsi="Arial"/>
                <w:b/>
                <w:bCs/>
                <w:color w:val="FFFFFF"/>
                <w:sz w:val="20"/>
                <w:szCs w:val="20"/>
              </w:rPr>
              <w:t xml:space="preserve">Theory</w:t>
            </w:r>
          </w:p>
        </w:tc>
        <w:tc>
          <w:tcPr>
            <w:tcW w:type="dxa" w:w="280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tcPr>
          <w:p>
            <w:r>
              <w:rPr>
                <w:rFonts w:ascii="Arial" w:cs="Arial" w:eastAsia="Arial" w:hAnsi="Arial"/>
                <w:b/>
                <w:bCs/>
                <w:color w:val="FFFFFF"/>
                <w:sz w:val="20"/>
                <w:szCs w:val="20"/>
              </w:rPr>
              <w:t xml:space="preserve">Templates</w:t>
            </w:r>
          </w:p>
        </w:tc>
        <w:tc>
          <w:tcPr>
            <w:tcW w:type="dxa" w:w="220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tcPr>
          <w:p>
            <w:r>
              <w:rPr>
                <w:rFonts w:ascii="Arial" w:cs="Arial" w:eastAsia="Arial" w:hAnsi="Arial"/>
                <w:b/>
                <w:bCs/>
                <w:color w:val="FFFFFF"/>
                <w:sz w:val="20"/>
                <w:szCs w:val="20"/>
              </w:rPr>
              <w:t xml:space="preserve">Overlaps</w:t>
            </w:r>
          </w:p>
        </w:tc>
        <w:tc>
          <w:tcPr>
            <w:tcW w:type="dxa" w:w="216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tcPr>
          <w:p>
            <w:r>
              <w:rPr>
                <w:rFonts w:ascii="Arial" w:cs="Arial" w:eastAsia="Arial" w:hAnsi="Arial"/>
                <w:b/>
                <w:bCs/>
                <w:color w:val="FFFFFF"/>
                <w:sz w:val="20"/>
                <w:szCs w:val="20"/>
              </w:rPr>
              <w:t xml:space="preserve">Residual</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ART (Kaplan, 1989)</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T041, T031, T044, T033, T061</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SRT, PP, Berlyne</w:t>
            </w:r>
          </w:p>
        </w:tc>
        <w:tc>
          <w:tcPr>
            <w:tcW w:type="dxa" w:w="2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4-property necessity; attention as resource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SRT (Ulrich, 1983)</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T041, T042, T025, T038</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ART, Biophilia</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Pre-cognitive affective pathway</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Biophilia (Wilson, 1984)</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T022, T023, T035, T036, T038, T039</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SRT, Fractal Fluency</w:t>
            </w:r>
          </w:p>
        </w:tc>
        <w:tc>
          <w:tcPr>
            <w:tcW w:type="dxa" w:w="2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Innateness of nature affiliations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Pred. Processing (Friston; Clark)</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Mechanism language for many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All theories</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ALL effects reduce to PE</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Berlyne (1971)</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T031, T044, T029</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PP, ART</w:t>
            </w:r>
          </w:p>
        </w:tc>
        <w:tc>
          <w:tcPr>
            <w:tcW w:type="dxa" w:w="2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Arousal potential as mediator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Prospect-Refuge (Appleton)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T025, T025a–c</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SRT, Biophilia</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Evolved vs. learned origin</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Embodied Cognition (Lakoff/Johnson)</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T007, T009, T033, T035</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Construal Level Theory</w:t>
            </w:r>
          </w:p>
        </w:tc>
        <w:tc>
          <w:tcPr>
            <w:tcW w:type="dxa" w:w="2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Novel metaphors create new pathways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Thermal Comfort (Fanger; de Dear)</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T027, T028, T028b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PP</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Fixed physiology vs. adaptive psychology</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Circadian Photobiology</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T014, T015, T016</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Arousal Theory</w:t>
            </w:r>
          </w:p>
        </w:tc>
        <w:tc>
          <w:tcPr>
            <w:tcW w:type="dxa" w:w="2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Genetic variation in photosensitivity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Multisensory Integration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T050, T051, T052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PP</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Precise rules of optimal cue combination</w:t>
            </w:r>
          </w:p>
        </w:tc>
      </w:tr>
    </w:tbl>
    <w:p>
      <w:pPr>
        <w:spacing w:after="120" w:line="276"/>
      </w:pPr>
    </w:p>
    <w:p>
      <w:pPr>
        <w:spacing w:after="120" w:line="276"/>
      </w:pPr>
      <w:r>
        <w:rPr>
          <w:b/>
          <w:bCs/>
        </w:rPr>
        <w:t xml:space="preserve">Every irreducible residual is a specific, testable claim that no current template captures</w:t>
      </w:r>
      <w:r>
        <w:t xml:space="preserve">—and most have never been directly tested. The map of overlap and distinctiveness is itself a contribution.</w:t>
      </w:r>
    </w:p>
    <w:p>
      <w:r>
        <w:br w:type="page"/>
      </w:r>
    </w:p>
    <w:p>
      <w:pPr>
        <w:pStyle w:val="Heading1"/>
      </w:pPr>
      <w:r>
        <w:t xml:space="preserve">4. Predictions, Collisions, and Surprises</w:t>
      </w:r>
    </w:p>
    <w:p>
      <w:pPr>
        <w:spacing w:after="120" w:line="276"/>
      </w:pPr>
      <w:r>
        <w:t xml:space="preserve">This section presents the intellectual payoff: novel predictions that emerge from composing templates, theory collisions that demand new experiments, and surprising implications for design. These are organized by the principle that generates them.</w:t>
      </w:r>
    </w:p>
    <w:p>
      <w:pPr>
        <w:pStyle w:val="Heading2"/>
      </w:pPr>
      <w:r>
        <w:t xml:space="preserve">4.1 Predictions from Shared Neural Nodes</w:t>
      </w:r>
    </w:p>
    <w:p>
      <w:pPr>
        <w:pStyle w:val="Heading3"/>
      </w:pPr>
      <w:r>
        <w:t xml:space="preserve">The birdsong-in-concrete paradox</w:t>
      </w:r>
    </w:p>
    <w:p>
      <w:pPr>
        <w:spacing w:after="120" w:line="276"/>
      </w:pPr>
      <w:r>
        <w:t xml:space="preserve">Template T050 (cross-modal congruence → environmental coherence) specifies: matched sensory signals processed in STS/pSTS multisensory areas → coherent environmental model in hippocampal-parahippocampal complex → low cross-modal prediction error → comfort/safety evaluation. Template T041 (nature view → restoration) runs through nature-content recognition → reduced amygdala threat signal → PNS activation. Now compose them: add birdsong (auditory nature) to a concrete room (visual non-nature).</w:t>
      </w:r>
    </w:p>
    <w:p>
      <w:pPr>
        <w:shd w:fill="E8F5E8" w:val="clear"/>
        <w:spacing w:before="180" w:after="0"/>
        <w:ind w:left="360" w:right="360"/>
      </w:pPr>
      <w:r>
        <w:rPr>
          <w:rFonts w:ascii="Arial" w:cs="Arial" w:eastAsia="Arial" w:hAnsi="Arial"/>
          <w:b/>
          <w:bCs/>
          <w:color w:val="1B6B2B"/>
          <w:sz w:val="21"/>
          <w:szCs w:val="21"/>
        </w:rPr>
        <w:t xml:space="preserve">PREDICTION 3: Birdsong in concrete is worse than silence</w:t>
      </w:r>
    </w:p>
    <w:p>
      <w:pPr>
        <w:shd w:fill="E8F5E8" w:val="clear"/>
        <w:spacing w:after="180"/>
        <w:ind w:left="360" w:right="360"/>
      </w:pPr>
      <w:r>
        <w:t xml:space="preserve">T041 says auditory nature should help. But T050 says the </w:t>
      </w:r>
      <w:r>
        <w:rPr>
          <w:b/>
          <w:bCs/>
        </w:rPr>
        <w:t xml:space="preserve">cross-modal mismatch</w:t>
      </w:r>
      <w:r>
        <w:t xml:space="preserve">—natural sound + artificial visual environment—generates prediction error in the multisensory integration hierarchy (STS/pSTS compute audiovisual congruence; Beauchamp et al., 2004). The mismatch signal should </w:t>
      </w:r>
      <w:r>
        <w:rPr>
          <w:i/>
          <w:iCs/>
        </w:rPr>
        <w:t xml:space="preserve">cancel or reverse</w:t>
      </w:r>
      <w:r>
        <w:t xml:space="preserve"> the restorative benefit. Alvarsson et al. (2010) found suggestive evidence: nature sounds aided stress recovery only when paired with nature-associated visual contexts. The mechanism is novel: it’s not that birdsong “fails” but that </w:t>
      </w:r>
      <w:r>
        <w:rPr>
          <w:b/>
          <w:bCs/>
        </w:rPr>
        <w:t xml:space="preserve">incongruence generates PE that actively undermines the restorative signal</w:t>
      </w:r>
      <w:r>
        <w:t xml:space="preserve">. Design implication: nature soundscapes in offices are pointless—or harmful—without corresponding visual naturalism.</w:t>
      </w:r>
    </w:p>
    <w:p>
      <w:pPr>
        <w:pStyle w:val="Heading3"/>
      </w:pPr>
      <w:r>
        <w:t xml:space="preserve">The supra-additive stress reduction from light + wood</w:t>
      </w:r>
    </w:p>
    <w:p>
      <w:pPr>
        <w:spacing w:after="120" w:line="276"/>
      </w:pPr>
      <w:r>
        <w:t xml:space="preserve">T014 (light → attention) and T022 (wood → stress) both terminate in autonomic regulation but through </w:t>
      </w:r>
      <w:r>
        <w:rPr>
          <w:i/>
          <w:iCs/>
        </w:rPr>
        <w:t xml:space="preserve">independent upstream pathways</w:t>
      </w:r>
      <w:r>
        <w:t xml:space="preserve">. Light enters via ipRGC → SCN → HPA axis (cortisol modulation). Wood enters via V1/V2 spatial frequency analysis → amygdala threat reduction → vagal tone (parasympathetic activation). These are different entry points into the autonomic nervous system.</w:t>
      </w:r>
    </w:p>
    <w:p>
      <w:pPr>
        <w:shd w:fill="E8F5E8" w:val="clear"/>
        <w:spacing w:before="180" w:after="0"/>
        <w:ind w:left="360" w:right="360"/>
      </w:pPr>
      <w:r>
        <w:rPr>
          <w:rFonts w:ascii="Arial" w:cs="Arial" w:eastAsia="Arial" w:hAnsi="Arial"/>
          <w:b/>
          <w:bCs/>
          <w:color w:val="1B6B2B"/>
          <w:sz w:val="21"/>
          <w:szCs w:val="21"/>
        </w:rPr>
        <w:t xml:space="preserve">PREDICTION 4: Light + wood should show supra-additive stress reduction</w:t>
      </w:r>
    </w:p>
    <w:p>
      <w:pPr>
        <w:shd w:fill="E8F5E8" w:val="clear"/>
        <w:spacing w:after="180"/>
        <w:ind w:left="360" w:right="360"/>
      </w:pPr>
      <w:r>
        <w:t xml:space="preserve">Because the two pathways converge on autonomic regulation through </w:t>
      </w:r>
      <w:r>
        <w:rPr>
          <w:b/>
          <w:bCs/>
        </w:rPr>
        <w:t xml:space="preserve">independent gates</w:t>
      </w:r>
      <w:r>
        <w:t xml:space="preserve">—one via HPA cortisol, the other via amygdala-vagal parasympathetic—they should not compete. Unlike the light-noise interaction (Prediction 1), where both templates compete for the same LC mode, light and wood address stress through complementary pathways. The Bayesian network predicts combined effect &gt; sum of parts: d ≈ 0.7–0.9 for the combination versus d ≈ 0.4–0.5 for either alone. </w:t>
      </w:r>
      <w:r>
        <w:rPr>
          <w:b/>
          <w:bCs/>
        </w:rPr>
        <w:t xml:space="preserve">This specific interaction has not been tested</w:t>
      </w:r>
      <w:r>
        <w:t xml:space="preserve">, though Tsunetsugu et al. (2007) found that wood + natural light rooms produced larger physiological changes than would be predicted from either alone.</w:t>
      </w:r>
    </w:p>
    <w:p>
      <w:pPr>
        <w:pStyle w:val="Heading3"/>
      </w:pPr>
      <w:r>
        <w:t xml:space="preserve">The creative workspace that sabotages focus</w:t>
      </w:r>
    </w:p>
    <w:p>
      <w:pPr>
        <w:spacing w:after="120" w:line="276"/>
      </w:pPr>
      <w:r>
        <w:t xml:space="preserve">Design a workspace with high ceilings (T007: +abstract thinking via FREEDOM-IS-UP metaphor → precuneus activation → broadened semantic scope), natural light (T014: +alertness via circadian → LC-NE), nature views (T041: +restoration via amygdala → PNS), wood surfaces (T022: +comfort via 1/f fluency → PNS). Every template individually predicts benefit.</w:t>
      </w:r>
    </w:p>
    <w:p>
      <w:pPr>
        <w:spacing w:after="120" w:line="276"/>
      </w:pPr>
      <w:r>
        <w:t xml:space="preserve">Now the user switches from brainstorming to debugging code. T007neg activates: the same high ceiling that primed abstract thinking now </w:t>
      </w:r>
      <w:r>
        <w:rPr>
          <w:i/>
          <w:iCs/>
        </w:rPr>
        <w:t xml:space="preserve">impairs</w:t>
      </w:r>
      <w:r>
        <w:t xml:space="preserve"> detail-focused processing (Meyers-Levy &amp; Zhu, 2007, Study 2: low ceilings improved anagram performance). T041 becomes a distraction—the nature view captures involuntary attention through soft fascination, but during focused internal work, any involuntary attention capture is task-interference (scope condition on T041: restoration benefits apply to breaks </w:t>
      </w:r>
      <w:r>
        <w:rPr>
          <w:i/>
          <w:iCs/>
        </w:rPr>
        <w:t xml:space="preserve">between</w:t>
      </w:r>
      <w:r>
        <w:t xml:space="preserve"> effortful tasks, not during them).</w:t>
      </w:r>
    </w:p>
    <w:p>
      <w:pPr>
        <w:shd w:fill="FFF8E7" w:val="clear"/>
        <w:spacing w:before="180" w:after="0"/>
        <w:ind w:left="360" w:right="360"/>
      </w:pPr>
      <w:r>
        <w:rPr>
          <w:rFonts w:ascii="Arial" w:cs="Arial" w:eastAsia="Arial" w:hAnsi="Arial"/>
          <w:b/>
          <w:bCs/>
          <w:color w:val="8B6914"/>
          <w:sz w:val="21"/>
          <w:szCs w:val="21"/>
        </w:rPr>
        <w:t xml:space="preserve">INSIGHT: The same environment is simultaneously optimal and anti-optimal</w:t>
      </w:r>
    </w:p>
    <w:p>
      <w:pPr>
        <w:shd w:fill="FFF8E7" w:val="clear"/>
        <w:spacing w:after="180"/>
        <w:ind w:left="360" w:right="360"/>
      </w:pPr>
      <w:r>
        <w:t xml:space="preserve">The compound prediction for creative work is d ≈ 0.55–0.75. For detail-focused work in the same space: d ≈ 0.10–0.30 (and possibly negative for pure detail tasks). </w:t>
      </w:r>
      <w:r>
        <w:rPr>
          <w:b/>
          <w:bCs/>
        </w:rPr>
        <w:t xml:space="preserve">No single study reveals this because no study manipulates all four variables and two task types simultaneously.</w:t>
      </w:r>
      <w:r>
        <w:t xml:space="preserve"> The prediction emerges from composition and has a direct design implication: multi-mode workspaces need </w:t>
      </w:r>
      <w:r>
        <w:rPr>
          <w:b/>
          <w:bCs/>
        </w:rPr>
        <w:t xml:space="preserve">spatial differentiation</w:t>
      </w:r>
      <w:r>
        <w:t xml:space="preserve">—zones with different environmental profiles for different cognitive tasks. High-ceiling open volumes for ideation; low-ceiling alcoves for debugging. Prospect areas for collaboration; refuge pods for deep work.</w:t>
      </w:r>
    </w:p>
    <w:p>
      <w:pPr>
        <w:pStyle w:val="Heading2"/>
      </w:pPr>
      <w:r>
        <w:t xml:space="preserve">4.2 Predictions from Theoretical Collisions</w:t>
      </w:r>
    </w:p>
    <w:p>
      <w:pPr>
        <w:pStyle w:val="Heading3"/>
      </w:pPr>
      <w:r>
        <w:t xml:space="preserve">The PP imperialism experiment</w:t>
      </w:r>
    </w:p>
    <w:p>
      <w:pPr>
        <w:spacing w:after="120" w:line="276"/>
      </w:pPr>
      <w:r>
        <w:t xml:space="preserve">Predictive Processing’s deepest claim is reductive: </w:t>
      </w:r>
      <w:r>
        <w:rPr>
          <w:i/>
          <w:iCs/>
        </w:rPr>
        <w:t xml:space="preserve">all</w:t>
      </w:r>
      <w:r>
        <w:t xml:space="preserve"> environmental effects on cognition reduce to prediction error dynamics. If true, there is no separate “affective recovery” (contra SRT), no “intuitive biophilia” (contra Wilson)—just free energy minimization. The template system makes this testable.</w:t>
      </w:r>
    </w:p>
    <w:p>
      <w:pPr>
        <w:shd w:fill="E8F5E8" w:val="clear"/>
        <w:spacing w:before="180" w:after="0"/>
        <w:ind w:left="360" w:right="360"/>
      </w:pPr>
      <w:r>
        <w:rPr>
          <w:rFonts w:ascii="Arial" w:cs="Arial" w:eastAsia="Arial" w:hAnsi="Arial"/>
          <w:b/>
          <w:bCs/>
          <w:color w:val="1B6B2B"/>
          <w:sz w:val="21"/>
          <w:szCs w:val="21"/>
        </w:rPr>
        <w:t xml:space="preserve">PREDICTION 5: Nature content vs. nature statistics—the critical experiment for PP</w:t>
      </w:r>
    </w:p>
    <w:p>
      <w:pPr>
        <w:shd w:fill="E8F5E8" w:val="clear"/>
        <w:spacing w:after="180"/>
        <w:ind w:left="360" w:right="360"/>
      </w:pPr>
      <w:r>
        <w:t xml:space="preserve">Create two VR environments with </w:t>
      </w:r>
      <w:r>
        <w:rPr>
          <w:b/>
          <w:bCs/>
        </w:rPr>
        <w:t xml:space="preserve">identical spatial frequency statistics, luminance distributions, and fractal dimensions</w:t>
      </w:r>
      <w:r>
        <w:t xml:space="preserve">—but one is a forest and the other is an abstract synthetic pattern with the same statistical properties (achievable with texture synthesis algorithms; Portilla &amp; Simoncelli, 2000). PP predicts </w:t>
      </w:r>
      <w:r>
        <w:rPr>
          <w:i/>
          <w:iCs/>
        </w:rPr>
        <w:t xml:space="preserve">identical stress reduction</w:t>
      </w:r>
      <w:r>
        <w:t xml:space="preserve"> (same PE profile). Biophilia predicts the </w:t>
      </w:r>
      <w:r>
        <w:rPr>
          <w:i/>
          <w:iCs/>
        </w:rPr>
        <w:t xml:space="preserve">forest wins</w:t>
      </w:r>
      <w:r>
        <w:t xml:space="preserve"> (innate nature affiliation). SRT predicts the </w:t>
      </w:r>
      <w:r>
        <w:rPr>
          <w:i/>
          <w:iCs/>
        </w:rPr>
        <w:t xml:space="preserve">forest wins</w:t>
      </w:r>
      <w:r>
        <w:t xml:space="preserve"> (evolved safety signals independent of statistics). Joye &amp; van den Berg (2011) found suggestive evidence that nature-content matters beyond statistics, but the experiment has never been run with properly matched statistical controls. It is the single most important experiment for adjudicating PP’s reductive claim about environmental effects.</w:t>
      </w:r>
    </w:p>
    <w:p>
      <w:pPr>
        <w:pStyle w:val="Heading3"/>
      </w:pPr>
      <w:r>
        <w:t xml:space="preserve">The thermal comfort × cognition interaction</w:t>
      </w:r>
    </w:p>
    <w:p>
      <w:pPr>
        <w:spacing w:after="120" w:line="276"/>
      </w:pPr>
      <w:r>
        <w:t xml:space="preserve">Fanger (1970) says thermal comfort is a fixed physiological state. De Dear &amp; Brager (2002) say it’s adaptive—people in naturally ventilated buildings tolerate wider temperature ranges through behavioral and psychological adaptation. These generate different templates (T027 vs. T028b) with different neural stories:</w:t>
      </w:r>
    </w:p>
    <w:p>
      <w:pPr>
        <w:spacing w:after="120" w:line="276"/>
      </w:pPr>
      <w:r>
        <w:rPr>
          <w:b/>
          <w:bCs/>
        </w:rPr>
        <w:t xml:space="preserve">T027 (Fanger): </w:t>
      </w:r>
      <w:r>
        <w:t xml:space="preserve">Skin thermoreceptors → lateral parabrachial nucleus → preoptic hypothalamus → fixed homeostatic regulation. Deviation = stress response regardless of context.</w:t>
      </w:r>
    </w:p>
    <w:p>
      <w:pPr>
        <w:spacing w:after="120" w:line="276"/>
      </w:pPr>
      <w:r>
        <w:rPr>
          <w:b/>
          <w:bCs/>
        </w:rPr>
        <w:t xml:space="preserve">T028b (de Dear): </w:t>
      </w:r>
      <w:r>
        <w:t xml:space="preserve">Same peripheral pathway, but </w:t>
      </w:r>
      <w:r>
        <w:rPr>
          <w:b/>
          <w:bCs/>
        </w:rPr>
        <w:t xml:space="preserve">prefrontal perceived-control circuits</w:t>
      </w:r>
      <w:r>
        <w:t xml:space="preserve"> (vmPFC + anterior insula; Salomons et al., 2004) modulate the hypothalamic response. When people believe they have thermal control (operable windows, personal fans), the same temperature deviation produces less subjective discomfort and less HPA activation.</w:t>
      </w:r>
    </w:p>
    <w:p>
      <w:pPr>
        <w:shd w:fill="E8F5E8" w:val="clear"/>
        <w:spacing w:before="180" w:after="0"/>
        <w:ind w:left="360" w:right="360"/>
      </w:pPr>
      <w:r>
        <w:rPr>
          <w:rFonts w:ascii="Arial" w:cs="Arial" w:eastAsia="Arial" w:hAnsi="Arial"/>
          <w:b/>
          <w:bCs/>
          <w:color w:val="1B6B2B"/>
          <w:sz w:val="21"/>
          <w:szCs w:val="21"/>
        </w:rPr>
        <w:t xml:space="preserve">PREDICTION 6: Perceived thermal control reduces cognitive impairment</w:t>
      </w:r>
    </w:p>
    <w:p>
      <w:pPr>
        <w:shd w:fill="E8F5E8" w:val="clear"/>
        <w:spacing w:after="180"/>
        <w:ind w:left="360" w:right="360"/>
      </w:pPr>
      <w:r>
        <w:t xml:space="preserve">Compose T028 (thermal deviation → cognitive decrement) with T028b (perceived control → tolerance). The system predicts that people with operable windows should show </w:t>
      </w:r>
      <w:r>
        <w:rPr>
          <w:b/>
          <w:bCs/>
        </w:rPr>
        <w:t xml:space="preserve">less cognitive impairment</w:t>
      </w:r>
      <w:r>
        <w:t xml:space="preserve"> from the same temperature deviation—not just greater comfort satisfaction (well established) but actual cognitive performance preservation. The neural mechanism: vmPFC control circuits reduce hypothalamic stress signaling, leaving more LC-NE bandwidth for task-relevant attention. This is an </w:t>
      </w:r>
      <w:r>
        <w:rPr>
          <w:b/>
          <w:bCs/>
        </w:rPr>
        <w:t xml:space="preserve">architectural prediction</w:t>
      </w:r>
      <w:r>
        <w:t xml:space="preserve">: operable windows are not just a comfort amenity but a cognitive performance intervention.</w:t>
      </w:r>
    </w:p>
    <w:p>
      <w:pPr>
        <w:pStyle w:val="Heading3"/>
      </w:pPr>
      <w:r>
        <w:t xml:space="preserve">Embodied metaphor as a causal force in architecture</w:t>
      </w:r>
    </w:p>
    <w:p>
      <w:pPr>
        <w:spacing w:after="120" w:line="276"/>
      </w:pPr>
      <w:r>
        <w:t xml:space="preserve">If Lakoff and Johnson’s embodied cognition is right that spatial metaphors (FREEDOM-IS-UP, OPEN-IS-POSSIBLE, BOUNDED-IS-LIMITED) have measurable cognitive force, then architecture is not merely a backdrop for cognition but an active </w:t>
      </w:r>
      <w:r>
        <w:rPr>
          <w:i/>
          <w:iCs/>
        </w:rPr>
        <w:t xml:space="preserve">primer</w:t>
      </w:r>
      <w:r>
        <w:t xml:space="preserve"> of cognitive style.</w:t>
      </w:r>
    </w:p>
    <w:p>
      <w:pPr>
        <w:shd w:fill="E8F5E8" w:val="clear"/>
        <w:spacing w:before="180" w:after="0"/>
        <w:ind w:left="360" w:right="360"/>
      </w:pPr>
      <w:r>
        <w:rPr>
          <w:rFonts w:ascii="Arial" w:cs="Arial" w:eastAsia="Arial" w:hAnsi="Arial"/>
          <w:b/>
          <w:bCs/>
          <w:color w:val="1B6B2B"/>
          <w:sz w:val="21"/>
          <w:szCs w:val="21"/>
        </w:rPr>
        <w:t xml:space="preserve">PREDICTION 7: A suite of metaphor-driven architectural effects</w:t>
      </w:r>
    </w:p>
    <w:p>
      <w:pPr>
        <w:shd w:fill="E8F5E8" w:val="clear"/>
        <w:spacing w:after="180"/>
        <w:ind w:left="360" w:right="360"/>
      </w:pPr>
      <w:r>
        <w:t xml:space="preserve">If FREEDOM-IS-UP works (T007, partial support), then other spatial metaphors should too: (a) </w:t>
      </w:r>
      <w:r>
        <w:rPr>
          <w:b/>
          <w:bCs/>
        </w:rPr>
        <w:t xml:space="preserve">PROGRESS-IS-FORWARD</w:t>
      </w:r>
      <w:r>
        <w:t xml:space="preserve">: corridors with visible destination endpoints should prime goal-directed behavior more than corridors with turns. (b) </w:t>
      </w:r>
      <w:r>
        <w:rPr>
          <w:b/>
          <w:bCs/>
        </w:rPr>
        <w:t xml:space="preserve">IMPORTANCE-IS-HEIGHT</w:t>
      </w:r>
      <w:r>
        <w:t xml:space="preserve">: courtrooms and lecture halls with elevated judges/speakers should elicit greater perceived authority than flat-floor arrangements (consistent with Schubert, 2005, on vertical position and power). (c) </w:t>
      </w:r>
      <w:r>
        <w:rPr>
          <w:b/>
          <w:bCs/>
        </w:rPr>
        <w:t xml:space="preserve">INTIMACY-IS-CLOSENESS</w:t>
      </w:r>
      <w:r>
        <w:t xml:space="preserve">: rooms with lower ceilings and narrower proportions should promote self-disclosure and interpersonal trust. (d) </w:t>
      </w:r>
      <w:r>
        <w:rPr>
          <w:b/>
          <w:bCs/>
        </w:rPr>
        <w:t xml:space="preserve">CREATIVITY-IS-BOUNDARY-CROSSING</w:t>
      </w:r>
      <w:r>
        <w:t xml:space="preserve">: spaces that straddle inside/outside (colonnades, covered terraces, glass walls) should prime conceptual boundary-crossing and creative recombination. </w:t>
      </w:r>
      <w:r>
        <w:rPr>
          <w:b/>
          <w:bCs/>
        </w:rPr>
        <w:t xml:space="preserve">Almost none of these have been tested.</w:t>
      </w:r>
      <w:r>
        <w:t xml:space="preserve"> The template system generates them as direct consequences of taking one well-supported template (T007) and its theoretical source (embodied cognition) seriously.</w:t>
      </w:r>
    </w:p>
    <w:p>
      <w:pPr>
        <w:pStyle w:val="Heading2"/>
      </w:pPr>
      <w:r>
        <w:t xml:space="preserve">4.3 Surprises: Things the Template System Reveals That Nobody Expected</w:t>
      </w:r>
    </w:p>
    <w:p>
      <w:pPr>
        <w:pStyle w:val="Heading3"/>
      </w:pPr>
      <w:r>
        <w:t xml:space="preserve">The hospital as multi-channel Goldilocks catastrophe</w:t>
      </w:r>
    </w:p>
    <w:p>
      <w:pPr>
        <w:spacing w:after="120" w:line="276"/>
      </w:pPr>
      <w:r>
        <w:t xml:space="preserve">Hospitals typically combine high visual complexity (equipment, signage, moving people, monitors), acoustic unpredictability (alarms, announcements, conversations at unknown timing), thermal inconsistency (cold corridors, warm rooms, inconsistent HVAC), olfactory incongruence (cleaning chemicals in spaces meant for healing), and minimal prospect-refuge (long corridors with no enclosure options). Run every template simultaneously:</w:t>
      </w:r>
    </w:p>
    <w:p>
      <w:pPr>
        <w:spacing w:after="120" w:line="276"/>
      </w:pPr>
      <w:r>
        <w:t xml:space="preserve">T031: visual complexity is at the HIGH-AVERSION end of the inverted-U.</w:t>
      </w:r>
    </w:p>
    <w:p>
      <w:pPr>
        <w:spacing w:after="120" w:line="276"/>
      </w:pPr>
      <w:r>
        <w:t xml:space="preserve">T055: acoustic unpredictability maximizes phasic LC-NE bursts → constant attentional interruption.</w:t>
      </w:r>
    </w:p>
    <w:p>
      <w:pPr>
        <w:spacing w:after="120" w:line="276"/>
      </w:pPr>
      <w:r>
        <w:t xml:space="preserve">T028: thermal inconsistency generates continuous thermal PE.</w:t>
      </w:r>
    </w:p>
    <w:p>
      <w:pPr>
        <w:spacing w:after="120" w:line="276"/>
      </w:pPr>
      <w:r>
        <w:t xml:space="preserve">T058: olfactory incongruence (cleaning chemicals ≈ “sick” + clinical setting ≈ “healing”) generates cross-modal incongruence PE.</w:t>
      </w:r>
    </w:p>
    <w:p>
      <w:pPr>
        <w:spacing w:after="120" w:line="276"/>
      </w:pPr>
      <w:r>
        <w:t xml:space="preserve">T025: no refuge → no sense of safety, especially for patients who are already vulnerable.</w:t>
      </w:r>
    </w:p>
    <w:p>
      <w:pPr>
        <w:shd w:fill="F0E8F8" w:val="clear"/>
        <w:spacing w:before="180" w:after="0"/>
        <w:ind w:left="360" w:right="360"/>
      </w:pPr>
      <w:r>
        <w:rPr>
          <w:rFonts w:ascii="Arial" w:cs="Arial" w:eastAsia="Arial" w:hAnsi="Arial"/>
          <w:b/>
          <w:bCs/>
          <w:color w:val="6B2B8E"/>
          <w:sz w:val="21"/>
          <w:szCs w:val="21"/>
        </w:rPr>
        <w:t xml:space="preserve">SURPRISE: Hospitals violate EVERY Goldilocks channel simultaneously</w:t>
      </w:r>
    </w:p>
    <w:p>
      <w:pPr>
        <w:shd w:fill="F0E8F8" w:val="clear"/>
        <w:spacing w:after="180"/>
        <w:ind w:left="360" w:right="360"/>
      </w:pPr>
      <w:r>
        <w:t xml:space="preserve">The compound prediction is not just “hospitals are suboptimal” but that they are suboptimal </w:t>
      </w:r>
      <w:r>
        <w:rPr>
          <w:i/>
          <w:iCs/>
        </w:rPr>
        <w:t xml:space="preserve">in every sensory channel at once</w:t>
      </w:r>
      <w:r>
        <w:t xml:space="preserve">, and that the channels interact multiplicatively through shared arousal pathways (LC-NE) and shared stress pathways (HPA axis). The system predicts that fixing any </w:t>
      </w:r>
      <w:r>
        <w:rPr>
          <w:i/>
          <w:iCs/>
        </w:rPr>
        <w:t xml:space="preserve">single</w:t>
      </w:r>
      <w:r>
        <w:t xml:space="preserve"> channel (e.g., adding nature art) will show disappointingly small effects because the other channels continue to generate PE that overwhelms the intervention. </w:t>
      </w:r>
      <w:r>
        <w:rPr>
          <w:b/>
          <w:bCs/>
        </w:rPr>
        <w:t xml:space="preserve">Only coordinated multi-channel intervention should produce large effects.</w:t>
      </w:r>
      <w:r>
        <w:t xml:space="preserve"> This may explain why individual evidence-based design interventions in hospitals often show smaller effects than lab studies predict: the field studies are fighting against five other channels of Goldilocks violation that the lab studies controlled away.</w:t>
      </w:r>
    </w:p>
    <w:p>
      <w:pPr>
        <w:pStyle w:val="Heading3"/>
      </w:pPr>
      <w:r>
        <w:t xml:space="preserve">The open-plan office and the LC-NE disaster</w:t>
      </w:r>
    </w:p>
    <w:p>
      <w:pPr>
        <w:spacing w:after="120" w:line="276"/>
      </w:pPr>
      <w:r>
        <w:t xml:space="preserve">Open-plan offices produce what the template system identifies as a </w:t>
      </w:r>
      <w:r>
        <w:rPr>
          <w:b/>
          <w:bCs/>
        </w:rPr>
        <w:t xml:space="preserve">compound LC-NE crisis</w:t>
      </w:r>
      <w:r>
        <w:t xml:space="preserve">. T055: unpredictable speech triggers phasic LC bursts every few seconds. T025: no refuge means no escape from auditory and visual intrusion. T014: often poor daylight at interior desks means weak tonic LC mode (the thing that would help resist phasic interruption). T028b: typically no individual thermal control. Compose the mechanism chains: the LC-NE system is being pulled into phasic mode (by noise), deprived of tonic support (by poor light), and denied environmental refuge (by the open layout).</w:t>
      </w:r>
    </w:p>
    <w:p>
      <w:pPr>
        <w:shd w:fill="FFF8E7" w:val="clear"/>
        <w:spacing w:before="180" w:after="0"/>
        <w:ind w:left="360" w:right="360"/>
      </w:pPr>
      <w:r>
        <w:rPr>
          <w:rFonts w:ascii="Arial" w:cs="Arial" w:eastAsia="Arial" w:hAnsi="Arial"/>
          <w:b/>
          <w:bCs/>
          <w:color w:val="8B6914"/>
          <w:sz w:val="21"/>
          <w:szCs w:val="21"/>
        </w:rPr>
        <w:t xml:space="preserve">INSIGHT: Open-plan offices are not just unpleasant—they create a specific neurochemical state</w:t>
      </w:r>
    </w:p>
    <w:p>
      <w:pPr>
        <w:shd w:fill="FFF8E7" w:val="clear"/>
        <w:spacing w:after="180"/>
        <w:ind w:left="360" w:right="360"/>
      </w:pPr>
      <w:r>
        <w:t xml:space="preserve">The template system predicts a specific neurochemical profile: </w:t>
      </w:r>
      <w:r>
        <w:rPr>
          <w:b/>
          <w:bCs/>
        </w:rPr>
        <w:t xml:space="preserve">low tonic NE + frequent phasic NE bursts</w:t>
      </w:r>
      <w:r>
        <w:t xml:space="preserve">—the state Aston-Jones &amp; Cohen (2005) call “exploration mode,” which is functionally the opposite of sustained focused attention. Open-plan offices don’t just “distract” in a general sense; they push the locus coeruleus into a mode optimized for scanning the environment for novelty and away from the mode needed for deep work. The fix is not a single intervention but a compound one: tonic LC support (bright, blue-enriched light) + phasic LC suppression (acoustic control) + environmental refuge (enclosed focus pods).</w:t>
      </w:r>
    </w:p>
    <w:p>
      <w:pPr>
        <w:pStyle w:val="Heading3"/>
      </w:pPr>
      <w:r>
        <w:t xml:space="preserve">The fractal D ≈ 1.3 mystery</w:t>
      </w:r>
    </w:p>
    <w:p>
      <w:pPr>
        <w:spacing w:after="120" w:line="276"/>
      </w:pPr>
      <w:r>
        <w:t xml:space="preserve">The preferred fractal dimension in built environments clusters around D ≈ 1.3 across landscape silhouettes (Hagerhall et al., 2004), building facades (Salingaros, 2003), wood grain (Taylor et al., 2011), and abstract art (Spehar et al., 2003). Three theories explain this:</w:t>
      </w:r>
    </w:p>
    <w:p>
      <w:pPr>
        <w:spacing w:after="120" w:line="276"/>
      </w:pPr>
      <w:r>
        <w:t xml:space="preserve">Fractal Fluency: D ≈ 1.3 matches natural scene statistics → V1/V2 processing efficiency.</w:t>
      </w:r>
    </w:p>
    <w:p>
      <w:pPr>
        <w:spacing w:after="120" w:line="276"/>
      </w:pPr>
      <w:r>
        <w:t xml:space="preserve">PP: D ≈ 1.3 minimizes prediction error given visual cortex priors tuned to 1/fα spectra where α ≈ 1.2–1.4.</w:t>
      </w:r>
    </w:p>
    <w:p>
      <w:pPr>
        <w:spacing w:after="120" w:line="276"/>
      </w:pPr>
      <w:r>
        <w:t xml:space="preserve">Berlyne: D ≈ 1.3 is the intermediate complexity level maximizing arousal potential.</w:t>
      </w:r>
    </w:p>
    <w:p>
      <w:pPr>
        <w:shd w:fill="E8F5E8" w:val="clear"/>
        <w:spacing w:before="180" w:after="0"/>
        <w:ind w:left="360" w:right="360"/>
      </w:pPr>
      <w:r>
        <w:rPr>
          <w:rFonts w:ascii="Arial" w:cs="Arial" w:eastAsia="Arial" w:hAnsi="Arial"/>
          <w:b/>
          <w:bCs/>
          <w:color w:val="1B6B2B"/>
          <w:sz w:val="21"/>
          <w:szCs w:val="21"/>
        </w:rPr>
        <w:t xml:space="preserve">PREDICTION 8: The fractal set-point should be culturally modulated</w:t>
      </w:r>
    </w:p>
    <w:p>
      <w:pPr>
        <w:shd w:fill="E8F5E8" w:val="clear"/>
        <w:spacing w:after="180"/>
        <w:ind w:left="360" w:right="360"/>
      </w:pPr>
      <w:r>
        <w:t xml:space="preserve">If the preferred D reflects visual cortex priors (PP), it should shift in populations whose visual environments have different fractal statistics. The dense, visually complex urban environments of Varanasi (D ≈ 1.5–1.7 for the built environment) should produce a </w:t>
      </w:r>
      <w:r>
        <w:rPr>
          <w:b/>
          <w:bCs/>
        </w:rPr>
        <w:t xml:space="preserve">rightward shift in the preferred D</w:t>
      </w:r>
      <w:r>
        <w:t xml:space="preserve"> compared to Scandinavian populations accustomed to clean-lined, low-D environments. Our India fieldwork is beginning to test this. If confirmed, it means the Goldilocks optimal D is not a biological constant but a </w:t>
      </w:r>
      <w:r>
        <w:rPr>
          <w:b/>
          <w:bCs/>
        </w:rPr>
        <w:t xml:space="preserve">tunable parameter set by visual experience</w:t>
      </w:r>
      <w:r>
        <w:t xml:space="preserve">—which means architectural D preferences are part of the cognitive niche, not fixed by evolution.</w:t>
      </w:r>
    </w:p>
    <w:p>
      <w:pPr>
        <w:pStyle w:val="Heading3"/>
      </w:pPr>
      <w:r>
        <w:t xml:space="preserve">The olfactory gap and the pre-cognitive pathway</w:t>
      </w:r>
    </w:p>
    <w:p>
      <w:pPr>
        <w:spacing w:after="120" w:line="276"/>
      </w:pPr>
      <w:r>
        <w:t xml:space="preserve">Olfaction has the most direct neural pathway to emotion of any modality: olfactory receptor neurons → olfactory bulb → piriform cortex → amygdala and entorhinal cortex, </w:t>
      </w:r>
      <w:r>
        <w:rPr>
          <w:b/>
          <w:bCs/>
        </w:rPr>
        <w:t xml:space="preserve">bypassing the thalamic relay</w:t>
      </w:r>
      <w:r>
        <w:t xml:space="preserve"> that all other modalities use (Gottfried, 2010). If SRT’s claim of a “pre-cognitive affective pathway” is true for </w:t>
      </w:r>
      <w:r>
        <w:rPr>
          <w:i/>
          <w:iCs/>
        </w:rPr>
        <w:t xml:space="preserve">any</w:t>
      </w:r>
      <w:r>
        <w:t xml:space="preserve"> modality, it should be most clearly demonstrated with smell—because smell literally has the most direct anatomical route to the amygdala.</w:t>
      </w:r>
    </w:p>
    <w:p>
      <w:pPr>
        <w:shd w:fill="F0E8F8" w:val="clear"/>
        <w:spacing w:before="180" w:after="0"/>
        <w:ind w:left="360" w:right="360"/>
      </w:pPr>
      <w:r>
        <w:rPr>
          <w:rFonts w:ascii="Arial" w:cs="Arial" w:eastAsia="Arial" w:hAnsi="Arial"/>
          <w:b/>
          <w:bCs/>
          <w:color w:val="6B2B8E"/>
          <w:sz w:val="21"/>
          <w:szCs w:val="21"/>
        </w:rPr>
        <w:t xml:space="preserve">SURPRISE: The modality best suited to test SRT’s core claim is the least studied</w:t>
      </w:r>
    </w:p>
    <w:p>
      <w:pPr>
        <w:shd w:fill="F0E8F8" w:val="clear"/>
        <w:spacing w:after="180"/>
        <w:ind w:left="360" w:right="360"/>
      </w:pPr>
      <w:r>
        <w:t xml:space="preserve">The template system has only three olfaction templates (T058, T059, T060), all with small evidence bases. Yet smell is theoretically the modality most likely to show pre-cognitive affective responses to environmental features. The </w:t>
      </w:r>
      <w:r>
        <w:rPr>
          <w:b/>
          <w:bCs/>
        </w:rPr>
        <w:t xml:space="preserve">scent of cedar wood</w:t>
      </w:r>
      <w:r>
        <w:t xml:space="preserve"> should reduce stress via a pathway that bypasses cognitive appraisal entirely: volatile organic compounds → olfactory bulb → piriform cortex → amygdala (direct projection, no thalamic relay) → HPA downregulation. If this works </w:t>
      </w:r>
      <w:r>
        <w:rPr>
          <w:i/>
          <w:iCs/>
        </w:rPr>
        <w:t xml:space="preserve">faster</w:t>
      </w:r>
      <w:r>
        <w:t xml:space="preserve"> than visual wood grain effects (which require cortical processing through the visual hierarchy), that would be strong evidence for SRT’s pre-cognitive pathway claim. There is fragmentary evidence: Ikei et al. (2017) found that hinoki cypress odor reduced prefrontal cortex activity and promoted parasympathetic dominance within 90 seconds. But the comparison with visual wood-grain latency has not been made.</w:t>
      </w:r>
    </w:p>
    <w:p>
      <w:pPr>
        <w:pStyle w:val="Heading3"/>
      </w:pPr>
      <w:r>
        <w:t xml:space="preserve">The window paradox: when a single element activates five templates</w:t>
      </w:r>
    </w:p>
    <w:p>
      <w:pPr>
        <w:spacing w:after="120" w:line="276"/>
      </w:pPr>
      <w:r>
        <w:t xml:space="preserve">A south-facing window simultaneously activates: T014 (natural light → alertness), T041 (nature view → restoration), T016 (temporal information → circadian anchoring), T033 (spatial depth → extent), and T028 (potential thermal discomfort from solar heat gain and glare). The first four are beneficial; the fifth is harmful. But the fifth is </w:t>
      </w:r>
      <w:r>
        <w:rPr>
          <w:i/>
          <w:iCs/>
        </w:rPr>
        <w:t xml:space="preserve">conditionally harmful</w:t>
      </w:r>
      <w:r>
        <w:t xml:space="preserve">—it depends on season, orientation, shading, and perceived thermal control (T028b).</w:t>
      </w:r>
    </w:p>
    <w:p>
      <w:pPr>
        <w:shd w:fill="E8F5E8" w:val="clear"/>
        <w:spacing w:before="180" w:after="0"/>
        <w:ind w:left="360" w:right="360"/>
      </w:pPr>
      <w:r>
        <w:rPr>
          <w:rFonts w:ascii="Arial" w:cs="Arial" w:eastAsia="Arial" w:hAnsi="Arial"/>
          <w:b/>
          <w:bCs/>
          <w:color w:val="1B6B2B"/>
          <w:sz w:val="21"/>
          <w:szCs w:val="21"/>
        </w:rPr>
        <w:t xml:space="preserve">PREDICTION 9: The net effect of a window reverses seasonally at southern latitudes</w:t>
      </w:r>
    </w:p>
    <w:p>
      <w:pPr>
        <w:shd w:fill="E8F5E8" w:val="clear"/>
        <w:spacing w:after="180"/>
        <w:ind w:left="360" w:right="360"/>
      </w:pPr>
      <w:r>
        <w:t xml:space="preserve">In winter, a south-facing window is overwhelmingly positive: strong T014 + T041 + T016 + T033, minimal T028. In a hot summer, T028 (thermal discomfort from solar radiation) and glare-related visual discomfort may negate or reverse the benefits—especially for workstations near the window. The system predicts a </w:t>
      </w:r>
      <w:r>
        <w:rPr>
          <w:b/>
          <w:bCs/>
        </w:rPr>
        <w:t xml:space="preserve">seasonal crossover interaction</w:t>
      </w:r>
      <w:r>
        <w:t xml:space="preserve">: the same window at the same desk produces </w:t>
      </w:r>
      <w:r>
        <w:rPr>
          <w:i/>
          <w:iCs/>
        </w:rPr>
        <w:t xml:space="preserve">positive net benefit in winter and negative net benefit in midsummer</w:t>
      </w:r>
      <w:r>
        <w:t xml:space="preserve">, unless shading and ventilation are designed to neutralize T028. This has profound implications for building orientation guidelines and adaptive facade design.</w:t>
      </w:r>
    </w:p>
    <w:p>
      <w:pPr>
        <w:pStyle w:val="Heading2"/>
      </w:pPr>
      <w:r>
        <w:t xml:space="preserve">4.4 The Cross-Cultural Challenge: Goldilocks as Cognitive Niche</w:t>
      </w:r>
    </w:p>
    <w:p>
      <w:pPr>
        <w:spacing w:after="120" w:line="276"/>
      </w:pPr>
      <w:r>
        <w:t xml:space="preserve">In Varanasi, we observe elevated sensory preferences across </w:t>
      </w:r>
      <w:r>
        <w:rPr>
          <w:i/>
          <w:iCs/>
        </w:rPr>
        <w:t xml:space="preserve">all</w:t>
      </w:r>
      <w:r>
        <w:t xml:space="preserve"> modalities simultaneously: spice tolerance in food, color saturation in visual environments, acoustic density tolerance, thermal comfort range, and social proximity norms. This is not a modality-specific effect—it is a </w:t>
      </w:r>
      <w:r>
        <w:rPr>
          <w:b/>
          <w:bCs/>
        </w:rPr>
        <w:t xml:space="preserve">profile shift</w:t>
      </w:r>
      <w:r>
        <w:t xml:space="preserve"> that suggests a single underlying parameter (perhaps a general sensory set-point mediated by individual/cultural differences in optimal arousal level) modulating all channels.</w:t>
      </w:r>
    </w:p>
    <w:p>
      <w:pPr>
        <w:shd w:fill="F0E8F8" w:val="clear"/>
        <w:spacing w:before="180" w:after="0"/>
        <w:ind w:left="360" w:right="360"/>
      </w:pPr>
      <w:r>
        <w:rPr>
          <w:rFonts w:ascii="Arial" w:cs="Arial" w:eastAsia="Arial" w:hAnsi="Arial"/>
          <w:b/>
          <w:bCs/>
          <w:color w:val="6B2B8E"/>
          <w:sz w:val="21"/>
          <w:szCs w:val="21"/>
        </w:rPr>
        <w:t xml:space="preserve">CHALLENGE: Is the Goldilocks set-point one parameter or many?</w:t>
      </w:r>
    </w:p>
    <w:p>
      <w:pPr>
        <w:shd w:fill="F0E8F8" w:val="clear"/>
        <w:spacing w:after="180"/>
        <w:ind w:left="360" w:right="360"/>
      </w:pPr>
      <w:r>
        <w:t xml:space="preserve">If the set-point is </w:t>
      </w:r>
      <w:r>
        <w:rPr>
          <w:b/>
          <w:bCs/>
        </w:rPr>
        <w:t xml:space="preserve">one parameter</w:t>
      </w:r>
      <w:r>
        <w:t xml:space="preserve"> (a general arousal preference, perhaps personality-mediated through extraversion), then all channels should shift together within individuals and across cultures. If it is </w:t>
      </w:r>
      <w:r>
        <w:rPr>
          <w:b/>
          <w:bCs/>
        </w:rPr>
        <w:t xml:space="preserve">many parameters</w:t>
      </w:r>
      <w:r>
        <w:t xml:space="preserve"> (one per modality, independently tuned by modality-specific experience), then you could find cultures that prefer high visual complexity but low acoustic intensity, or vice versa. Our India data show correlated shifts across modalities, suggesting a single parameter—but the N is small and the modalities are confounded in natural environments. The template system identifies this as a high-priority research question because the answer determines whether the Goldilocks profile needs one cultural parameter or ten.</w:t>
      </w:r>
    </w:p>
    <w:p>
      <w:r>
        <w:br w:type="page"/>
      </w:r>
    </w:p>
    <w:p>
      <w:pPr>
        <w:pStyle w:val="Heading1"/>
      </w:pPr>
      <w:r>
        <w:t xml:space="preserve">5. What the System Enables: Teaching, Insight, Research, Argumentation</w:t>
      </w:r>
    </w:p>
    <w:p>
      <w:pPr>
        <w:spacing w:after="120" w:line="276"/>
      </w:pPr>
      <w:r>
        <w:t xml:space="preserve">The Article Eater is not just a prediction engine. The representational framework—theories decomposed into templates with neural mechanism chains—enables several distinct modes of use.</w:t>
      </w:r>
    </w:p>
    <w:p>
      <w:pPr>
        <w:pStyle w:val="Heading2"/>
      </w:pPr>
      <w:r>
        <w:t xml:space="preserve">5.1 Pedagogical: Teaching Environmental Psychology Through Mechanisms</w:t>
      </w:r>
    </w:p>
    <w:p>
      <w:pPr>
        <w:spacing w:after="120" w:line="276"/>
      </w:pPr>
      <w:r>
        <w:t xml:space="preserve">A student asks: “Why do nature views reduce stress?” The standard textbook answer cites Ulrich (1984) and Kaplan (1995) and leaves it there. The template system provides a </w:t>
      </w:r>
      <w:r>
        <w:rPr>
          <w:i/>
          <w:iCs/>
        </w:rPr>
        <w:t xml:space="preserve">mechanistic walkthrough</w:t>
      </w:r>
      <w:r>
        <w:t xml:space="preserve">: natural scene → PPA/RSC scene recognition → detection of safety-relevant features (vegetation, water, spatial openness, absence of threat) → reduced amygdala activation (Bratman et al., 2015, found decreased subgenual PFC rumination after nature walks) → hypothalamic-pituitary-adrenal axis downregulation → cortisol decrease → vagal tone increase → heart rate variability increase → self-reported stress decrease. Every step is an opportunity to teach neuroanatomy, psychophysiology, and experimental design simultaneously.</w:t>
      </w:r>
    </w:p>
    <w:p>
      <w:pPr>
        <w:spacing w:after="120" w:line="276"/>
      </w:pPr>
      <w:r>
        <w:t xml:space="preserve">The student then asks: “But do nature </w:t>
      </w:r>
      <w:r>
        <w:rPr>
          <w:i/>
          <w:iCs/>
        </w:rPr>
        <w:t xml:space="preserve">photographs</w:t>
      </w:r>
      <w:r>
        <w:t xml:space="preserve"> work as well as real nature?” The template system identifies the moderator: the mechanism chain passes through scene recognition (PPA/RSC), which processes photographs and real views similarly. But real views also activate T016 (temporal information) and T014 (real light), which photographs don’t. So the answer is: photographs capture the content-mediated stress reduction (T041) but miss the light-mediated circadian benefit (T014) and the temporal-information benefit (T016). A student trained this way understands </w:t>
      </w:r>
      <w:r>
        <w:rPr>
          <w:i/>
          <w:iCs/>
        </w:rPr>
        <w:t xml:space="preserve">why</w:t>
      </w:r>
      <w:r>
        <w:t xml:space="preserve"> photographs produce smaller effect sizes than real nature (Kahn et al., 2008)—not just that they do.</w:t>
      </w:r>
    </w:p>
    <w:p>
      <w:pPr>
        <w:pStyle w:val="Heading2"/>
      </w:pPr>
      <w:r>
        <w:t xml:space="preserve">5.2 Insight: Making the Invisible Visible</w:t>
      </w:r>
    </w:p>
    <w:p>
      <w:pPr>
        <w:spacing w:after="120" w:line="276"/>
      </w:pPr>
      <w:r>
        <w:t xml:space="preserve">The template system reveals structures in the evidence that are invisible to individual studies. The LC-NE convergence across five modalities (Section 2.4). The ART/SRT dissociation into shared predictions and competing mechanisms (Section 3). The multi-channel Goldilocks violation in hospitals (Section 4.3). The fractal D convergence across contexts (Section 4.3). These are not facts that any individual researcher possesses—they emerge from formally representing the evidence at the right level of abstraction (mechanism chains) and looking at the pattern across the full inventory.</w:t>
      </w:r>
    </w:p>
    <w:p>
      <w:pPr>
        <w:pStyle w:val="Heading2"/>
      </w:pPr>
      <w:r>
        <w:t xml:space="preserve">5.3 Research Generation: Identifying the Experiments That Matter</w:t>
      </w:r>
    </w:p>
    <w:p>
      <w:pPr>
        <w:spacing w:after="120" w:line="276"/>
      </w:pPr>
      <w:r>
        <w:t xml:space="preserve">The predictions in Section 4 are not idle theoretical speculation—each is a specific, runnable experiment identified by the template system because it distinguishes between theories that current data cannot separate. The system can also identify the </w:t>
      </w:r>
      <w:r>
        <w:rPr>
          <w:b/>
          <w:bCs/>
        </w:rPr>
        <w:t xml:space="preserve">highest-value experiments</w:t>
      </w:r>
      <w:r>
        <w:t xml:space="preserve"> by estimating how much the web of belief would change if the experiment came out one way versus the other. An experiment that would change many credences simultaneously (like the PP imperialism experiment, Prediction 5) is higher value than one that affects a single template.</w:t>
      </w:r>
    </w:p>
    <w:p>
      <w:pPr>
        <w:pStyle w:val="Heading2"/>
      </w:pPr>
      <w:r>
        <w:t xml:space="preserve">5.4 Argumentation: Evidence-Based Design Advocacy</w:t>
      </w:r>
    </w:p>
    <w:p>
      <w:pPr>
        <w:spacing w:after="120" w:line="276"/>
      </w:pPr>
      <w:r>
        <w:t xml:space="preserve">An architect wants to argue for biophilic design elements in a hospital renovation. The template system provides not a vague appeal to “nature is good” but a specific, multi-mechanism argument: nature views reduce cortisol via amygdala-HPA pathway (T041: d = 0.4–0.8, 6+ supporting studies); natural light improves circadian regulation and alertness (T014: d = 0.35–0.65, 5+ studies); wood surfaces reduce blood pressure via parasympathetic activation through processing fluency (T022: d = 0.25–0.50, 3+ studies); indoor plants improve perceived air quality and reduce anxiety (T038: d = 0.2–0.4, 4+ studies). Critically, the system also provides the </w:t>
      </w:r>
      <w:r>
        <w:rPr>
          <w:b/>
          <w:bCs/>
        </w:rPr>
        <w:t xml:space="preserve">compound prediction with explicit uncertainty</w:t>
      </w:r>
      <w:r>
        <w:t xml:space="preserve">: coordinated multi-channel intervention estimated at d ≈ 0.6–0.9, substantially larger than any single intervention, because the mechanisms enter the autonomic nervous system through independent gates. And it flags the evidence gaps: acoustic design is critical but T055 shows the acoustic channel is usually the most powerful (d = 0.4–0.7), and the renovation proposal doesn’t address it.</w:t>
      </w:r>
    </w:p>
    <w:p>
      <w:pPr>
        <w:spacing w:after="120" w:line="276"/>
      </w:pPr>
      <w:r>
        <w:t xml:space="preserve">This is argumentation with teeth. It is not “research says nature is good”—it is “here are four independently motivated mechanisms, here are the effect sizes and sample sizes for each, here is the compound prediction, here are the gaps, and here is what you lose by not addressing the acoustic channel.”</w:t>
      </w:r>
    </w:p>
    <w:p>
      <w:r>
        <w:br w:type="page"/>
      </w:r>
    </w:p>
    <w:p>
      <w:pPr>
        <w:pStyle w:val="Heading1"/>
      </w:pPr>
      <w:r>
        <w:t xml:space="preserve">6. The Goldilocks Theory of Environmental Design</w:t>
      </w:r>
    </w:p>
    <w:p>
      <w:pPr>
        <w:spacing w:after="120" w:line="276"/>
      </w:pPr>
      <w:r>
        <w:t xml:space="preserve">The inverted-U pattern appears in template after template: wood peaks at ~45%, visual complexity peaks at moderate levels, sound for cognitive work peaks in a narrow dB band, temperature follows a comfort band, fractal D peaks near 1.3. The Goldilocks Theory makes three commitments beyond PP:</w:t>
      </w:r>
    </w:p>
    <w:p>
      <w:pPr>
        <w:spacing w:after="120" w:line="276"/>
      </w:pPr>
      <w:r>
        <w:rPr>
          <w:b/>
          <w:bCs/>
        </w:rPr>
        <w:t xml:space="preserve">1. Normative: </w:t>
      </w:r>
      <w:r>
        <w:t xml:space="preserve">There exists an optimal PE level per pathway per task. PP is descriptive; Goldilocks is prescriptive.</w:t>
      </w:r>
    </w:p>
    <w:p>
      <w:pPr>
        <w:spacing w:after="120" w:line="276"/>
      </w:pPr>
      <w:r>
        <w:rPr>
          <w:b/>
          <w:bCs/>
        </w:rPr>
        <w:t xml:space="preserve">2. Multi-channel profile: </w:t>
      </w:r>
      <w:r>
        <w:t xml:space="preserve">The optimum is a profile across channels, not a single number. Channels interact: under-stimulation in one can be offset by another.</w:t>
      </w:r>
    </w:p>
    <w:p>
      <w:pPr>
        <w:spacing w:after="120" w:line="276"/>
      </w:pPr>
      <w:r>
        <w:rPr>
          <w:b/>
          <w:bCs/>
        </w:rPr>
        <w:t xml:space="preserve">3. Contextually relative: </w:t>
      </w:r>
      <w:r>
        <w:t xml:space="preserve">The optimal level shifts with task, culture, individual differences, and circadian phase. The India fieldwork demonstrates this dramatically.</w:t>
      </w:r>
    </w:p>
    <w:p>
      <w:pPr>
        <w:shd w:fill="E8F5E8" w:val="clear"/>
        <w:spacing w:before="180" w:after="0"/>
        <w:ind w:left="360" w:right="360"/>
      </w:pPr>
      <w:r>
        <w:rPr>
          <w:rFonts w:ascii="Arial" w:cs="Arial" w:eastAsia="Arial" w:hAnsi="Arial"/>
          <w:b/>
          <w:bCs/>
          <w:color w:val="1B6B2B"/>
          <w:sz w:val="21"/>
          <w:szCs w:val="21"/>
        </w:rPr>
        <w:t xml:space="preserve">PREDICTION 10: Cross-modal compensation within the Goldilocks surface</w:t>
      </w:r>
    </w:p>
    <w:p>
      <w:pPr>
        <w:shd w:fill="E8F5E8" w:val="clear"/>
        <w:spacing w:after="180"/>
        <w:ind w:left="360" w:right="360"/>
      </w:pPr>
      <w:r>
        <w:t xml:space="preserve">If each channel has an inverted-U and the channels interact through shared arousal pathways (LC-NE), then a quiet room may need </w:t>
      </w:r>
      <w:r>
        <w:rPr>
          <w:b/>
          <w:bCs/>
        </w:rPr>
        <w:t xml:space="preserve">more visual complexity</w:t>
      </w:r>
      <w:r>
        <w:t xml:space="preserve"> to maintain optimal arousal, while a visually rich room may need </w:t>
      </w:r>
      <w:r>
        <w:rPr>
          <w:b/>
          <w:bCs/>
        </w:rPr>
        <w:t xml:space="preserve">less acoustic stimulation</w:t>
      </w:r>
      <w:r>
        <w:t xml:space="preserve">. The system predicts that total PE load is what matters, distributed across channels, and that within limits the channels compensate. This is a specific, testable architectural prediction: visual and acoustic design are not independent—they must be </w:t>
      </w:r>
      <w:r>
        <w:rPr>
          <w:i/>
          <w:iCs/>
        </w:rPr>
        <w:t xml:space="preserve">jointly</w:t>
      </w:r>
      <w:r>
        <w:t xml:space="preserve"> optimized against a total-PE budget.</w:t>
      </w:r>
    </w:p>
    <w:p>
      <w:r>
        <w:br w:type="page"/>
      </w:r>
    </w:p>
    <w:p>
      <w:pPr>
        <w:pStyle w:val="Heading1"/>
      </w:pPr>
      <w:r>
        <w:t xml:space="preserve">7. The Bayesian Network and the Web of Belief</w:t>
      </w:r>
    </w:p>
    <w:p>
      <w:pPr>
        <w:spacing w:after="120" w:line="276"/>
      </w:pPr>
      <w:r>
        <w:rPr>
          <w:b/>
          <w:bCs/>
        </w:rPr>
        <w:t xml:space="preserve">Web of Belief</w:t>
      </w:r>
      <w:r>
        <w:t xml:space="preserve"> (coherentist): </w:t>
      </w:r>
      <w:r>
        <w:rPr>
          <w:i/>
          <w:iCs/>
        </w:rPr>
        <w:t xml:space="preserve">What should we believe?</w:t>
      </w:r>
      <w:r>
        <w:t xml:space="preserve"> Graph of propositions with holistically updated credences. Manages consensus, disagreement, and evidence weighting. Inspired by Quine &amp; Ullian (1978).</w:t>
      </w:r>
    </w:p>
    <w:p>
      <w:pPr>
        <w:spacing w:after="120" w:line="276"/>
      </w:pPr>
      <w:r>
        <w:rPr>
          <w:b/>
          <w:bCs/>
        </w:rPr>
        <w:t xml:space="preserve">Bayesian Network</w:t>
      </w:r>
      <w:r>
        <w:t xml:space="preserve"> (foundationalist): </w:t>
      </w:r>
      <w:r>
        <w:rPr>
          <w:i/>
          <w:iCs/>
        </w:rPr>
        <w:t xml:space="preserve">What should we predict?</w:t>
      </w:r>
      <w:r>
        <w:t xml:space="preserve"> DAG where template mechanism chains become paths and effect sizes become conditional probabilities. Given specific environmental values, computes posterior distributions over outcomes.</w:t>
      </w:r>
    </w:p>
    <w:p>
      <w:pPr>
        <w:spacing w:after="120" w:line="276"/>
      </w:pPr>
      <w:r>
        <w:rPr>
          <w:b/>
          <w:bCs/>
        </w:rPr>
        <w:t xml:space="preserve">Complementary: </w:t>
      </w:r>
      <w:r>
        <w:t xml:space="preserve">The Web determines which templates enter the BN and with what credence. Low-credence templates are down-weighted. Ecumenical epistemology: coherentism for justification, foundationalism for causation.</w:t>
      </w:r>
    </w:p>
    <w:p>
      <w:r>
        <w:br w:type="page"/>
      </w:r>
    </w:p>
    <w:p>
      <w:pPr>
        <w:pStyle w:val="Heading1"/>
      </w:pPr>
      <w:r>
        <w:t xml:space="preserve">8. Worked Example: From Question to Design</w:t>
      </w:r>
    </w:p>
    <w:p>
      <w:pPr>
        <w:spacing w:after="120" w:line="276"/>
      </w:pPr>
      <w:r>
        <w:rPr>
          <w:i/>
          <w:iCs/>
        </w:rPr>
        <w:t xml:space="preserve">“Creative workspace, 15 people, south windows, 3.5m ceilings, wood paneling. What supports creative collaboration vs. deep work, and where do they trade off?”</w:t>
      </w:r>
    </w:p>
    <w:p>
      <w:pPr>
        <w:spacing w:after="120" w:line="276"/>
      </w:pPr>
      <w:r>
        <w:rPr>
          <w:b/>
          <w:bCs/>
        </w:rPr>
        <w:t xml:space="preserve">Variable resolution: </w:t>
      </w:r>
      <w:r>
        <w:t xml:space="preserve">light → 500–1200 lux; ceiling → 3.5m; wood → 30–60%. Flagged unspecified: acoustics, layout.</w:t>
      </w:r>
    </w:p>
    <w:p>
      <w:pPr>
        <w:spacing w:after="120" w:line="276"/>
      </w:pPr>
      <w:r>
        <w:rPr>
          <w:b/>
          <w:bCs/>
        </w:rPr>
        <w:t xml:space="preserve">Retrieved templates: </w:t>
      </w:r>
      <w:r>
        <w:t xml:space="preserve">T014 (+alertness, 0.82 credence), T007 (+creativity, 0.61), T007neg (–focus, 0.54), T022 (+comfort, 0.73), T041 (+restoration, 0.85), T055 (acoustics—UNSPECIFIED, 0.88).</w:t>
      </w:r>
    </w:p>
    <w:p>
      <w:pPr>
        <w:spacing w:after="120" w:line="276"/>
      </w:pPr>
      <w:r>
        <w:rPr>
          <w:b/>
          <w:bCs/>
        </w:rPr>
        <w:t xml:space="preserve">Creative work: </w:t>
      </w:r>
      <w:r>
        <w:t xml:space="preserve">d ≈ 0.55–0.75 (synergistic: light + height + wood + view). Deep work: d ≈ 0.10–0.30 (ceiling trade-off + view distraction).</w:t>
      </w:r>
    </w:p>
    <w:p>
      <w:pPr>
        <w:spacing w:after="120" w:line="276"/>
      </w:pPr>
      <w:r>
        <w:rPr>
          <w:b/>
          <w:bCs/>
        </w:rPr>
        <w:t xml:space="preserve">Recommendation: </w:t>
      </w:r>
      <w:r>
        <w:t xml:space="preserve">Spatial differentiation. Main volume: 3.5m ceilings for creative work. Alcove pods: 2.5–2.7m for focus. Acoustic zoning: 50–60 dB collaborative, &lt;40 dB focus. Critical: address acoustics (highest-credence gap).</w:t>
      </w:r>
    </w:p>
    <w:p>
      <w:r>
        <w:br w:type="page"/>
      </w:r>
    </w:p>
    <w:p>
      <w:pPr>
        <w:pStyle w:val="Heading1"/>
      </w:pPr>
      <w:r>
        <w:t xml:space="preserve">9. Philosophical Implications</w:t>
      </w:r>
    </w:p>
    <w:p>
      <w:pPr>
        <w:pStyle w:val="Heading2"/>
      </w:pPr>
      <w:r>
        <w:t xml:space="preserve">9.1 The Reduction as Method</w:t>
      </w:r>
    </w:p>
    <w:p>
      <w:pPr>
        <w:spacing w:after="120" w:line="276"/>
      </w:pPr>
      <w:r>
        <w:t xml:space="preserve">The theory-to-template reduction produces a precise ontology of what our theories claim. Every residual is a specific untested claim. The method generalizes to any domain with competing theories.</w:t>
      </w:r>
    </w:p>
    <w:p>
      <w:pPr>
        <w:pStyle w:val="Heading2"/>
      </w:pPr>
      <w:r>
        <w:t xml:space="preserve">9.2 Theoretical Pluralism</w:t>
      </w:r>
    </w:p>
    <w:p>
      <w:pPr>
        <w:spacing w:after="120" w:line="276"/>
      </w:pPr>
      <w:r>
        <w:t xml:space="preserve">The system maintains multiple theoretical vocabularies because they are genuinely complementary lenses. PP provides computational mechanism. ART/SRT provide domain phenomenology. Biophilia provides evolutionary context. Embodied cognition provides metaphor-to-mechanism bridges. Quine’s underdetermination is embraced, not suppressed.</w:t>
      </w:r>
    </w:p>
    <w:p>
      <w:pPr>
        <w:pStyle w:val="Heading2"/>
      </w:pPr>
      <w:r>
        <w:t xml:space="preserve">9.3 Cognitive Niche Construction</w:t>
      </w:r>
    </w:p>
    <w:p>
      <w:pPr>
        <w:spacing w:after="120" w:line="276"/>
      </w:pPr>
      <w:r>
        <w:t xml:space="preserve">If cognition extends into the environment (Clark &amp; Chalmers, 1998), architectural design is cognitive engineering. The Goldilocks Theory adds that the extended system has tunable operating parameters—shaped by culture, task, and individual difference. The Article Eater is a tool for engineering cognitive niches with explicit theoretical grounding, empirical uncertainty, and mechanistic specificity. It takes Andy’s framework out of philosophy and into the architect’s office.</w:t>
      </w:r>
    </w:p>
    <w:p>
      <w:r>
        <w:br w:type="page"/>
      </w:r>
    </w:p>
    <w:p>
      <w:pPr>
        <w:pStyle w:val="Heading1"/>
      </w:pPr>
      <w:r>
        <w:t xml:space="preserve">10. References</w:t>
      </w:r>
    </w:p>
    <w:p>
      <w:pPr>
        <w:spacing w:after="120" w:line="276"/>
      </w:pPr>
      <w:r>
        <w:t xml:space="preserve">Alvarsson, J. J., Wiens, S., &amp; Nilsson, M. E. (2010). Stress recovery during exposure to nature sound and environmental noise. International Journal of Environmental Research and Public Health, 7(3), 1036–1046. [GS: ~600]</w:t>
      </w:r>
    </w:p>
    <w:p>
      <w:pPr>
        <w:spacing w:after="120" w:line="276"/>
      </w:pPr>
      <w:r>
        <w:t xml:space="preserve">Appleton, J. (1975). The experience of landscape. Wiley. [GS: ~3,500]</w:t>
      </w:r>
    </w:p>
    <w:p>
      <w:pPr>
        <w:spacing w:after="120" w:line="276"/>
      </w:pPr>
      <w:r>
        <w:t xml:space="preserve">Aston-Jones, G., &amp; Cohen, J. D. (2005). An integrative theory of locus coeruleus–norepinephrine function: Adaptive gain and optimal performance. Annual Review of Neuroscience, 28, 403–450. [GS: ~6,500]</w:t>
      </w:r>
    </w:p>
    <w:p>
      <w:pPr>
        <w:spacing w:after="120" w:line="276"/>
      </w:pPr>
      <w:r>
        <w:t xml:space="preserve">Bar, M., &amp; Neta, M. (2006). Humans prefer curved visual objects. Psychological Science, 17(8), 645–648. [GS: ~800]</w:t>
      </w:r>
    </w:p>
    <w:p>
      <w:pPr>
        <w:spacing w:after="120" w:line="276"/>
      </w:pPr>
      <w:r>
        <w:t xml:space="preserve">Barsalou, L. W. (2008). Grounded cognition. Annual Review of Psychology, 59, 617–645. [GS: ~8,200]</w:t>
      </w:r>
    </w:p>
    <w:p>
      <w:pPr>
        <w:spacing w:after="120" w:line="276"/>
      </w:pPr>
      <w:r>
        <w:t xml:space="preserve">Baumeister, R. F., Vohs, K. D., &amp; Tice, D. M. (2007). The strength model of self-control. Current Directions in Psychological Science, 16(6), 351–355. [GS: ~3,500]</w:t>
      </w:r>
    </w:p>
    <w:p>
      <w:pPr>
        <w:spacing w:after="120" w:line="276"/>
      </w:pPr>
      <w:r>
        <w:t xml:space="preserve">Beauchamp, M. S., Lee, K. E., Argall, B. D., &amp; Martin, A. (2004). Integration of auditory and visual information about objects in superior temporal sulcus. Neuron, 41(5), 809–823. [GS: ~1,500]</w:t>
      </w:r>
    </w:p>
    <w:p>
      <w:pPr>
        <w:spacing w:after="120" w:line="276"/>
      </w:pPr>
      <w:r>
        <w:t xml:space="preserve">Berlyne, D. E. (1971). Aesthetics and psychobiology. Appleton-Century-Crofts. [GS: ~4,100]</w:t>
      </w:r>
    </w:p>
    <w:p>
      <w:pPr>
        <w:spacing w:after="120" w:line="276"/>
      </w:pPr>
      <w:r>
        <w:t xml:space="preserve">Berto, R. (2005). Exposure to restorative environments helps restore attentional capacity. Journal of Environmental Psychology, 25(3), 249–259. [GS: ~1,200]</w:t>
      </w:r>
    </w:p>
    <w:p>
      <w:pPr>
        <w:spacing w:after="120" w:line="276"/>
      </w:pPr>
      <w:r>
        <w:t xml:space="preserve">Boubekri, M., et al. (2014). Impact of windows and daylight exposure on health and sleep quality. Journal of Clinical Sleep Medicine, 10(6), 603–611. [GS: ~800]</w:t>
      </w:r>
    </w:p>
    <w:p>
      <w:pPr>
        <w:spacing w:after="120" w:line="276"/>
      </w:pPr>
      <w:r>
        <w:t xml:space="preserve">Brainard, G. C., et al. (2001). Action spectrum for melatonin regulation in humans. Journal of Neuroscience, 21(16), 6405–6412. [GS: ~2,800]</w:t>
      </w:r>
    </w:p>
    <w:p>
      <w:pPr>
        <w:spacing w:after="120" w:line="276"/>
      </w:pPr>
      <w:r>
        <w:t xml:space="preserve">Bratman, G. N., et al. (2015). Nature experience reduces rumination and subgenual prefrontal cortex activation. PNAS, 112(28), 8567–8572. [GS: ~1,500]</w:t>
      </w:r>
    </w:p>
    <w:p>
      <w:pPr>
        <w:spacing w:after="120" w:line="276"/>
      </w:pPr>
      <w:r>
        <w:t xml:space="preserve">Cajochen, C. (2007). Alerting effects of light. Sleep Medicine Reviews, 11(6), 453–464. [GS: ~700]</w:t>
      </w:r>
    </w:p>
    <w:p>
      <w:pPr>
        <w:spacing w:after="120" w:line="276"/>
      </w:pPr>
      <w:r>
        <w:t xml:space="preserve">Clark, A. (2013). Whatever next? Behavioral and Brain Sciences, 36(3), 181–204. [GS: ~5,800]</w:t>
      </w:r>
    </w:p>
    <w:p>
      <w:pPr>
        <w:spacing w:after="120" w:line="276"/>
      </w:pPr>
      <w:r>
        <w:t xml:space="preserve">Clark, A. (2015). Surfing uncertainty. Oxford University Press. [GS: ~3,200]</w:t>
      </w:r>
    </w:p>
    <w:p>
      <w:pPr>
        <w:spacing w:after="120" w:line="276"/>
      </w:pPr>
      <w:r>
        <w:t xml:space="preserve">Clark, A., &amp; Chalmers, D. (1998). The extended mind. Analysis, 58(1), 7–19. [GS: ~11,000]</w:t>
      </w:r>
    </w:p>
    <w:p>
      <w:pPr>
        <w:spacing w:after="120" w:line="276"/>
      </w:pPr>
      <w:r>
        <w:t xml:space="preserve">Czeisler, C. A., et al. (1999). Stability of the human circadian pacemaker. Science, 284(5423), 2177–2181. [GS: ~2,400]</w:t>
      </w:r>
    </w:p>
    <w:p>
      <w:pPr>
        <w:spacing w:after="120" w:line="276"/>
      </w:pPr>
      <w:r>
        <w:t xml:space="preserve">de Dear, R. J., &amp; Brager, G. S. (2002). Thermal comfort in naturally ventilated buildings. Energy and Buildings, 34(6), 549–561. [GS: ~3,100]</w:t>
      </w:r>
    </w:p>
    <w:p>
      <w:pPr>
        <w:spacing w:after="120" w:line="276"/>
      </w:pPr>
      <w:r>
        <w:t xml:space="preserve">Fanger, P. O. (1970). Thermal comfort. Danish Technical Press. [GS: ~8,500]</w:t>
      </w:r>
    </w:p>
    <w:p>
      <w:pPr>
        <w:spacing w:after="120" w:line="276"/>
      </w:pPr>
      <w:r>
        <w:t xml:space="preserve">Fell, D. R. (2010). Wood in the human environment. University of British Columbia. [GS: ~200]</w:t>
      </w:r>
    </w:p>
    <w:p>
      <w:pPr>
        <w:spacing w:after="120" w:line="276"/>
      </w:pPr>
      <w:r>
        <w:t xml:space="preserve">Field, D. J. (1987). Relations between the statistics of natural images and the response properties of cortical cells. JOSA A, 4(12), 2379–2394. [GS: ~4,200]</w:t>
      </w:r>
    </w:p>
    <w:p>
      <w:pPr>
        <w:spacing w:after="120" w:line="276"/>
      </w:pPr>
      <w:r>
        <w:t xml:space="preserve">Friston, K. (2010). The free-energy principle. Nature Reviews Neuroscience, 11(2), 127–138. [GS: ~8,500]</w:t>
      </w:r>
    </w:p>
    <w:p>
      <w:pPr>
        <w:spacing w:after="120" w:line="276"/>
      </w:pPr>
      <w:r>
        <w:t xml:space="preserve">Gottfried, J. A. (2010). Central mechanisms of odour object perception. Nature Reviews Neuroscience, 11(9), 628–641. [GS: ~800]</w:t>
      </w:r>
    </w:p>
    <w:p>
      <w:pPr>
        <w:spacing w:after="120" w:line="276"/>
      </w:pPr>
      <w:r>
        <w:t xml:space="preserve">Hagerhall, C. M., Purcell, T., &amp; Taylor, R. (2004). Fractal dimension of landscape silhouette outlines as a predictor of landscape preference. Journal of Environmental Psychology, 24(2), 247–255. [GS: ~500]</w:t>
      </w:r>
    </w:p>
    <w:p>
      <w:pPr>
        <w:spacing w:after="120" w:line="276"/>
      </w:pPr>
      <w:r>
        <w:t xml:space="preserve">Hohwy, J. (2013). The predictive mind. Oxford University Press. [GS: ~2,800]</w:t>
      </w:r>
    </w:p>
    <w:p>
      <w:pPr>
        <w:spacing w:after="120" w:line="276"/>
      </w:pPr>
      <w:r>
        <w:t xml:space="preserve">Ikei, H., Song, C., &amp; Miyazaki, Y. (2017). Physiological effects of wood on humans: A review. Journal of Wood Science, 63, 1–23. [GS: ~400]</w:t>
      </w:r>
    </w:p>
    <w:p>
      <w:pPr>
        <w:spacing w:after="120" w:line="276"/>
      </w:pPr>
      <w:r>
        <w:t xml:space="preserve">Jahncke, H., et al. (2011). Open-plan office noise: Cognitive performance and restoration. Journal of Environmental Psychology, 31(4), 373–382. [GS: ~400]</w:t>
      </w:r>
    </w:p>
    <w:p>
      <w:pPr>
        <w:spacing w:after="120" w:line="276"/>
      </w:pPr>
      <w:r>
        <w:t xml:space="preserve">Joye, Y., &amp; van den Berg, A. (2011). Is love for green in our genes? Urban Forestry &amp; Urban Greening, 10(4), 261–268. [GS: ~250]</w:t>
      </w:r>
    </w:p>
    <w:p>
      <w:pPr>
        <w:spacing w:after="120" w:line="276"/>
      </w:pPr>
      <w:r>
        <w:t xml:space="preserve">Kahn, P. H., et al. (2008). A plasma display window? The shifting baseline problem in a technologically mediated natural world. Journal of Environmental Psychology, 28(2), 192–199. [GS: ~400]</w:t>
      </w:r>
    </w:p>
    <w:p>
      <w:pPr>
        <w:spacing w:after="120" w:line="276"/>
      </w:pPr>
      <w:r>
        <w:t xml:space="preserve">Kaplan, S. (1989). The experience of nature. Cambridge University Press. [GS: ~7,200]</w:t>
      </w:r>
    </w:p>
    <w:p>
      <w:pPr>
        <w:spacing w:after="120" w:line="276"/>
      </w:pPr>
      <w:r>
        <w:t xml:space="preserve">Kaplan, S. (1995). The restorative benefits of nature. Journal of Environmental Psychology, 15(3), 169–182. [GS: ~6,800]</w:t>
      </w:r>
    </w:p>
    <w:p>
      <w:pPr>
        <w:spacing w:after="120" w:line="276"/>
      </w:pPr>
      <w:r>
        <w:t xml:space="preserve">Kellert, S. R., &amp; Wilson, E. O. (Eds.). (1993). The biophilia hypothesis. Island Press. [GS: ~3,800]</w:t>
      </w:r>
    </w:p>
    <w:p>
      <w:pPr>
        <w:spacing w:after="120" w:line="276"/>
      </w:pPr>
      <w:r>
        <w:t xml:space="preserve">Knill, D. C., &amp; Richards, W. (Eds.). (1996). Perception as Bayesian inference. Cambridge University Press. [GS: ~1,800]</w:t>
      </w:r>
    </w:p>
    <w:p>
      <w:pPr>
        <w:spacing w:after="120" w:line="276"/>
      </w:pPr>
      <w:r>
        <w:t xml:space="preserve">Kurzban, R., et al. (2013). An opportunity cost model of subjective effort and task performance. Behavioral and Brain Sciences, 36(6), 661–679. [GS: ~1,200]</w:t>
      </w:r>
    </w:p>
    <w:p>
      <w:pPr>
        <w:spacing w:after="120" w:line="276"/>
      </w:pPr>
      <w:r>
        <w:t xml:space="preserve">Lakoff, G., &amp; Johnson, M. (1980). Metaphors we live by. University of Chicago Press. [GS: ~48,000]</w:t>
      </w:r>
    </w:p>
    <w:p>
      <w:pPr>
        <w:spacing w:after="120" w:line="276"/>
      </w:pPr>
      <w:r>
        <w:t xml:space="preserve">Lakoff, G., &amp; Johnson, M. (1999). Philosophy in the flesh. Basic Books. [GS: ~11,500]</w:t>
      </w:r>
    </w:p>
    <w:p>
      <w:pPr>
        <w:spacing w:after="120" w:line="276"/>
      </w:pPr>
      <w:r>
        <w:t xml:space="preserve">Meyers-Levy, J., &amp; Zhu, R. (2007). The influence of ceiling height. Journal of Consumer Research, 34(2), 174–186. [GS: ~900]</w:t>
      </w:r>
    </w:p>
    <w:p>
      <w:pPr>
        <w:spacing w:after="120" w:line="276"/>
      </w:pPr>
      <w:r>
        <w:t xml:space="preserve">Nyrud, A. Q., &amp; Bringslimark, T. (2010). Is interior wood use psychologically beneficial? Wood and Fiber Science, 42(2), 202–218. [GS: ~200]</w:t>
      </w:r>
    </w:p>
    <w:p>
      <w:pPr>
        <w:spacing w:after="120" w:line="276"/>
      </w:pPr>
      <w:r>
        <w:t xml:space="preserve">Ohly, H., et al. (2016). ART: A systematic review. Journal of Toxicology and Environmental Health, Part B, 19(7), 305–343. [GS: ~500]</w:t>
      </w:r>
    </w:p>
    <w:p>
      <w:pPr>
        <w:spacing w:after="120" w:line="276"/>
      </w:pPr>
      <w:r>
        <w:t xml:space="preserve">Phipps-Nelson, J., et al. (2003). Daytime exposure to bright light decreases sleepiness. Sleep, 26(6), 695–700. [GS: ~300]</w:t>
      </w:r>
    </w:p>
    <w:p>
      <w:pPr>
        <w:spacing w:after="120" w:line="276"/>
      </w:pPr>
      <w:r>
        <w:t xml:space="preserve">Portilla, J., &amp; Simoncelli, E. P. (2000). A parametric texture model based on joint statistics of complex wavelet coefficients. IJCV, 40(1), 49–71. [GS: ~2,200]</w:t>
      </w:r>
    </w:p>
    <w:p>
      <w:pPr>
        <w:spacing w:after="120" w:line="276"/>
      </w:pPr>
      <w:r>
        <w:t xml:space="preserve">Quine, W. V., &amp; Ullian, J. S. (1978). The web of belief (2nd ed.). Random House. [GS: ~2,100]</w:t>
      </w:r>
    </w:p>
    <w:p>
      <w:pPr>
        <w:spacing w:after="120" w:line="276"/>
      </w:pPr>
      <w:r>
        <w:t xml:space="preserve">Sakuragawa, S., et al. (2005). Influence of wood wall panels on physiological and psychological responses. Journal of Wood Science, 51(2), 136–140. [GS: ~200]</w:t>
      </w:r>
    </w:p>
    <w:p>
      <w:pPr>
        <w:spacing w:after="120" w:line="276"/>
      </w:pPr>
      <w:r>
        <w:t xml:space="preserve">Salingaros, N. A. (2003). The sensory value of ornament. Communication &amp; Cognition, 36(3–4), 331–351. [GS: ~150]</w:t>
      </w:r>
    </w:p>
    <w:p>
      <w:pPr>
        <w:spacing w:after="120" w:line="276"/>
      </w:pPr>
      <w:r>
        <w:t xml:space="preserve">Salomons, T. V., et al. (2004). Perceived controllability modulates the neural response to pain. Journal of Neuroscience, 24(32), 7199–7203. [GS: ~1,200]</w:t>
      </w:r>
    </w:p>
    <w:p>
      <w:pPr>
        <w:spacing w:after="120" w:line="276"/>
      </w:pPr>
      <w:r>
        <w:t xml:space="preserve">Schubert, T. W. (2005). Your highness: Vertical positions as perceptual symbols of power. Journal of Personality and Social Psychology, 89(1), 1–21. [GS: ~700]</w:t>
      </w:r>
    </w:p>
    <w:p>
      <w:pPr>
        <w:spacing w:after="120" w:line="276"/>
      </w:pPr>
      <w:r>
        <w:t xml:space="preserve">Simoncelli, E. P., &amp; Olshausen, B. A. (2001). Natural image statistics and neural representation. Annual Review of Neuroscience, 24, 1193–1216. [GS: ~3,500]</w:t>
      </w:r>
    </w:p>
    <w:p>
      <w:pPr>
        <w:spacing w:after="120" w:line="276"/>
      </w:pPr>
      <w:r>
        <w:t xml:space="preserve">Spehar, B., et al. (2003). Universal aesthetic of fractals. Computers &amp; Graphics, 27(5), 813–820. [GS: ~350]</w:t>
      </w:r>
    </w:p>
    <w:p>
      <w:pPr>
        <w:spacing w:after="120" w:line="276"/>
      </w:pPr>
      <w:r>
        <w:t xml:space="preserve">Stein, B. E., &amp; Meredith, M. A. (1993). The merging of the senses. MIT Press. [GS: ~3,800]</w:t>
      </w:r>
    </w:p>
    <w:p>
      <w:pPr>
        <w:spacing w:after="120" w:line="276"/>
      </w:pPr>
      <w:r>
        <w:t xml:space="preserve">Taylor, R. P., et al. (2011). Perceptual and physiological responses to Jackson Pollock’s fractals. Frontiers in Human Neuroscience, 5, 60. [GS: ~350]</w:t>
      </w:r>
    </w:p>
    <w:p>
      <w:pPr>
        <w:spacing w:after="120" w:line="276"/>
      </w:pPr>
      <w:r>
        <w:t xml:space="preserve">Trope, Y., &amp; Liberman, N. (2010). Construal-level theory. Psychological Review, 117(2), 440–463. [GS: ~5,200]</w:t>
      </w:r>
    </w:p>
    <w:p>
      <w:pPr>
        <w:spacing w:after="120" w:line="276"/>
      </w:pPr>
      <w:r>
        <w:t xml:space="preserve">Tsunetsugu, Y., et al. (2007). Physiological effects of wood interiors. Journal of Wood Science, 53(1), 11–16. [GS: ~300]</w:t>
      </w:r>
    </w:p>
    <w:p>
      <w:pPr>
        <w:spacing w:after="120" w:line="276"/>
      </w:pPr>
      <w:r>
        <w:t xml:space="preserve">Ulrich, R. S. (1983). Aesthetic and affective response to natural environment. In Behavior and the natural environment (pp. 85–125). Plenum. [GS: ~3,500]</w:t>
      </w:r>
    </w:p>
    <w:p>
      <w:pPr>
        <w:spacing w:after="120" w:line="276"/>
      </w:pPr>
      <w:r>
        <w:t xml:space="preserve">Ulrich, R. S. (1984). View through a window may influence recovery from surgery. Science, 224(4647), 420–421. [GS: ~5,800]</w:t>
      </w:r>
    </w:p>
    <w:p>
      <w:pPr>
        <w:spacing w:after="120" w:line="276"/>
      </w:pPr>
      <w:r>
        <w:t xml:space="preserve">Ulrich, R. S. (1991). Effects of interior design on wellness. JHCID, 3(1), 97–109. [GS: ~600]</w:t>
      </w:r>
    </w:p>
    <w:p>
      <w:pPr>
        <w:spacing w:after="120" w:line="276"/>
      </w:pPr>
      <w:r>
        <w:t xml:space="preserve">Vartanian, O., et al. (2015). Architectural design and the brain. Journal of Environmental Psychology, 41, 10–18. [GS: ~300]</w:t>
      </w:r>
    </w:p>
    <w:p>
      <w:pPr>
        <w:spacing w:after="120" w:line="276"/>
      </w:pPr>
      <w:r>
        <w:t xml:space="preserve">Viola, A. U., et al. (2008). Blue-enriched white light in the workplace. SJWEH, 34(4), 297–306. [GS: ~500]</w:t>
      </w:r>
    </w:p>
    <w:p>
      <w:pPr>
        <w:spacing w:after="120" w:line="276"/>
      </w:pPr>
      <w:r>
        <w:t xml:space="preserve">Wilson, E. O. (1984). Biophilia. Harvard University Press. [GS: ~6,800]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Kirsh — UC San Diego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The Article Eater — Philosopher Presentation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B5A8C"/>
      <w:sz w:val="26"/>
      <w:szCs w:val="26"/>
    </w:rPr>
  </w:style>
  <w:style w:type="paragraph" w:styleId="Heading3">
    <w:name w:val="Heading 3"/>
    <w:basedOn w:val="Normal"/>
    <w:next w:val="Normal"/>
    <w:qFormat/>
    <w:pPr>
      <w:spacing w:before="200" w:after="120"/>
      <w:outlineLvl w:val="2"/>
    </w:pPr>
    <w:rPr>
      <w:rFonts w:ascii="Arial" w:cs="Arial" w:eastAsia="Arial" w:hAnsi="Arial"/>
      <w:b/>
      <w:bCs/>
      <w:i/>
      <w:iCs/>
      <w:color w:val="3B6A9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2026-02-18T14:17:13.270Z</dcterms:created>
  <dcterms:modified xsi:type="dcterms:W3CDTF">2026-02-18T14:17:13.271Z</dcterms:modified>
</cp:coreProperties>
</file>

<file path=docProps/custom.xml><?xml version="1.0" encoding="utf-8"?>
<Properties xmlns="http://schemas.openxmlformats.org/officeDocument/2006/custom-properties" xmlns:vt="http://schemas.openxmlformats.org/officeDocument/2006/docPropsVTypes"/>
</file>