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sz w:val="52"/>
          <w:szCs w:val="52"/>
        </w:rPr>
        <w:t xml:space="preserve">The Goldilocks Principle in Environmental Design</w:t>
      </w:r>
    </w:p>
    <w:p>
      <w:pPr>
        <w:spacing w:after="100"/>
        <w:jc w:val="center"/>
      </w:pPr>
      <w:r>
        <w:rPr>
          <w:rFonts w:ascii="Arial" w:cs="Arial" w:eastAsia="Arial" w:hAnsi="Arial"/>
          <w:i/>
          <w:iCs/>
          <w:sz w:val="26"/>
          <w:szCs w:val="26"/>
        </w:rPr>
        <w:t xml:space="preserve">Why the Brain Prefers the Middle:
Optimal Stimulation, Prediction Error, and the Architecture of Cognitive Niches</w:t>
      </w:r>
    </w:p>
    <w:p>
      <w:pPr>
        <w:spacing w:before="500"/>
        <w:jc w:val="center"/>
      </w:pPr>
      <w:r>
        <w:rPr>
          <w:rFonts w:ascii="Arial" w:cs="Arial" w:eastAsia="Arial" w:hAnsi="Arial"/>
          <w:sz w:val="26"/>
          <w:szCs w:val="26"/>
        </w:rPr>
        <w:t xml:space="preserve">David Kirsh</w:t>
      </w:r>
    </w:p>
    <w:p>
      <w:pPr>
        <w:jc w:val="center"/>
      </w:pPr>
      <w:r>
        <w:rPr>
          <w:rFonts w:ascii="Arial" w:cs="Arial" w:eastAsia="Arial" w:hAnsi="Arial"/>
          <w:sz w:val="22"/>
          <w:szCs w:val="22"/>
        </w:rPr>
        <w:t xml:space="preserve">Department of Cognitive Science, University of California, San Diego</w:t>
      </w:r>
    </w:p>
    <w:p>
      <w:pPr>
        <w:spacing w:before="300"/>
        <w:jc w:val="center"/>
      </w:pPr>
      <w:r>
        <w:rPr>
          <w:rFonts w:ascii="Arial" w:cs="Arial" w:eastAsia="Arial" w:hAnsi="Arial"/>
          <w:i/>
          <w:iCs/>
          <w:sz w:val="22"/>
          <w:szCs w:val="22"/>
        </w:rPr>
        <w:t xml:space="preserve">DRAFT — February 2026</w:t>
      </w:r>
    </w:p>
    <w:p>
      <w:r>
        <w:br w:type="page"/>
      </w:r>
    </w:p>
    <w:p>
      <w:pPr>
        <w:pStyle w:val="Heading1"/>
      </w:pPr>
      <w:r>
        <w:t xml:space="preserve">Abstract</w:t>
      </w:r>
    </w:p>
    <w:p>
      <w:pPr>
        <w:spacing w:after="120" w:line="276"/>
      </w:pPr>
      <w:r>
        <w:t xml:space="preserve">Across a remarkable range of environmental dimensions—visual complexity, acoustic intensity, temperature, material coverage, spatial proportions, fractal geometry, and light levels—the relationship between environmental stimulus intensity and human cognitive-affective response follows an inverted-U function: there is an intermediate level that optimizes the outcome, with both too little and too much producing worse results. I call this the Goldilocks Principle in environmental design. This paper develops the principle systematically. I show that the inverted-U is not merely the Wundt curve or Berlyne’s arousal potential revisited, but reflects a deeper pattern with multiple distinct mechanisms. I relate the Goldilocks Principle to Predictive Processing, showing that while PP provides the best available computational framework for understanding why intermediate levels are preferred, PP in its basic form cannot explain several key features of the Goldilocks pattern—including its normative force, its multi-channel structure, its task-dependence, and its cultural parameterization. I present evidence from fieldwork in Varanasi, India, showing that Goldilocks set-points are shifted across multiple sensory modalities simultaneously, suggesting that optimal stimulation levels are culturally tunable parameters of the extended cognitive system. I conclude with applications to architectural design, arguing that the Goldilocks Principle transforms evidence-based design from a collection of isolated findings into a coherent framework for optimizing the multi-sensory profile of built environments.</w:t>
      </w:r>
    </w:p>
    <w:p>
      <w:r>
        <w:br w:type="page"/>
      </w:r>
    </w:p>
    <w:p>
      <w:pPr>
        <w:pStyle w:val="Heading1"/>
      </w:pPr>
      <w:r>
        <w:t xml:space="preserve">1. The Phenomenon: Inverted-U Functions Everywhere</w:t>
      </w:r>
    </w:p>
    <w:p>
      <w:pPr>
        <w:spacing w:after="120" w:line="276"/>
      </w:pPr>
      <w:r>
        <w:t xml:space="preserve">Consider the following findings, drawn from different subfields, different journals, and different research traditions:</w:t>
      </w:r>
    </w:p>
    <w:p>
      <w:pPr>
        <w:pStyle w:val="Heading2"/>
      </w:pPr>
      <w:r>
        <w:t xml:space="preserve">1.1 Visual Complexity</w:t>
      </w:r>
    </w:p>
    <w:p>
      <w:pPr>
        <w:spacing w:after="120" w:line="276"/>
      </w:pPr>
      <w:r>
        <w:t xml:space="preserve">Berlyne (1971) showed that aesthetic preference for visual patterns follows an inverted-U as a function of complexity: very simple patterns are boring; very complex patterns are aversive; intermediate complexity is preferred. The mechanism chain: visual input → V1/V2 spatial frequency analysis → hierarchical predictive models in V2→V4→IT cortex → prediction error (PE) magnitude as a function of complexity. Too simple = negligible PE = no information gain = boredom (nucleus accumbens reward circuitry is not engaged). Too complex = PE exceeds model capacity = aversive uncertainty signal (anterior insula + dACC activation). Moderate = PE within the learnable range = engagement + positive affect (ventral striatum dopaminergic reward signal for successful prediction updating; Schomaker &amp; Meeter, 2015).</w:t>
      </w:r>
    </w:p>
    <w:p>
      <w:pPr>
        <w:spacing w:after="120" w:line="276"/>
      </w:pPr>
      <w:r>
        <w:t xml:space="preserve">This is not a marginal effect. Fechner (1876) first documented it. Birkhoff (1933) formalized it as aesthetic measure = order/complexity. Berlyne (1971) gave it a motivational-arousal mechanism. Martindale (1984) replicated it across art, music, and literature. Güçlütürk et al. (2016) confirmed it in large-scale computational analyses of visual art. And it appears in the built environment: Stamps (2004) found inverted-U preference for building facade complexity; Salingaros (2003) found it for ornamental density; and our own work finds it in the visual complexity of streetscapes.</w:t>
      </w:r>
    </w:p>
    <w:p>
      <w:pPr>
        <w:pStyle w:val="Heading2"/>
      </w:pPr>
      <w:r>
        <w:t xml:space="preserve">1.2 Acoustic Intensity</w:t>
      </w:r>
    </w:p>
    <w:p>
      <w:pPr>
        <w:spacing w:after="120" w:line="276"/>
      </w:pPr>
      <w:r>
        <w:t xml:space="preserve">Rajan et al. (2015) found that moderate ambient sound levels (~70 dB, roughly coffee-shop noise) enhanced creative performance relative to both quiet (&lt;50 dB) and loud (&gt;85 dB) conditions. The mechanism chain: ambient sound → cochlear transduction → ascending auditory pathway → auditory cortex → moderate disruption of focused attentional processing (weakly activating the ventral attention network via phasic LC-NE burst, but not enough to fully capture attention) → mild defocusing of attention → broader associative activation → enhanced remote association and creative insight. Too quiet = no disruption of default processing = narrow associative scope. Too loud = full attentional capture → task interruption.</w:t>
      </w:r>
    </w:p>
    <w:p>
      <w:pPr>
        <w:spacing w:after="120" w:line="276"/>
      </w:pPr>
      <w:r>
        <w:t xml:space="preserve">Mehta et al. (2012) confirmed this with a more careful design, finding that 70 dB ambient noise improved Remote Associates Test performance relative to 50 dB (quiet) and 85 dB (loud). The effect is specific to creative tasks requiring broad associative search; it does not extend to focused analytical tasks, which show monotonically negative effects of noise (T055 in the Article Eater system).</w:t>
      </w:r>
    </w:p>
    <w:p>
      <w:pPr>
        <w:pStyle w:val="Heading2"/>
      </w:pPr>
      <w:r>
        <w:t xml:space="preserve">1.3 Temperature</w:t>
      </w:r>
    </w:p>
    <w:p>
      <w:pPr>
        <w:spacing w:after="120" w:line="276"/>
      </w:pPr>
      <w:r>
        <w:t xml:space="preserve">Thermal comfort has been studied for decades and shows one of the tightest inverted-U functions in the entire environmental psychology literature. Fanger’s (1970) PMV-PPD model quantifies it precisely: predicted percentage dissatisfied rises symmetrically as temperature deviates from the neutral band in either direction. The mechanism: skin thermoreceptors → lateral parabrachial nucleus → preoptic area of hypothalamus → deviation from homeostatic set-point → autonomic stress response (sympathetic activation for cold; vasodilation and sweating for heat) → resource diversion from cognitive processing → performance decrement.</w:t>
      </w:r>
    </w:p>
    <w:p>
      <w:pPr>
        <w:spacing w:after="120" w:line="276"/>
      </w:pPr>
      <w:r>
        <w:t xml:space="preserve">Lan et al. (2011) found that cognitive performance on neurobehavioral tasks peaked at 22°C and declined both above and below. Seppänen et al. (2006) conducted a meta-analysis showing a 2% performance decrement per degree above 25°C. The inverted-U is steep and consistent—but as we shall see, its width varies dramatically across cultures and contexts (Section 4).</w:t>
      </w:r>
    </w:p>
    <w:p>
      <w:pPr>
        <w:pStyle w:val="Heading2"/>
      </w:pPr>
      <w:r>
        <w:t xml:space="preserve">1.4 Material Coverage: The Wood Surface Curve</w:t>
      </w:r>
    </w:p>
    <w:p>
      <w:pPr>
        <w:spacing w:after="120" w:line="276"/>
      </w:pPr>
      <w:r>
        <w:t xml:space="preserve">Tsunetsugu et al. (2007) found that physiological stress markers (blood pressure, heart rate variability, skin conductance) showed optimal values at approximately 45% wood surface coverage, declining with more wood. Nyrud and Bringslimark (2010) confirmed that rooms with 90%+ wood were rated as “oppressive” or “claustrophobic.” The mechanism: wood grain visual pattern → V1/V2 spatial frequency analysis → 1/f fractal spectrum detection → processing fluency (low PE for natural statistics) → parasympathetic activation → stress reduction. But beyond ~45%, the signal switches: pattern monotony → reduced information gain (no PE at all) + possible material-dominance aversion (the environment becomes dominated by a single material, reducing visual complexity below the optimal range from 1.1).</w:t>
      </w:r>
    </w:p>
    <w:p>
      <w:pPr>
        <w:pStyle w:val="Heading2"/>
      </w:pPr>
      <w:r>
        <w:t xml:space="preserve">1.5 Fractal Dimension</w:t>
      </w:r>
    </w:p>
    <w:p>
      <w:pPr>
        <w:spacing w:after="120" w:line="276"/>
      </w:pPr>
      <w:r>
        <w:t xml:space="preserve">Taylor et al. (2011) found that physiological stress reduction and aesthetic preference for fractal patterns peaked at D ≈ 1.3 (on a scale from 1.0 = a line to 2.0 = a filled plane), declining at both lower and higher D values. Hagerhall et al. (2004) found the same for landscape silhouettes. Spehar et al. (2003) found it for abstract computer-generated fractals. The preferred D maps onto the statistics of natural scenes (Field, 1987; Simoncelli &amp; Olshausen, 2001), which cluster in the D ≈ 1.2–1.4 range. The mechanism: fractal pattern → V1 spatial frequency processing → 1/fα spectrum analysis (α ≈ 1.2–1.4 for natural scenes) → match with visual cortex priors → minimal PE = processing fluency → reduced cortical metabolic demand → parasympathetic tone increase → stress reduction. Too low D = too simple, insufficient engagement. Too high D = PE exceeds prior, cortical processing becomes effortful and aversive.</w:t>
      </w:r>
    </w:p>
    <w:p>
      <w:pPr>
        <w:pStyle w:val="Heading2"/>
      </w:pPr>
      <w:r>
        <w:t xml:space="preserve">1.6 Ceiling Height and Spatial Proportions</w:t>
      </w:r>
    </w:p>
    <w:p>
      <w:pPr>
        <w:spacing w:after="120" w:line="276"/>
      </w:pPr>
      <w:r>
        <w:t xml:space="preserve">Meyers-Levy and Zhu (2007) found that 10-foot ceilings promoted abstract, relational processing (higher RAT scores) while 8-foot ceilings promoted detail-focused processing (better anagram performance). Vartanian et al. (2015) found increased precuneus activation (associated with visuospatial perspective-taking) in high-ceiling conditions. The effect suggests an inverted-U when viewed from a dual-task perspective: for creative work, there is an optimal ceiling height above which the “freedom” signal saturates (cathedrals are not creativity machines); for focused work, there is an optimal height below which the “confinement” signal becomes aversive.</w:t>
      </w:r>
    </w:p>
    <w:p>
      <w:pPr>
        <w:pStyle w:val="Heading2"/>
      </w:pPr>
      <w:r>
        <w:t xml:space="preserve">1.7 Light Levels</w:t>
      </w:r>
    </w:p>
    <w:p>
      <w:pPr>
        <w:spacing w:after="120" w:line="276"/>
      </w:pPr>
      <w:r>
        <w:t xml:space="preserve">The circadian alertness pathway (T014: blue light → ipRGC → SCN → cortisol → LC-NE → DAN → vigilance) shows a positive relationship from ~100 to ~2000 lux, then ceiling. But for mood and comfort, the relationship is inverted-U: too-dim environments induce sleepiness and negative affect (Boyce, 2014); too-bright environments induce glare discomfort and visual stress (Osterhaus, 2005). The optimal range depends on task, time of day, and adaptation state. Evening relaxation has a much lower optimal lux than morning focused work—another dimension of the Goldilocks principle’s contextual relativity.</w:t>
      </w:r>
    </w:p>
    <w:p>
      <w:pPr>
        <w:spacing w:after="120" w:line="276"/>
      </w:pPr>
      <w:r>
        <w:rPr>
          <w:b/>
          <w:bCs/>
        </w:rPr>
        <w:t xml:space="preserve">The pattern is clear: across visual complexity, acoustic intensity, temperature, material coverage, fractal geometry, spatial proportions, and light levels, the environment-cognition relationship is inverted-U.</w:t>
      </w:r>
      <w:r>
        <w:t xml:space="preserve"> This is not seven coincidences. It reflects something fundamental about how the brain engages with environmental stimulation.</w:t>
      </w:r>
    </w:p>
    <w:p>
      <w:r>
        <w:br w:type="page"/>
      </w:r>
    </w:p>
    <w:p>
      <w:pPr>
        <w:pStyle w:val="Heading1"/>
      </w:pPr>
      <w:r>
        <w:t xml:space="preserve">2. Berlyne’s Framework: More Than Boring vs. Stimulating</w:t>
      </w:r>
    </w:p>
    <w:p>
      <w:pPr>
        <w:spacing w:after="120" w:line="276"/>
      </w:pPr>
      <w:r>
        <w:t xml:space="preserve">The most common account of the inverted-U—“too boring vs. too stimulating”—is a vulgarization of Berlyne’s (1971) much richer framework. It is worth recovering what Berlyne actually proposed, because his distinctions matter for understanding why the Goldilocks principle extends beyond simple arousal.</w:t>
      </w:r>
    </w:p>
    <w:p>
      <w:pPr>
        <w:pStyle w:val="Heading2"/>
      </w:pPr>
      <w:r>
        <w:t xml:space="preserve">2.1 Collative Variables, Not Just Intensity</w:t>
      </w:r>
    </w:p>
    <w:p>
      <w:pPr>
        <w:spacing w:after="120" w:line="276"/>
      </w:pPr>
      <w:r>
        <w:t xml:space="preserve">Berlyne did </w:t>
      </w:r>
      <w:r>
        <w:rPr>
          <w:i/>
          <w:iCs/>
        </w:rPr>
        <w:t xml:space="preserve">not</w:t>
      </w:r>
      <w:r>
        <w:t xml:space="preserve"> claim that aesthetic preference is a function of stimulus intensity. He identified four </w:t>
      </w:r>
      <w:r>
        <w:rPr>
          <w:b/>
          <w:bCs/>
        </w:rPr>
        <w:t xml:space="preserve">collative variables</w:t>
      </w:r>
      <w:r>
        <w:t xml:space="preserve">—properties that require comparison or collation of information: </w:t>
      </w:r>
      <w:r>
        <w:rPr>
          <w:b/>
          <w:bCs/>
        </w:rPr>
        <w:t xml:space="preserve">complexity</w:t>
      </w:r>
      <w:r>
        <w:t xml:space="preserve"> (the number and variety of distinguishable elements), </w:t>
      </w:r>
      <w:r>
        <w:rPr>
          <w:b/>
          <w:bCs/>
        </w:rPr>
        <w:t xml:space="preserve">novelty</w:t>
      </w:r>
      <w:r>
        <w:t xml:space="preserve"> (the degree to which the stimulus differs from expectations), </w:t>
      </w:r>
      <w:r>
        <w:rPr>
          <w:b/>
          <w:bCs/>
        </w:rPr>
        <w:t xml:space="preserve">incongruity</w:t>
      </w:r>
      <w:r>
        <w:t xml:space="preserve"> (the degree to which elements conflict with each other or with context), and </w:t>
      </w:r>
      <w:r>
        <w:rPr>
          <w:b/>
          <w:bCs/>
        </w:rPr>
        <w:t xml:space="preserve">surprisingness</w:t>
      </w:r>
      <w:r>
        <w:t xml:space="preserve"> (the degree to which the stimulus violates specific predictions). Each produces its own inverted-U. Complexity and novelty are the most studied, but incongruity and surprisingness may be the most architecturally important—a building that is incongruous with its neighborhood, or a material that is surprising in its context, can produce the same inverted-U engagement pattern.</w:t>
      </w:r>
    </w:p>
    <w:p>
      <w:pPr>
        <w:pStyle w:val="Heading2"/>
      </w:pPr>
      <w:r>
        <w:t xml:space="preserve">2.2 Arousal Potential, Not Arousal</w:t>
      </w:r>
    </w:p>
    <w:p>
      <w:pPr>
        <w:spacing w:after="120" w:line="276"/>
      </w:pPr>
      <w:r>
        <w:t xml:space="preserve">Berlyne distinguished between </w:t>
      </w:r>
      <w:r>
        <w:rPr>
          <w:b/>
          <w:bCs/>
        </w:rPr>
        <w:t xml:space="preserve">actual arousal</w:t>
      </w:r>
      <w:r>
        <w:t xml:space="preserve"> (the organism’s current physiological state) and </w:t>
      </w:r>
      <w:r>
        <w:rPr>
          <w:b/>
          <w:bCs/>
        </w:rPr>
        <w:t xml:space="preserve">arousal potential</w:t>
      </w:r>
      <w:r>
        <w:t xml:space="preserve"> (the capacity of a stimulus to raise arousal). The preference inverted-U is over arousal </w:t>
      </w:r>
      <w:r>
        <w:rPr>
          <w:i/>
          <w:iCs/>
        </w:rPr>
        <w:t xml:space="preserve">potential</w:t>
      </w:r>
      <w:r>
        <w:t xml:space="preserve">, not over arousal itself. This matters because two people with different baseline arousal levels (an anxious patient vs. a bored office worker) will prefer different levels of environmental arousal potential. The inverted-U shifts along the x-axis as a function of the person’s current state—what Berlyne called the </w:t>
      </w:r>
      <w:r>
        <w:rPr>
          <w:b/>
          <w:bCs/>
        </w:rPr>
        <w:t xml:space="preserve">tonus level</w:t>
      </w:r>
      <w:r>
        <w:t xml:space="preserve">. This is the psychological precursor of the Goldilocks principle’s contextual relativity: the optimal level depends on who you are, what you’re doing, and what state you’re in.</w:t>
      </w:r>
    </w:p>
    <w:p>
      <w:pPr>
        <w:pStyle w:val="Heading2"/>
      </w:pPr>
      <w:r>
        <w:t xml:space="preserve">2.3 Specific vs. Diversive Exploration</w:t>
      </w:r>
    </w:p>
    <w:p>
      <w:pPr>
        <w:spacing w:after="120" w:line="276"/>
      </w:pPr>
      <w:r>
        <w:t xml:space="preserve">Berlyne identified two kinds of exploratory behavior triggered by different positions on the inverted-U. </w:t>
      </w:r>
      <w:r>
        <w:rPr>
          <w:b/>
          <w:bCs/>
        </w:rPr>
        <w:t xml:space="preserve">Specific exploration</w:t>
      </w:r>
      <w:r>
        <w:t xml:space="preserve"> is driven by excessive arousal potential (too complex, too novel, too incongruous)—the organism investigates to reduce uncertainty. </w:t>
      </w:r>
      <w:r>
        <w:rPr>
          <w:b/>
          <w:bCs/>
        </w:rPr>
        <w:t xml:space="preserve">Diversive exploration</w:t>
      </w:r>
      <w:r>
        <w:t xml:space="preserve"> is driven by insufficient arousal potential (too simple, too familiar, too predictable)—the organism seeks out novelty to raise stimulation. Both are active coping responses to non-optimal stimulation. The Goldilocks zone is where neither type of exploration is urgently needed—the environment provides </w:t>
      </w:r>
      <w:r>
        <w:rPr>
          <w:i/>
          <w:iCs/>
        </w:rPr>
        <w:t xml:space="preserve">just enough</w:t>
      </w:r>
      <w:r>
        <w:t xml:space="preserve"> information to sustain engagement without triggering either boredom-driven search or anxiety-driven investigation.</w:t>
      </w:r>
    </w:p>
    <w:p>
      <w:pPr>
        <w:pStyle w:val="Heading2"/>
      </w:pPr>
      <w:r>
        <w:t xml:space="preserve">2.4 The Psychobiological Model</w:t>
      </w:r>
    </w:p>
    <w:p>
      <w:pPr>
        <w:spacing w:after="120" w:line="276"/>
      </w:pPr>
      <w:r>
        <w:t xml:space="preserve">Berlyne proposed that the inverted-U reflects the opposition of two neural reward systems: a </w:t>
      </w:r>
      <w:r>
        <w:rPr>
          <w:b/>
          <w:bCs/>
        </w:rPr>
        <w:t xml:space="preserve">primary reward system</w:t>
      </w:r>
      <w:r>
        <w:t xml:space="preserve"> (positive hedonic tone, increasing with moderate arousal boost) and a </w:t>
      </w:r>
      <w:r>
        <w:rPr>
          <w:b/>
          <w:bCs/>
        </w:rPr>
        <w:t xml:space="preserve">aversion system</w:t>
      </w:r>
      <w:r>
        <w:t xml:space="preserve"> (negative hedonic tone, increasing with high arousal). At low arousal potential, neither system is strongly activated: mild boredom. At moderate arousal potential, the reward system is activated more strongly than the aversion system: pleasure and interest. At high arousal potential, the aversion system dominates: anxiety and discomfort. The inverted-U is the sum of these two monotonic functions.</w:t>
      </w:r>
    </w:p>
    <w:p>
      <w:pPr>
        <w:spacing w:after="120" w:line="276"/>
      </w:pPr>
      <w:r>
        <w:t xml:space="preserve">This two-system model anticipates modern dopaminergic accounts of curiosity and reward prediction error (Bromberg-Martin et al., 2010; Kidd &amp; Hayden, 2015). The primary reward system maps onto mesolimbic dopamine release for moderate prediction errors that signal learnable information; the aversion system maps onto anterior insula and dorsal ACC activation for prediction errors that exceed the organism’s model capacity. The Goldilocks zone is the region where dopaminergic reward outweighs insular aversion.</w:t>
      </w:r>
    </w:p>
    <w:p>
      <w:pPr>
        <w:pStyle w:val="Heading2"/>
      </w:pPr>
      <w:r>
        <w:t xml:space="preserve">2.5 What Berlyne Missed</w:t>
      </w:r>
    </w:p>
    <w:p>
      <w:pPr>
        <w:spacing w:after="120" w:line="276"/>
      </w:pPr>
      <w:r>
        <w:t xml:space="preserve">Berlyne’s framework, for all its sophistication, has three significant gaps. First, it treats the inverted-U as a </w:t>
      </w:r>
      <w:r>
        <w:rPr>
          <w:i/>
          <w:iCs/>
        </w:rPr>
        <w:t xml:space="preserve">single</w:t>
      </w:r>
      <w:r>
        <w:t xml:space="preserve"> function of a </w:t>
      </w:r>
      <w:r>
        <w:rPr>
          <w:i/>
          <w:iCs/>
        </w:rPr>
        <w:t xml:space="preserve">single</w:t>
      </w:r>
      <w:r>
        <w:t xml:space="preserve"> arousal system. The Goldilocks principle shows that the inverted-U operates independently across multiple sensory channels that interact. Visual complexity, acoustic intensity, temperature, and olfactory congruence each have their own inverted-U, and their joint effect is not simply the sum. Second, Berlyne did not seriously address </w:t>
      </w:r>
      <w:r>
        <w:rPr>
          <w:i/>
          <w:iCs/>
        </w:rPr>
        <w:t xml:space="preserve">task-dependence</w:t>
      </w:r>
      <w:r>
        <w:t xml:space="preserve">: the optimal arousal level shifts depending on what the organism is trying to do (creative ideation prefers higher stimulation than focused analysis). Third, Berlyne had no framework for </w:t>
      </w:r>
      <w:r>
        <w:rPr>
          <w:i/>
          <w:iCs/>
        </w:rPr>
        <w:t xml:space="preserve">cultural variation</w:t>
      </w:r>
      <w:r>
        <w:t xml:space="preserve"> in the position of the inverted-U—something our India fieldwork makes impossible to ignore.</w:t>
      </w:r>
    </w:p>
    <w:p>
      <w:r>
        <w:br w:type="page"/>
      </w:r>
    </w:p>
    <w:p>
      <w:pPr>
        <w:pStyle w:val="Heading1"/>
      </w:pPr>
      <w:r>
        <w:t xml:space="preserve">3. The Predictive Processing Account: Strengths and Limits</w:t>
      </w:r>
    </w:p>
    <w:p>
      <w:pPr>
        <w:spacing w:after="120" w:line="276"/>
      </w:pPr>
      <w:r>
        <w:t xml:space="preserve">Predictive Processing (Friston, 2010; Clark, 2013, 2015; Hohwy, 2013) provides the most powerful computational framework for understanding the Goldilocks inverted-U. In the PP account, the brain is a prediction machine. Sensory input is compared against top-down predictions at every level of the cortical hierarchy. The difference—prediction error (PE)—drives both learning and affect.</w:t>
      </w:r>
    </w:p>
    <w:p>
      <w:pPr>
        <w:pStyle w:val="Heading2"/>
      </w:pPr>
      <w:r>
        <w:t xml:space="preserve">3.1 Why PP Explains the Inverted-U Better Than Berlyne</w:t>
      </w:r>
    </w:p>
    <w:p>
      <w:pPr>
        <w:spacing w:after="120" w:line="276"/>
      </w:pPr>
      <w:r>
        <w:rPr>
          <w:b/>
          <w:bCs/>
        </w:rPr>
        <w:t xml:space="preserve">Zero PE = no information gain.</w:t>
      </w:r>
      <w:r>
        <w:t xml:space="preserve"> A completely predictable environment provides no basis for model updating, no reward signal for successful prediction. Neural habituation reduces metabolic cost but also eliminates engagement. Neurally: reduced phasic dopamine signaling in VTA/nucleus accumbens; reduced attention network activation (Parr &amp; Friston, 2019). Phenomenologically: boredom.</w:t>
      </w:r>
    </w:p>
    <w:p>
      <w:pPr>
        <w:spacing w:after="120" w:line="276"/>
      </w:pPr>
      <w:r>
        <w:rPr>
          <w:b/>
          <w:bCs/>
        </w:rPr>
        <w:t xml:space="preserve">Moderate PE = learnable surprise.</w:t>
      </w:r>
      <w:r>
        <w:t xml:space="preserve"> The prediction errors are large enough to drive model updating but small enough that the current model can accommodate them. Neurally: moderate phasic dopamine release (reward prediction error); engagement of frontoparietal attention networks at sustainable metabolic cost; precision-weighting assigns high gain to the PE signal without triggering alarm. Phenomenologically: interest, engagement, flow.</w:t>
      </w:r>
    </w:p>
    <w:p>
      <w:pPr>
        <w:spacing w:after="120" w:line="276"/>
      </w:pPr>
      <w:r>
        <w:rPr>
          <w:b/>
          <w:bCs/>
        </w:rPr>
        <w:t xml:space="preserve">Excessive PE = model failure.</w:t>
      </w:r>
      <w:r>
        <w:t xml:space="preserve"> The prediction errors exceed the model’s capacity to accommodate them. The environment is unpredictable in ways the brain cannot learn. Neurally: anterior insula and dACC “alarm” activation (Menon &amp; Uddin, 2010); elevated cortisol via HPA axis; sympathetic arousal; precision-weighting collapses as the brain cannot determine what to attend to. Phenomenologically: anxiety, confusion, aversion.</w:t>
      </w:r>
    </w:p>
    <w:p>
      <w:pPr>
        <w:spacing w:after="120" w:line="276"/>
      </w:pPr>
      <w:r>
        <w:t xml:space="preserve">This account is superior to Berlyne’s in three ways. First, it specifies the </w:t>
      </w:r>
      <w:r>
        <w:rPr>
          <w:i/>
          <w:iCs/>
        </w:rPr>
        <w:t xml:space="preserve">computational operation</w:t>
      </w:r>
      <w:r>
        <w:t xml:space="preserve"> (hierarchical Bayesian inference) rather than a vague “arousal potential.” Second, it explains </w:t>
      </w:r>
      <w:r>
        <w:rPr>
          <w:i/>
          <w:iCs/>
        </w:rPr>
        <w:t xml:space="preserve">why</w:t>
      </w:r>
      <w:r>
        <w:t xml:space="preserve"> the inverted-U exists: the brain’s learning machinery is optimized for a specific PE regime. Third, it connects the inverted-U to a vast body of computational and neural evidence on prediction error, precision-weighting, and Bayesian inference in the brain.</w:t>
      </w:r>
    </w:p>
    <w:p>
      <w:pPr>
        <w:pStyle w:val="Heading2"/>
      </w:pPr>
      <w:r>
        <w:t xml:space="preserve">3.2 Where PP Falls Short: Five Limitations</w:t>
      </w:r>
    </w:p>
    <w:p>
      <w:pPr>
        <w:pStyle w:val="Heading3"/>
      </w:pPr>
      <w:r>
        <w:t xml:space="preserve">Limitation 1: The Normative Gap</w:t>
      </w:r>
    </w:p>
    <w:p>
      <w:pPr>
        <w:spacing w:after="120" w:line="276"/>
      </w:pPr>
      <w:r>
        <w:t xml:space="preserve">PP describes what happens at different PE levels but does not, by itself, prescribe what level is </w:t>
      </w:r>
      <w:r>
        <w:rPr>
          <w:i/>
          <w:iCs/>
        </w:rPr>
        <w:t xml:space="preserve">optimal</w:t>
      </w:r>
      <w:r>
        <w:t xml:space="preserve">. The free energy principle says organisms minimize free energy (roughly, long-run PE). Taken literally, this predicts a preference for minimal PE—the notorious “dark room problem” (Sun &amp; Firestone, 2020). Why don’t we sit in dark rooms where PE is zero? PP has answers—active inference, expected free energy, epistemic value—but these are </w:t>
      </w:r>
      <w:r>
        <w:rPr>
          <w:i/>
          <w:iCs/>
        </w:rPr>
        <w:t xml:space="preserve">additions</w:t>
      </w:r>
      <w:r>
        <w:t xml:space="preserve"> to the basic framework, not consequences of it. The Goldilocks principle makes the normative claim explicit: there exists an optimal PE level for each task and context, and design should target it. PP provides the mechanism; Goldilocks provides the design imperative.</w:t>
      </w:r>
    </w:p>
    <w:p>
      <w:pPr>
        <w:pStyle w:val="Heading3"/>
      </w:pPr>
      <w:r>
        <w:t xml:space="preserve">Limitation 2: Task-Specific Optima</w:t>
      </w:r>
    </w:p>
    <w:p>
      <w:pPr>
        <w:spacing w:after="120" w:line="276"/>
      </w:pPr>
      <w:r>
        <w:t xml:space="preserve">PP does not predict that the optimal PE level differs for creative vs. focused tasks. Yet this is one of the most robust findings in the environmental psychology literature: creative tasks benefit from moderate disruption (Mehta et al., 2012; Meyers-Levy &amp; Zhu, 2007), while focused tasks are monotonically impaired by distraction (Banbury &amp; Berry, 2005). Why? Because creative thinking </w:t>
      </w:r>
      <w:r>
        <w:rPr>
          <w:i/>
          <w:iCs/>
        </w:rPr>
        <w:t xml:space="preserve">requires</w:t>
      </w:r>
      <w:r>
        <w:t xml:space="preserve"> activation of remote associations, which happens when attention is mildly defocused by moderate PE. Focused work requires </w:t>
      </w:r>
      <w:r>
        <w:rPr>
          <w:i/>
          <w:iCs/>
        </w:rPr>
        <w:t xml:space="preserve">suppression</w:t>
      </w:r>
      <w:r>
        <w:t xml:space="preserve"> of irrelevant associations, which is disrupted by any PE. PP can accommodate this post hoc (by adjusting precision-weighting), but it does not </w:t>
      </w:r>
      <w:r>
        <w:rPr>
          <w:i/>
          <w:iCs/>
        </w:rPr>
        <w:t xml:space="preserve">predict</w:t>
      </w:r>
      <w:r>
        <w:t xml:space="preserve"> it. The Goldilocks principle makes the task-dependence a first-class feature of the theory.</w:t>
      </w:r>
    </w:p>
    <w:p>
      <w:pPr>
        <w:pStyle w:val="Heading3"/>
      </w:pPr>
      <w:r>
        <w:t xml:space="preserve">Limitation 3: Multi-Channel Independence</w:t>
      </w:r>
    </w:p>
    <w:p>
      <w:pPr>
        <w:spacing w:after="120" w:line="276"/>
      </w:pPr>
      <w:r>
        <w:t xml:space="preserve">PP operates within modality-specific processing hierarchies (visual, auditory, somatosensory, etc.). But the Goldilocks principle reveals that the inverted-U operates </w:t>
      </w:r>
      <w:r>
        <w:rPr>
          <w:i/>
          <w:iCs/>
        </w:rPr>
        <w:t xml:space="preserve">independently in each channel</w:t>
      </w:r>
      <w:r>
        <w:t xml:space="preserve"> and that the channels </w:t>
      </w:r>
      <w:r>
        <w:rPr>
          <w:i/>
          <w:iCs/>
        </w:rPr>
        <w:t xml:space="preserve">interact</w:t>
      </w:r>
      <w:r>
        <w:t xml:space="preserve"> through shared downstream nodes (particularly the LC-NE arousal system and the HPA stress axis). PP does not predict cross-modal compensation: that a quiet room might need more visual complexity to maintain optimal arousal, or that a visually rich room might need less acoustic stimulation. This is a design-relevant prediction that falls out of the Goldilocks multi-channel framework but not from PP alone.</w:t>
      </w:r>
    </w:p>
    <w:p>
      <w:pPr>
        <w:pStyle w:val="Heading3"/>
      </w:pPr>
      <w:r>
        <w:t xml:space="preserve">Limitation 4: Cultural Parameterization</w:t>
      </w:r>
    </w:p>
    <w:p>
      <w:pPr>
        <w:spacing w:after="120" w:line="276"/>
      </w:pPr>
      <w:r>
        <w:t xml:space="preserve">PP can in principle accommodate cultural differences in priors (different visual environments produce different internal models, hence different PE profiles). But it predicts that the set-point shift should be </w:t>
      </w:r>
      <w:r>
        <w:rPr>
          <w:i/>
          <w:iCs/>
        </w:rPr>
        <w:t xml:space="preserve">modality-specific</w:t>
      </w:r>
      <w:r>
        <w:t xml:space="preserve">: a person raised in visually complex Varanasi should have shifted visual priors but unaffected thermal or acoustic priors (since those are largely biologically determined). Our India data suggest otherwise—the shift is </w:t>
      </w:r>
      <w:r>
        <w:rPr>
          <w:i/>
          <w:iCs/>
        </w:rPr>
        <w:t xml:space="preserve">correlated across modalities</w:t>
      </w:r>
      <w:r>
        <w:t xml:space="preserve">, raising the possibility of a single underlying parameter (perhaps extraversion-linked optimal arousal) that modulates all channels simultaneously. PP alone does not predict this correlated shift.</w:t>
      </w:r>
    </w:p>
    <w:p>
      <w:pPr>
        <w:pStyle w:val="Heading3"/>
      </w:pPr>
      <w:r>
        <w:t xml:space="preserve">Limitation 5: A Case Where PP Predicts No Inverted-U but Goldilocks Observes One</w:t>
      </w:r>
    </w:p>
    <w:p>
      <w:pPr>
        <w:spacing w:after="120" w:line="276"/>
      </w:pPr>
      <w:r>
        <w:t xml:space="preserve">Consider </w:t>
      </w:r>
      <w:r>
        <w:rPr>
          <w:b/>
          <w:bCs/>
        </w:rPr>
        <w:t xml:space="preserve">prospect-refuge</w:t>
      </w:r>
      <w:r>
        <w:t xml:space="preserve">: the preference for environments that simultaneously offer open views (prospect) and enclosed protection (refuge). Appleton (1975) documented this as a universal preference. In PP terms, a prospect-refuge environment should be </w:t>
      </w:r>
      <w:r>
        <w:rPr>
          <w:i/>
          <w:iCs/>
        </w:rPr>
        <w:t xml:space="preserve">maximally predictable</w:t>
      </w:r>
      <w:r>
        <w:t xml:space="preserve">—the open view provides prediction (what’s coming) and the enclosure provides a safe default state. PP predicts maximum prospect and maximum refuge should be preferred, because both reduce uncertainty. </w:t>
      </w:r>
      <w:r>
        <w:rPr>
          <w:b/>
          <w:bCs/>
        </w:rPr>
        <w:t xml:space="preserve">There should be no inverted-U.</w:t>
      </w:r>
      <w:r>
        <w:t xml:space="preserve"> Yet there is one: Dosen and Ostwald (2016) found that people preferred intermediate levels of enclosure, not maximum. A fully enclosed room (maximum refuge) was rated as claustrophobic. A completely open plain (maximum prospect) was rated as exposed and threatening. PP does not predict this—reducing uncertainty should be monotonically preferred. The Goldilocks principle does predict it: even in spatial safety, there is an optimal intermediate level, because excessive refuge eliminates the exploratory affordance that medium prospect provides (Berlyne’s diversive exploration), and excessive prospect eliminates the security that partial enclosure provides.</w:t>
      </w:r>
    </w:p>
    <w:p>
      <w:pPr>
        <w:shd w:fill="FFF8E7" w:val="clear"/>
        <w:spacing w:before="160" w:after="0"/>
        <w:ind w:left="360" w:right="360"/>
      </w:pPr>
      <w:r>
        <w:rPr>
          <w:rFonts w:ascii="Arial" w:cs="Arial" w:eastAsia="Arial" w:hAnsi="Arial"/>
          <w:b/>
          <w:bCs/>
          <w:color w:val="8B6914"/>
          <w:sz w:val="21"/>
          <w:szCs w:val="21"/>
        </w:rPr>
        <w:t xml:space="preserve">KEY ARGUMENT:</w:t>
      </w:r>
    </w:p>
    <w:p>
      <w:pPr>
        <w:shd w:fill="FFF8E7" w:val="clear"/>
        <w:spacing w:after="160"/>
        <w:ind w:left="360" w:right="360"/>
      </w:pPr>
      <w:r>
        <w:t xml:space="preserve">PP provides the best computational mechanism for the Goldilocks inverted-U, but it is not sufficient. The Goldilocks principle adds: (1) the normative claim that an optimal PE level exists and should be targeted; (2) the task-specificity of that optimum; (3) the multi-channel independence with cross-modal compensation; (4) the cultural parameterization of set-points; and (5) specific cases (prospect-refuge) where the inverted-U cannot be derived from PE minimization alone.</w:t>
      </w:r>
    </w:p>
    <w:p>
      <w:r>
        <w:br w:type="page"/>
      </w:r>
    </w:p>
    <w:p>
      <w:pPr>
        <w:pStyle w:val="Heading1"/>
      </w:pPr>
      <w:r>
        <w:t xml:space="preserve">4. The India Evidence: Goldilocks Set-Points as Cultural Parameters</w:t>
      </w:r>
    </w:p>
    <w:p>
      <w:pPr>
        <w:spacing w:after="120" w:line="276"/>
      </w:pPr>
      <w:r>
        <w:t xml:space="preserve">In 2025–2026, we conducted fieldwork in Varanasi and Ahmedabad, India, studying how sensory preferences vary across cultures in the context of built environments. The findings challenge the assumption that Goldilocks set-points are universal biological constants.</w:t>
      </w:r>
    </w:p>
    <w:p>
      <w:pPr>
        <w:pStyle w:val="Heading2"/>
      </w:pPr>
      <w:r>
        <w:t xml:space="preserve">4.1 Multi-Modal Set-Point Elevation</w:t>
      </w:r>
    </w:p>
    <w:p>
      <w:pPr>
        <w:spacing w:after="120" w:line="276"/>
      </w:pPr>
      <w:r>
        <w:t xml:space="preserve">Across every modality we measured, Indian participants (architecture students and local residents in Varanasi) showed elevated preferences relative to Northern European and North American baselines: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360"/>
      </w:tblGrid>
      <w:tr>
        <w:tc>
          <w:tcPr>
            <w:tcW w:type="dxa" w:w="2000"/>
            <w:tcBorders>
              <w:top w:val="single" w:color="999999" w:sz="1"/>
              <w:left w:val="single" w:color="999999" w:sz="1"/>
              <w:bottom w:val="single" w:color="999999" w:sz="1"/>
              <w:right w:val="single" w:color="999999" w:sz="1"/>
            </w:tcBorders>
            <w:shd w:fill="2B3A4E" w:val="clear"/>
            <w:tcMar>
              <w:top w:type="dxa" w:w="60"/>
              <w:left w:type="dxa" w:w="100"/>
              <w:bottom w:type="dxa" w:w="60"/>
              <w:right w:type="dxa" w:w="100"/>
            </w:tcMar>
          </w:tcPr>
          <w:p>
            <w:r>
              <w:rPr>
                <w:rFonts w:ascii="Arial" w:cs="Arial" w:eastAsia="Arial" w:hAnsi="Arial"/>
                <w:b/>
                <w:bCs/>
                <w:color w:val="FFFFFF"/>
                <w:sz w:val="20"/>
                <w:szCs w:val="20"/>
              </w:rPr>
              <w:t xml:space="preserve">Modality</w:t>
            </w:r>
          </w:p>
        </w:tc>
        <w:tc>
          <w:tcPr>
            <w:tcW w:type="dxa" w:w="2400"/>
            <w:tcBorders>
              <w:top w:val="single" w:color="999999" w:sz="1"/>
              <w:left w:val="single" w:color="999999" w:sz="1"/>
              <w:bottom w:val="single" w:color="999999" w:sz="1"/>
              <w:right w:val="single" w:color="999999" w:sz="1"/>
            </w:tcBorders>
            <w:shd w:fill="2B3A4E" w:val="clear"/>
            <w:tcMar>
              <w:top w:type="dxa" w:w="60"/>
              <w:left w:type="dxa" w:w="100"/>
              <w:bottom w:type="dxa" w:w="60"/>
              <w:right w:type="dxa" w:w="100"/>
            </w:tcMar>
          </w:tcPr>
          <w:p>
            <w:r>
              <w:rPr>
                <w:rFonts w:ascii="Arial" w:cs="Arial" w:eastAsia="Arial" w:hAnsi="Arial"/>
                <w:b/>
                <w:bCs/>
                <w:color w:val="FFFFFF"/>
                <w:sz w:val="20"/>
                <w:szCs w:val="20"/>
              </w:rPr>
              <w:t xml:space="preserve">Western Baseline</w:t>
            </w:r>
          </w:p>
        </w:tc>
        <w:tc>
          <w:tcPr>
            <w:tcW w:type="dxa" w:w="2600"/>
            <w:tcBorders>
              <w:top w:val="single" w:color="999999" w:sz="1"/>
              <w:left w:val="single" w:color="999999" w:sz="1"/>
              <w:bottom w:val="single" w:color="999999" w:sz="1"/>
              <w:right w:val="single" w:color="999999" w:sz="1"/>
            </w:tcBorders>
            <w:shd w:fill="2B3A4E" w:val="clear"/>
            <w:tcMar>
              <w:top w:type="dxa" w:w="60"/>
              <w:left w:type="dxa" w:w="100"/>
              <w:bottom w:type="dxa" w:w="60"/>
              <w:right w:type="dxa" w:w="100"/>
            </w:tcMar>
          </w:tcPr>
          <w:p>
            <w:r>
              <w:rPr>
                <w:rFonts w:ascii="Arial" w:cs="Arial" w:eastAsia="Arial" w:hAnsi="Arial"/>
                <w:b/>
                <w:bCs/>
                <w:color w:val="FFFFFF"/>
                <w:sz w:val="20"/>
                <w:szCs w:val="20"/>
              </w:rPr>
              <w:t xml:space="preserve">Varanasi Preference</w:t>
            </w:r>
          </w:p>
        </w:tc>
        <w:tc>
          <w:tcPr>
            <w:tcW w:type="dxa" w:w="2360"/>
            <w:tcBorders>
              <w:top w:val="single" w:color="999999" w:sz="1"/>
              <w:left w:val="single" w:color="999999" w:sz="1"/>
              <w:bottom w:val="single" w:color="999999" w:sz="1"/>
              <w:right w:val="single" w:color="999999" w:sz="1"/>
            </w:tcBorders>
            <w:shd w:fill="2B3A4E" w:val="clear"/>
            <w:tcMar>
              <w:top w:type="dxa" w:w="60"/>
              <w:left w:type="dxa" w:w="100"/>
              <w:bottom w:type="dxa" w:w="60"/>
              <w:right w:type="dxa" w:w="100"/>
            </w:tcMar>
          </w:tcPr>
          <w:p>
            <w:r>
              <w:rPr>
                <w:rFonts w:ascii="Arial" w:cs="Arial" w:eastAsia="Arial" w:hAnsi="Arial"/>
                <w:b/>
                <w:bCs/>
                <w:color w:val="FFFFFF"/>
                <w:sz w:val="20"/>
                <w:szCs w:val="20"/>
              </w:rPr>
              <w:t xml:space="preserve">Shift</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Visual complexity</w:t>
            </w:r>
          </w:p>
        </w:tc>
        <w:tc>
          <w:tcPr>
            <w:tcW w:type="dxa" w:w="2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Moderate (D ≈ 1.2–1.4)</w:t>
            </w:r>
          </w:p>
        </w:tc>
        <w:tc>
          <w:tcPr>
            <w:tcW w:type="dxa" w:w="2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High-moderate (D ≈ 1.4–1.6)</w:t>
            </w:r>
          </w:p>
        </w:tc>
        <w:tc>
          <w:tcPr>
            <w:tcW w:type="dxa" w:w="2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Rightward</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Color saturation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Muted, cool palettes</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Vivid, warm, high-contrast</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Elevated</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Acoustic density</w:t>
            </w:r>
          </w:p>
        </w:tc>
        <w:tc>
          <w:tcPr>
            <w:tcW w:type="dxa" w:w="2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~40–55 dB for focus</w:t>
            </w:r>
          </w:p>
        </w:tc>
        <w:tc>
          <w:tcPr>
            <w:tcW w:type="dxa" w:w="2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~50–70 dB tolerated well</w:t>
            </w:r>
          </w:p>
        </w:tc>
        <w:tc>
          <w:tcPr>
            <w:tcW w:type="dxa" w:w="2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Rightward</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Spice intensity (analogy)</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Mild–moderate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High–very high</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Dramatic</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Thermal comfort range</w:t>
            </w:r>
          </w:p>
        </w:tc>
        <w:tc>
          <w:tcPr>
            <w:tcW w:type="dxa" w:w="2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20–24°C (tight band)</w:t>
            </w:r>
          </w:p>
        </w:tc>
        <w:tc>
          <w:tcPr>
            <w:tcW w:type="dxa" w:w="2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18–30°C (wide band)</w:t>
            </w:r>
          </w:p>
        </w:tc>
        <w:tc>
          <w:tcPr>
            <w:tcW w:type="dxa" w:w="23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Broadened</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Social proximity</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~1.2m personal space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~0.5–0.8m comfortable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Compressed</w:t>
            </w:r>
          </w:p>
        </w:tc>
      </w:tr>
    </w:tbl>
    <w:p>
      <w:pPr>
        <w:spacing w:after="120" w:line="276"/>
      </w:pPr>
    </w:p>
    <w:p>
      <w:pPr>
        <w:spacing w:after="120" w:line="276"/>
      </w:pPr>
      <w:r>
        <w:t xml:space="preserve">The critical observation is not any individual shift—it is that </w:t>
      </w:r>
      <w:r>
        <w:rPr>
          <w:b/>
          <w:bCs/>
        </w:rPr>
        <w:t xml:space="preserve">all modalities shift in the same direction simultaneously</w:t>
      </w:r>
      <w:r>
        <w:t xml:space="preserve">. This is not what PP predicts. If each modality had independently calibrated priors (visual experience shapes visual priors; thermal experience shapes thermal priors), we would not expect the shifts to be correlated. A person raised in visually complex Varanasi might have shifted visual preferences without shifted thermal preferences. The correlated shift suggests a </w:t>
      </w:r>
      <w:r>
        <w:rPr>
          <w:i/>
          <w:iCs/>
        </w:rPr>
        <w:t xml:space="preserve">single underlying parameter</w:t>
      </w:r>
      <w:r>
        <w:t xml:space="preserve"> modulating all channels.</w:t>
      </w:r>
    </w:p>
    <w:p>
      <w:pPr>
        <w:pStyle w:val="Heading2"/>
      </w:pPr>
      <w:r>
        <w:t xml:space="preserve">4.2 The Sensory Workshop Methodology</w:t>
      </w:r>
    </w:p>
    <w:p>
      <w:pPr>
        <w:spacing w:after="120" w:line="276"/>
      </w:pPr>
      <w:r>
        <w:t xml:space="preserve">In Ahmedabad, we developed a field workshop methodology for architecture students: participants experienced identical market environments under three conditions—full sensory access, wearing nose clips (eliminating olfaction), and wearing earplugs (reducing audition). This revealed that olfactory and auditory signals were not mere background but </w:t>
      </w:r>
      <w:r>
        <w:rPr>
          <w:b/>
          <w:bCs/>
        </w:rPr>
        <w:t xml:space="preserve">active contributors to the overall environmental evaluation</w:t>
      </w:r>
      <w:r>
        <w:t xml:space="preserve">, consistent with the Goldilocks multi-channel model. Removing one sensory channel did not simply reduce the experience proportionally—it </w:t>
      </w:r>
      <w:r>
        <w:rPr>
          <w:i/>
          <w:iCs/>
        </w:rPr>
        <w:t xml:space="preserve">shifted the optimal level in remaining channels</w:t>
      </w:r>
      <w:r>
        <w:t xml:space="preserve">, as if the system were compensating for reduced total PE load by increasing sensitivity in the remaining modalities.</w:t>
      </w:r>
    </w:p>
    <w:p>
      <w:pPr>
        <w:pStyle w:val="Heading2"/>
      </w:pPr>
      <w:r>
        <w:t xml:space="preserve">4.3 Implications for Theory</w:t>
      </w:r>
    </w:p>
    <w:p>
      <w:pPr>
        <w:spacing w:after="120" w:line="276"/>
      </w:pPr>
      <w:r>
        <w:t xml:space="preserve">If Goldilocks set-points are culturally parameterized, the implications are profound. First, “evidence-based design” guidelines derived from Western samples cannot be directly exported to other cultural contexts. The optimal wood coverage is not universally 45%; the optimal visual complexity is not universally D ≈ 1.3; the optimal thermal band is not universally 22±2°C. Second, the correlated shift raises the question of </w:t>
      </w:r>
      <w:r>
        <w:rPr>
          <w:i/>
          <w:iCs/>
        </w:rPr>
        <w:t xml:space="preserve">mechanism</w:t>
      </w:r>
      <w:r>
        <w:t xml:space="preserve">: is the set-point shift driven by lifetime sensory experience (PP account: altered priors), by culturally transmitted aesthetic norms (social learning), by personality traits correlated with culture (Eysenck’s optimal arousal theory applied cross-culturally), or by gene-environment interaction (different populations, different sensory neurobiology)? The data do not yet distinguish these accounts, but the template system identifies the distinguishing experiments—particularly first-generation immigrant studies where sensory experience and cultural heritage dissociate.</w:t>
      </w:r>
    </w:p>
    <w:p>
      <w:r>
        <w:br w:type="page"/>
      </w:r>
    </w:p>
    <w:p>
      <w:pPr>
        <w:pStyle w:val="Heading1"/>
      </w:pPr>
      <w:r>
        <w:t xml:space="preserve">5. Applications in Architecture and Cognitive Niche Architecture</w:t>
      </w:r>
    </w:p>
    <w:p>
      <w:pPr>
        <w:pStyle w:val="Heading2"/>
      </w:pPr>
      <w:r>
        <w:t xml:space="preserve">5.1 The Multi-Sensory Goldilocks Profile as Design Tool</w:t>
      </w:r>
    </w:p>
    <w:p>
      <w:pPr>
        <w:spacing w:after="120" w:line="276"/>
      </w:pPr>
      <w:r>
        <w:t xml:space="preserve">If each environmental channel has an inverted-U, and the channels interact, then the design space is a </w:t>
      </w:r>
      <w:r>
        <w:rPr>
          <w:b/>
          <w:bCs/>
        </w:rPr>
        <w:t xml:space="preserve">multi-dimensional Goldilocks surface</w:t>
      </w:r>
      <w:r>
        <w:t xml:space="preserve">. The designer’s task is to find the point on this surface that optimizes the overall cognitive-affective state for the intended occupants, tasks, and cultural context. This is not intuitive design—it is </w:t>
      </w:r>
      <w:r>
        <w:rPr>
          <w:i/>
          <w:iCs/>
        </w:rPr>
        <w:t xml:space="preserve">parameter optimization in a high-dimensional space with interaction terms</w:t>
      </w:r>
      <w:r>
        <w:t xml:space="preserve">, exactly the kind of problem that computational tools can address better than human intuition alone.</w:t>
      </w:r>
    </w:p>
    <w:p>
      <w:pPr>
        <w:pStyle w:val="Heading2"/>
      </w:pPr>
      <w:r>
        <w:t xml:space="preserve">5.2 Hospitals: The Multi-Channel Goldilocks Catastrophe</w:t>
      </w:r>
    </w:p>
    <w:p>
      <w:pPr>
        <w:spacing w:after="120" w:line="276"/>
      </w:pPr>
      <w:r>
        <w:t xml:space="preserve">Hospitals violate the Goldilocks principle in </w:t>
      </w:r>
      <w:r>
        <w:rPr>
          <w:i/>
          <w:iCs/>
        </w:rPr>
        <w:t xml:space="preserve">every channel simultaneously</w:t>
      </w:r>
      <w:r>
        <w:t xml:space="preserve">: extreme visual complexity (equipment, signage, monitors), unpredictable acoustics (alarms at random intervals), thermal inconsistency (cold corridors, warm rooms), olfactory incongruence (cleaning chemicals in healing contexts), minimal prospect-refuge (long corridors with no enclosure). The Goldilocks framework predicts that single-channel interventions (adding nature art, playing calming music) will show disappointingly small effects because the other channels continue to generate excessive PE. Only </w:t>
      </w:r>
      <w:r>
        <w:rPr>
          <w:b/>
          <w:bCs/>
        </w:rPr>
        <w:t xml:space="preserve">coordinated multi-channel intervention</w:t>
      </w:r>
      <w:r>
        <w:t xml:space="preserve"> should produce large effects. This may explain why individual evidence-based design interventions in hospitals often produce smaller effects than lab studies predict: the real-world implementation is fighting against five other channels of Goldilocks violation that the lab studies controlled away.</w:t>
      </w:r>
    </w:p>
    <w:p>
      <w:pPr>
        <w:pStyle w:val="Heading2"/>
      </w:pPr>
      <w:r>
        <w:t xml:space="preserve">5.3 Open-Plan Offices: Goldilocks Violation Through LC-NE Crisis</w:t>
      </w:r>
    </w:p>
    <w:p>
      <w:pPr>
        <w:spacing w:after="120" w:line="276"/>
      </w:pPr>
      <w:r>
        <w:t xml:space="preserve">The open-plan office creates a specific neurochemical state—low tonic NE (from poor daylight at interior desks) combined with frequent phasic NE bursts (from unpredictable speech)—that Aston-Jones and Cohen (2005) identify as “exploration mode.” This is functionally the opposite of the sustained-attention mode needed for knowledge work. The Goldilocks prescription: tonic LC support (bright, blue-enriched light at &gt;500 lux), phasic LC suppression (acoustic control to reduce unpredictable noise below 45 dB), and environmental refuge (enclosed focus pods at 2.5m ceiling height for concentrated work).</w:t>
      </w:r>
    </w:p>
    <w:p>
      <w:pPr>
        <w:pStyle w:val="Heading2"/>
      </w:pPr>
      <w:r>
        <w:t xml:space="preserve">5.4 Schools: Task-Dependent Goldilocks Zoning</w:t>
      </w:r>
    </w:p>
    <w:p>
      <w:pPr>
        <w:spacing w:after="120" w:line="276"/>
      </w:pPr>
      <w:r>
        <w:t xml:space="preserve">Creative classwork benefits from moderate environmental stimulation (higher visual complexity, ambient sound, natural light, spatial openness). Test-taking and focused study require the opposite (reduced complexity, quiet, thermal neutrality, moderate enclosure). The Goldilocks principle predicts that schools should provide </w:t>
      </w:r>
      <w:r>
        <w:rPr>
          <w:b/>
          <w:bCs/>
        </w:rPr>
        <w:t xml:space="preserve">multiple Goldilocks zones</w:t>
      </w:r>
      <w:r>
        <w:t xml:space="preserve"> optimized for different cognitive modes, not a single environment that tries to serve all purposes. Breakout spaces for ideation: high ceilings, nature views, permissive acoustics. Exam rooms: low ceilings, neutral walls, acoustic isolation, tight thermal control.</w:t>
      </w:r>
    </w:p>
    <w:p>
      <w:pPr>
        <w:pStyle w:val="Heading2"/>
      </w:pPr>
      <w:r>
        <w:t xml:space="preserve">5.5 Residential Design: Personalized Goldilocks Profiles</w:t>
      </w:r>
    </w:p>
    <w:p>
      <w:pPr>
        <w:spacing w:after="120" w:line="276"/>
      </w:pPr>
      <w:r>
        <w:t xml:space="preserve">The cultural and individual variation in Goldilocks set-points means residential design cannot follow universal guidelines. A person high in sensory-processing sensitivity (Aron &amp; Aron, 1997) has a leftward-shifted Goldilocks profile: lower optimal stimulation across channels, narrower comfort bands, greater sensitivity to environmental disruption. A person high in extraversion and sensation-seeking has a rightward-shifted profile: higher optimal stimulation, wider comfort bands, greater tolerance for environmental variety. Smart home systems that adjust lighting spectrum, acoustic masking, and thermal set-points based on occupant profiles and current task would be implementing the Goldilocks principle computationally.</w:t>
      </w:r>
    </w:p>
    <w:p>
      <w:pPr>
        <w:pStyle w:val="Heading2"/>
      </w:pPr>
      <w:r>
        <w:t xml:space="preserve">5.6 Cultural Spaces: Designing for Different Set-Points</w:t>
      </w:r>
    </w:p>
    <w:p>
      <w:pPr>
        <w:spacing w:after="120" w:line="276"/>
      </w:pPr>
      <w:r>
        <w:t xml:space="preserve">The India fieldwork has direct implications for cross-cultural architectural practice. A hospital designed for Varanasi should not simply import Scandinavian evidence-based design guidelines—it should account for elevated set-points across modalities. The “calming” color palette that works in Stockholm may register as “sterile” or “depressing” in Varanasi, where the Goldilocks optimum for color saturation and visual complexity is shifted rightward. This is not a matter of taste or cultural sensitivity (though it is those too)—it is a matter of </w:t>
      </w:r>
      <w:r>
        <w:rPr>
          <w:b/>
          <w:bCs/>
        </w:rPr>
        <w:t xml:space="preserve">cognitive optimization</w:t>
      </w:r>
      <w:r>
        <w:t xml:space="preserve">. The wrong Goldilocks parameters produce environments that are sub-optimal for healing, learning, or work, regardless of how well-intentioned the design.</w:t>
      </w:r>
    </w:p>
    <w:p>
      <w:pPr>
        <w:pStyle w:val="Heading2"/>
      </w:pPr>
      <w:r>
        <w:t xml:space="preserve">5.7 Adaptive Architecture: Dynamic Goldilocks Profiles</w:t>
      </w:r>
    </w:p>
    <w:p>
      <w:pPr>
        <w:spacing w:after="120" w:line="276"/>
      </w:pPr>
      <w:r>
        <w:t xml:space="preserve">The most exciting design application may be environments that </w:t>
      </w:r>
      <w:r>
        <w:rPr>
          <w:i/>
          <w:iCs/>
        </w:rPr>
        <w:t xml:space="preserve">adjust their Goldilocks profile dynamically</w:t>
      </w:r>
      <w:r>
        <w:t xml:space="preserve">. Circadian lighting systems already modulate light color temperature and intensity across the day (T014, T015). Extend this to other channels: acoustic environments that shift from permissive-social (morning collaboration) to quiet-focused (afternoon deep work); thermal profiles that follow adaptive comfort models (cooler in the morning, warmer in the afternoon); dynamic visual environments (media walls, kinetic facades) that modulate complexity based on time of day and occupancy type. The Goldilocks principle provides the optimization objective: maintain each channel within its optimal PE range for the current task, occupant, and time.</w:t>
      </w:r>
    </w:p>
    <w:p>
      <w:r>
        <w:br w:type="page"/>
      </w:r>
    </w:p>
    <w:p>
      <w:pPr>
        <w:pStyle w:val="Heading1"/>
      </w:pPr>
      <w:r>
        <w:t xml:space="preserve">6. Discussion: Goldilocks as a Theoretical Framework</w:t>
      </w:r>
    </w:p>
    <w:p>
      <w:pPr>
        <w:pStyle w:val="Heading2"/>
      </w:pPr>
      <w:r>
        <w:t xml:space="preserve">6.1 Why It Is Not Just Berlyne Revisited</w:t>
      </w:r>
    </w:p>
    <w:p>
      <w:pPr>
        <w:spacing w:after="120" w:line="276"/>
      </w:pPr>
      <w:r>
        <w:t xml:space="preserve">The Goldilocks principle extends Berlyne in four crucial ways: multi-channel independence with cross-modal compensation; task-specific optima; cultural parameterization of set-points; and neural mechanism specificity (Berlyne had no fMRI, no LC-NE pharmacology, no PP computational framework). It also differs in scope: Berlyne studied aesthetics; the Goldilocks principle addresses the full range of cognitive, affective, and physiological outcomes.</w:t>
      </w:r>
    </w:p>
    <w:p>
      <w:pPr>
        <w:pStyle w:val="Heading2"/>
      </w:pPr>
      <w:r>
        <w:t xml:space="preserve">6.2 The Cognitive Niche Connection</w:t>
      </w:r>
    </w:p>
    <w:p>
      <w:pPr>
        <w:spacing w:after="120" w:line="276"/>
      </w:pPr>
      <w:r>
        <w:t xml:space="preserve">If cognitive processes extend into the environment (Clark &amp; Chalmers, 1998), and the extended cognitive system has optimal operating parameters per channel of environment-brain coupling (the Goldilocks claim), then architectural design is </w:t>
      </w:r>
      <w:r>
        <w:rPr>
          <w:i/>
          <w:iCs/>
        </w:rPr>
        <w:t xml:space="preserve">cognitive niche engineering</w:t>
      </w:r>
      <w:r>
        <w:t xml:space="preserve">: adjusting the parameters of the extended cognitive system to optimize its function. The Goldilocks set-point profile is a description of the cognitive niche’s optimal configuration, parameterized by task, culture, individual difference, and temporal context. Different cultures have constructed different cognitive niches with different optimal Goldilocks profiles—and those profiles in turn shape the sensory and cognitive preferences of the people who develop within them. This is a genuine feedback loop between cultural niche construction and individual cognitive calibration.</w:t>
      </w:r>
    </w:p>
    <w:p>
      <w:pPr>
        <w:pStyle w:val="Heading2"/>
      </w:pPr>
      <w:r>
        <w:t xml:space="preserve">6.3 Open Questions</w:t>
      </w:r>
    </w:p>
    <w:p>
      <w:pPr>
        <w:spacing w:after="120" w:line="276"/>
      </w:pPr>
      <w:r>
        <w:rPr>
          <w:b/>
          <w:bCs/>
        </w:rPr>
        <w:t xml:space="preserve">Is the set-point one parameter or many?</w:t>
      </w:r>
      <w:r>
        <w:t xml:space="preserve"> The India data suggest correlated shifts across modalities, but the N is small and the modalities are confounded in natural environments. Controlled studies with independently manipulated modalities are needed.</w:t>
      </w:r>
    </w:p>
    <w:p>
      <w:pPr>
        <w:spacing w:after="120" w:line="276"/>
      </w:pPr>
      <w:r>
        <w:rPr>
          <w:b/>
          <w:bCs/>
        </w:rPr>
        <w:t xml:space="preserve">What is the neural substrate of the set-point?</w:t>
      </w:r>
      <w:r>
        <w:t xml:space="preserve"> The LC-NE system is a strong candidate for a central arousal thermostat, but the hypothalamic-thalamic-cortical system, the dopaminergic mesolimbic system, and the serotonergic raphe system all contribute to optimal arousal regulation.</w:t>
      </w:r>
    </w:p>
    <w:p>
      <w:pPr>
        <w:spacing w:after="120" w:line="276"/>
      </w:pPr>
      <w:r>
        <w:rPr>
          <w:b/>
          <w:bCs/>
        </w:rPr>
        <w:t xml:space="preserve">How fast do set-points adapt?</w:t>
      </w:r>
      <w:r>
        <w:t xml:space="preserve"> A person moving from Varanasi to Stockholm—how quickly does their Goldilocks profile shift? This is testable and architecturally important (immigrant populations may need transitional sensory environments).</w:t>
      </w:r>
    </w:p>
    <w:p>
      <w:pPr>
        <w:spacing w:after="120" w:line="276"/>
      </w:pPr>
      <w:r>
        <w:rPr>
          <w:b/>
          <w:bCs/>
        </w:rPr>
        <w:t xml:space="preserve">Can you move set-points intentionally?</w:t>
      </w:r>
      <w:r>
        <w:t xml:space="preserve"> If Goldilocks set-points are tunable, can architectural interventions systematically shift them? Could gradual environmental enrichment raise a low-stimulation set-point?</w:t>
      </w:r>
    </w:p>
    <w:p>
      <w:r>
        <w:br w:type="page"/>
      </w:r>
    </w:p>
    <w:p>
      <w:pPr>
        <w:pStyle w:val="Heading1"/>
      </w:pPr>
      <w:r>
        <w:t xml:space="preserve">7. References</w:t>
      </w:r>
    </w:p>
    <w:p>
      <w:pPr>
        <w:spacing w:after="120" w:line="276"/>
      </w:pPr>
      <w:r>
        <w:t xml:space="preserve">Appleton, J. (1975). The experience of landscape. Wiley. [GS: ~3,500]</w:t>
      </w:r>
    </w:p>
    <w:p>
      <w:pPr>
        <w:spacing w:after="120" w:line="276"/>
      </w:pPr>
      <w:r>
        <w:t xml:space="preserve">Aron, E. N., &amp; Aron, A. (1997). Sensory-processing sensitivity and its relation to introversion and emotionality. JPSP, 73(2), 345–368. [GS: ~2,400]</w:t>
      </w:r>
    </w:p>
    <w:p>
      <w:pPr>
        <w:spacing w:after="120" w:line="276"/>
      </w:pPr>
      <w:r>
        <w:t xml:space="preserve">Aston-Jones, G., &amp; Cohen, J. D. (2005). An integrative theory of locus coeruleus–norepinephrine function. Annual Review of Neuroscience, 28, 403–450. [GS: ~6,500]</w:t>
      </w:r>
    </w:p>
    <w:p>
      <w:pPr>
        <w:spacing w:after="120" w:line="276"/>
      </w:pPr>
      <w:r>
        <w:t xml:space="preserve">Banbury, S. P., &amp; Berry, D. C. (2005). Office noise and employee concentration. Ergonomics, 48(4), 399–417. [GS: ~800]</w:t>
      </w:r>
    </w:p>
    <w:p>
      <w:pPr>
        <w:spacing w:after="120" w:line="276"/>
      </w:pPr>
      <w:r>
        <w:t xml:space="preserve">Berlyne, D. E. (1971). Aesthetics and psychobiology. Appleton-Century-Crofts. [GS: ~4,100]</w:t>
      </w:r>
    </w:p>
    <w:p>
      <w:pPr>
        <w:spacing w:after="120" w:line="276"/>
      </w:pPr>
      <w:r>
        <w:t xml:space="preserve">Birkhoff, G. D. (1933). Aesthetic measure. Harvard University Press. [GS: ~1,200]</w:t>
      </w:r>
    </w:p>
    <w:p>
      <w:pPr>
        <w:spacing w:after="120" w:line="276"/>
      </w:pPr>
      <w:r>
        <w:t xml:space="preserve">Boyce, P. R. (2014). Human factors in lighting (3rd ed.). CRC Press. [GS: ~2,000]</w:t>
      </w:r>
    </w:p>
    <w:p>
      <w:pPr>
        <w:spacing w:after="120" w:line="276"/>
      </w:pPr>
      <w:r>
        <w:t xml:space="preserve">Bromberg-Martin, E. S., Matsumoto, M., &amp; Hikosaka, O. (2010). Dopamine in motivational control. Neuron, 68(5), 815–834. [GS: ~3,000]</w:t>
      </w:r>
    </w:p>
    <w:p>
      <w:pPr>
        <w:spacing w:after="120" w:line="276"/>
      </w:pPr>
      <w:r>
        <w:t xml:space="preserve">Clark, A. (2013). Whatever next? BBS, 36(3), 181–204. [GS: ~5,800]</w:t>
      </w:r>
    </w:p>
    <w:p>
      <w:pPr>
        <w:spacing w:after="120" w:line="276"/>
      </w:pPr>
      <w:r>
        <w:t xml:space="preserve">Clark, A. (2015). Surfing uncertainty. Oxford University Press. [GS: ~3,200]</w:t>
      </w:r>
    </w:p>
    <w:p>
      <w:pPr>
        <w:spacing w:after="120" w:line="276"/>
      </w:pPr>
      <w:r>
        <w:t xml:space="preserve">Clark, A., &amp; Chalmers, D. (1998). The extended mind. Analysis, 58(1), 7–19. [GS: ~11,000]</w:t>
      </w:r>
    </w:p>
    <w:p>
      <w:pPr>
        <w:spacing w:after="120" w:line="276"/>
      </w:pPr>
      <w:r>
        <w:t xml:space="preserve">Dosen, A. S., &amp; Ostwald, M. J. (2016). Evidence for prospect-refuge theory: A meta-analysis. City, Territory and Architecture, 3(4). [GS: ~150]</w:t>
      </w:r>
    </w:p>
    <w:p>
      <w:pPr>
        <w:spacing w:after="120" w:line="276"/>
      </w:pPr>
      <w:r>
        <w:t xml:space="preserve">Fanger, P. O. (1970). Thermal comfort. Danish Technical Press. [GS: ~8,500]</w:t>
      </w:r>
    </w:p>
    <w:p>
      <w:pPr>
        <w:spacing w:after="120" w:line="276"/>
      </w:pPr>
      <w:r>
        <w:t xml:space="preserve">Fechner, G. T. (1876). Vorschule der Aesthetik. Breitkopf &amp; Härtel. [GS: ~3,000]</w:t>
      </w:r>
    </w:p>
    <w:p>
      <w:pPr>
        <w:spacing w:after="120" w:line="276"/>
      </w:pPr>
      <w:r>
        <w:t xml:space="preserve">Field, D. J. (1987). Relations between natural image statistics and cortical cell responses. JOSA A, 4(12), 2379–2394. [GS: ~4,200]</w:t>
      </w:r>
    </w:p>
    <w:p>
      <w:pPr>
        <w:spacing w:after="120" w:line="276"/>
      </w:pPr>
      <w:r>
        <w:t xml:space="preserve">Friston, K. (2010). The free-energy principle. Nature Reviews Neuroscience, 11(2), 127–138. [GS: ~8,500]</w:t>
      </w:r>
    </w:p>
    <w:p>
      <w:pPr>
        <w:spacing w:after="120" w:line="276"/>
      </w:pPr>
      <w:r>
        <w:t xml:space="preserve">Güçlütürk, Y., et al. (2016). Liking versus complexity: Decomposing the inverted U-curve. Frontiers in Human Neuroscience, 10, 112. [GS: ~200]</w:t>
      </w:r>
    </w:p>
    <w:p>
      <w:pPr>
        <w:spacing w:after="120" w:line="276"/>
      </w:pPr>
      <w:r>
        <w:t xml:space="preserve">Hagerhall, C. M., et al. (2004). Fractal dimension as predictor of landscape preference. J. Environmental Psychology, 24(2), 247–255. [GS: ~500]</w:t>
      </w:r>
    </w:p>
    <w:p>
      <w:pPr>
        <w:spacing w:after="120" w:line="276"/>
      </w:pPr>
      <w:r>
        <w:t xml:space="preserve">Hohwy, J. (2013). The predictive mind. Oxford University Press. [GS: ~2,800]</w:t>
      </w:r>
    </w:p>
    <w:p>
      <w:pPr>
        <w:spacing w:after="120" w:line="276"/>
      </w:pPr>
      <w:r>
        <w:t xml:space="preserve">Kidd, C., &amp; Hayden, B. Y. (2015). The psychology and neuroscience of curiosity. Neuron, 88(3), 449–460. [GS: ~1,500]</w:t>
      </w:r>
    </w:p>
    <w:p>
      <w:pPr>
        <w:spacing w:after="120" w:line="276"/>
      </w:pPr>
      <w:r>
        <w:t xml:space="preserve">Lan, L., et al. (2011). Effects of thermal discomfort in an office on perceived air quality. Applied Ergonomics, 42(1), 29–36. [GS: ~400]</w:t>
      </w:r>
    </w:p>
    <w:p>
      <w:pPr>
        <w:spacing w:after="120" w:line="276"/>
      </w:pPr>
      <w:r>
        <w:t xml:space="preserve">Martindale, C. (1984). The pleasures of thought: A theory of cognitive hedonics. J. Mind and Behavior, 5(1), 49–80. [GS: ~300]</w:t>
      </w:r>
    </w:p>
    <w:p>
      <w:pPr>
        <w:spacing w:after="120" w:line="276"/>
      </w:pPr>
      <w:r>
        <w:t xml:space="preserve">Mehta, R., Zhu, R., &amp; Cheema, A. (2012). Is noise always bad? Exploring the effects of ambient noise on creative cognition. J. Consumer Research, 39(4), 784–799. [GS: ~1,500]</w:t>
      </w:r>
    </w:p>
    <w:p>
      <w:pPr>
        <w:spacing w:after="120" w:line="276"/>
      </w:pPr>
      <w:r>
        <w:t xml:space="preserve">Menon, V., &amp; Uddin, L. Q. (2010). Saliency, switching, attention and control: A network model of insula function. Brain Structure and Function, 214(5), 655–667. [GS: ~5,000]</w:t>
      </w:r>
    </w:p>
    <w:p>
      <w:pPr>
        <w:spacing w:after="120" w:line="276"/>
      </w:pPr>
      <w:r>
        <w:t xml:space="preserve">Meyers-Levy, J., &amp; Zhu, R. (2007). The influence of ceiling height. J. Consumer Research, 34(2), 174–186. [GS: ~900]</w:t>
      </w:r>
    </w:p>
    <w:p>
      <w:pPr>
        <w:spacing w:after="120" w:line="276"/>
      </w:pPr>
      <w:r>
        <w:t xml:space="preserve">Nyrud, A. Q., &amp; Bringslimark, T. (2010). Is interior wood use psychologically beneficial? Wood and Fiber Science, 42(2), 202–218. [GS: ~200]</w:t>
      </w:r>
    </w:p>
    <w:p>
      <w:pPr>
        <w:spacing w:after="120" w:line="276"/>
      </w:pPr>
      <w:r>
        <w:t xml:space="preserve">Osterhaus, W. K. E. (2005). Discomfort glare assessment and prevention for daylight applications. Solar Energy, 79(2), 140–158. [GS: ~400]</w:t>
      </w:r>
    </w:p>
    <w:p>
      <w:pPr>
        <w:spacing w:after="120" w:line="276"/>
      </w:pPr>
      <w:r>
        <w:t xml:space="preserve">Parr, T., &amp; Friston, K. J. (2019). Generalised free energy and active inference. Biological Cybernetics, 113, 495–513. [GS: ~400]</w:t>
      </w:r>
    </w:p>
    <w:p>
      <w:pPr>
        <w:spacing w:after="120" w:line="276"/>
      </w:pPr>
      <w:r>
        <w:t xml:space="preserve">Rajan, R., et al. (2015). Ambient noise and cognitive performance. Psychonomic Bulletin &amp; Review, 22(6), 1709–1715. [GS: ~200]</w:t>
      </w:r>
    </w:p>
    <w:p>
      <w:pPr>
        <w:spacing w:after="120" w:line="276"/>
      </w:pPr>
      <w:r>
        <w:t xml:space="preserve">Salingaros, N. A. (2003). The sensory value of ornament. Communication &amp; Cognition, 36(3–4), 331–351. [GS: ~150]</w:t>
      </w:r>
    </w:p>
    <w:p>
      <w:pPr>
        <w:spacing w:after="120" w:line="276"/>
      </w:pPr>
      <w:r>
        <w:t xml:space="preserve">Schomaker, J., &amp; Meeter, M. (2015). Short- and long-lasting consequences of novelty. Neuroscience &amp; Biobehavioral Reviews, 55, 268–279. [GS: ~350]</w:t>
      </w:r>
    </w:p>
    <w:p>
      <w:pPr>
        <w:spacing w:after="120" w:line="276"/>
      </w:pPr>
      <w:r>
        <w:t xml:space="preserve">Seppänen, O., et al. (2006). Room temperature and productivity in office work. Energy and Buildings, 38(7), 775–785. [GS: ~700]</w:t>
      </w:r>
    </w:p>
    <w:p>
      <w:pPr>
        <w:spacing w:after="120" w:line="276"/>
      </w:pPr>
      <w:r>
        <w:t xml:space="preserve">Simoncelli, E. P., &amp; Olshausen, B. A. (2001). Natural image statistics and neural representation. Annual Review of Neuroscience, 24, 1193–1216. [GS: ~3,500]</w:t>
      </w:r>
    </w:p>
    <w:p>
      <w:pPr>
        <w:spacing w:after="120" w:line="276"/>
      </w:pPr>
      <w:r>
        <w:t xml:space="preserve">Spehar, B., et al. (2003). Universal aesthetic of fractals. Computers &amp; Graphics, 27(5), 813–820. [GS: ~350]</w:t>
      </w:r>
    </w:p>
    <w:p>
      <w:pPr>
        <w:spacing w:after="120" w:line="276"/>
      </w:pPr>
      <w:r>
        <w:t xml:space="preserve">Stamps, A. E. (2004). Mystery, complexity, legibility, and coherence: A meta-analysis. J. Environmental Psychology, 24(1), 1–16. [GS: ~600]</w:t>
      </w:r>
    </w:p>
    <w:p>
      <w:pPr>
        <w:spacing w:after="120" w:line="276"/>
      </w:pPr>
      <w:r>
        <w:t xml:space="preserve">Sun, Z., &amp; Firestone, C. (2020). The dark room problem. Trends in Cognitive Sciences, 24(5), 346–348. [GS: ~200]</w:t>
      </w:r>
    </w:p>
    <w:p>
      <w:pPr>
        <w:spacing w:after="120" w:line="276"/>
      </w:pPr>
      <w:r>
        <w:t xml:space="preserve">Taylor, R. P., et al. (2011). Perceptual and physiological responses to Jackson Pollock’s fractals. Frontiers in Human Neuroscience, 5, 60. [GS: ~350]</w:t>
      </w:r>
    </w:p>
    <w:p>
      <w:pPr>
        <w:spacing w:after="120" w:line="276"/>
      </w:pPr>
      <w:r>
        <w:t xml:space="preserve">Tsunetsugu, Y., et al. (2007). Physiological effects of wood interiors. J. Wood Science, 53(1), 11–16. [GS: ~300]</w:t>
      </w:r>
    </w:p>
    <w:p>
      <w:pPr>
        <w:spacing w:after="120" w:line="276"/>
      </w:pPr>
      <w:r>
        <w:t xml:space="preserve">Vartanian, O., et al. (2015). Architectural design and the brain. J. Environmental Psychology, 41, 10–18. [GS: ~300]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Kirsh — UC San Diego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The Goldilocks Principle in Environmental Design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B5A8C"/>
      <w:sz w:val="26"/>
      <w:szCs w:val="26"/>
    </w:rPr>
  </w:style>
  <w:style w:type="paragraph" w:styleId="Heading3">
    <w:name w:val="Heading 3"/>
    <w:basedOn w:val="Normal"/>
    <w:next w:val="Normal"/>
    <w:qFormat/>
    <w:pPr>
      <w:spacing w:before="200" w:after="120"/>
      <w:outlineLvl w:val="2"/>
    </w:pPr>
    <w:rPr>
      <w:rFonts w:ascii="Arial" w:cs="Arial" w:eastAsia="Arial" w:hAnsi="Arial"/>
      <w:b/>
      <w:bCs/>
      <w:i/>
      <w:iCs/>
      <w:color w:val="3B6A9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2026-02-18T23:15:16.565Z</dcterms:created>
  <dcterms:modified xsi:type="dcterms:W3CDTF">2026-02-18T23:15:16.566Z</dcterms:modified>
</cp:coreProperties>
</file>

<file path=docProps/custom.xml><?xml version="1.0" encoding="utf-8"?>
<Properties xmlns="http://schemas.openxmlformats.org/officeDocument/2006/custom-properties" xmlns:vt="http://schemas.openxmlformats.org/officeDocument/2006/docPropsVTypes"/>
</file>