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300"/>
        <w:jc w:val="center"/>
      </w:pPr>
      <w:r>
        <w:rPr>
          <w:rFonts w:ascii="Arial" w:cs="Arial" w:eastAsia="Arial" w:hAnsi="Arial"/>
          <w:b/>
          <w:bCs/>
          <w:color w:val="1B3A5C"/>
          <w:sz w:val="40"/>
          <w:szCs w:val="40"/>
        </w:rPr>
        <w:t xml:space="preserve">Tutorial 1: Prediction Error</w:t>
      </w:r>
    </w:p>
    <w:p>
      <w:pPr>
        <w:spacing w:after="300"/>
        <w:jc w:val="center"/>
      </w:pPr>
      <w:r>
        <w:rPr>
          <w:rFonts w:ascii="Arial" w:cs="Arial" w:eastAsia="Arial" w:hAnsi="Arial"/>
          <w:i/>
          <w:iCs/>
          <w:color w:val="555555"/>
          <w:sz w:val="24"/>
          <w:szCs w:val="24"/>
        </w:rPr>
        <w:t xml:space="preserve">The Brain’s Fundamental Currency for Learning, Attention, and Affect</w:t>
      </w:r>
    </w:p>
    <w:p>
      <w:pPr>
        <w:pStyle w:val="Heading2"/>
      </w:pPr>
      <w:r>
        <w:t xml:space="preserve">What Is Prediction Error?</w:t>
      </w:r>
    </w:p>
    <w:p>
      <w:pPr>
        <w:spacing w:after="120" w:line="276"/>
      </w:pPr>
      <w:r>
        <w:t xml:space="preserve">The brain does not passively receive sensory information. It actively </w:t>
      </w:r>
      <w:r>
        <w:rPr>
          <w:i/>
          <w:iCs/>
        </w:rPr>
        <w:t xml:space="preserve">predicts</w:t>
      </w:r>
      <w:r>
        <w:t xml:space="preserve"> what it will receive next, based on an internal generative model of the world. </w:t>
      </w:r>
      <w:r>
        <w:rPr>
          <w:b/>
          <w:bCs/>
        </w:rPr>
        <w:t xml:space="preserve">Prediction error (PE)</w:t>
      </w:r>
      <w:r>
        <w:t xml:space="preserve"> is the discrepancy between what the brain predicted and what it actually receives. Formally, PE = sensory input − top-down prediction. When PE is zero, the brain’s model perfectly anticipated the input. When PE is large, something unexpected has occurred, and the model needs updating. This simple idea—that the brain is fundamentally a prediction machine, and that the mismatch signal between prediction and reality is the engine of all neural computation—is the core claim of the Predictive Processing framework (Rao &amp; Ballard, 1999; Friston, 2005, 2010; Clark, 2013, 2015).</w:t>
      </w:r>
    </w:p>
    <w:p>
      <w:pPr>
        <w:pStyle w:val="Heading2"/>
      </w:pPr>
      <w:r>
        <w:t xml:space="preserve">The Hierarchical Architecture</w:t>
      </w:r>
    </w:p>
    <w:p>
      <w:pPr>
        <w:spacing w:after="120" w:line="276"/>
      </w:pPr>
      <w:r>
        <w:t xml:space="preserve">PE is computed at every level of the cortical hierarchy, not just at the sensory surface. In the visual system, for instance, V1 neurons predict local edge orientations; V2 predicts textures and boundary groupings; V4 predicts shape and color constancies; the inferotemporal cortex (IT) predicts object identities; and the prefrontal cortex predicts events, sequences, and goals. At each level, a prediction is sent </w:t>
      </w:r>
      <w:r>
        <w:rPr>
          <w:i/>
          <w:iCs/>
        </w:rPr>
        <w:t xml:space="preserve">downward</w:t>
      </w:r>
      <w:r>
        <w:t xml:space="preserve"> (top-down) and compared against the signal arriving </w:t>
      </w:r>
      <w:r>
        <w:rPr>
          <w:i/>
          <w:iCs/>
        </w:rPr>
        <w:t xml:space="preserve">upward</w:t>
      </w:r>
      <w:r>
        <w:t xml:space="preserve"> (bottom-up) from the level below. The difference—the prediction error—is what propagates upward. In a well-predicted environment, very little signal ascends the hierarchy, because each level “explains away” its input. In an unpredicted environment, PE cascades upward, recruiting higher-level processing resources to resolve the discrepancy.</w:t>
      </w:r>
    </w:p>
    <w:p>
      <w:pPr>
        <w:spacing w:after="120" w:line="276"/>
      </w:pPr>
      <w:r>
        <w:t xml:space="preserve">This has a crucial architectural consequence: </w:t>
      </w:r>
      <w:r>
        <w:rPr>
          <w:b/>
          <w:bCs/>
        </w:rPr>
        <w:t xml:space="preserve">what flows up the cortical hierarchy is not raw sensory data—it is surprise</w:t>
      </w:r>
      <w:r>
        <w:t xml:space="preserve">. The brain transmits only what it failed to predict. Everything else is handled locally, efficiently, by the generative model. This is sometimes called the “residual signal” view of cortical communication (Rao &amp; Ballard, 1999; Bastos et al., 2012).</w:t>
      </w:r>
    </w:p>
    <w:p>
      <w:pPr>
        <w:pStyle w:val="Heading2"/>
      </w:pPr>
      <w:r>
        <w:t xml:space="preserve">Types of Prediction Error</w:t>
      </w:r>
    </w:p>
    <w:p>
      <w:pPr>
        <w:spacing w:after="120" w:line="276"/>
      </w:pPr>
      <w:r>
        <w:t xml:space="preserve">Not all PE is created equal. The framework distinguishes several functionally distinct types:</w:t>
      </w:r>
    </w:p>
    <w:p>
      <w:pPr>
        <w:spacing w:after="120" w:line="276"/>
      </w:pPr>
      <w:r>
        <w:rPr>
          <w:b/>
          <w:bCs/>
        </w:rPr>
        <w:t xml:space="preserve">Sensory PE</w:t>
      </w:r>
      <w:r>
        <w:t xml:space="preserve"> occurs when a specific sensory prediction fails—you expected silence and heard a door slam. This is the most basic form, computed in primary sensory cortices. The neural signature is a mismatch negativity (MMN) in auditory cortex or a visual mismatch response in V1, typically appearing 100–250ms after stimulus onset (Näätänen et al., 2007).</w:t>
      </w:r>
    </w:p>
    <w:p>
      <w:pPr>
        <w:spacing w:after="120" w:line="276"/>
      </w:pPr>
      <w:r>
        <w:rPr>
          <w:b/>
          <w:bCs/>
        </w:rPr>
        <w:t xml:space="preserve">Reward prediction error (RPE)</w:t>
      </w:r>
      <w:r>
        <w:t xml:space="preserve"> occurs when an expected reward fails to materialize, or an unexpected reward arrives. The classic dopaminergic signal: phasic firing of VTA dopamine neurons encodes RPE (Schultz et al., 1997; Schultz, 2016). Positive RPE (better than expected) = phasic dopamine burst. Negative RPE (worse than expected) = phasic dip below baseline. Zero RPE (exactly as expected) = no change. RPE drives reinforcement learning, habit formation, and motivational valuation.</w:t>
      </w:r>
    </w:p>
    <w:p>
      <w:pPr>
        <w:spacing w:after="120" w:line="276"/>
      </w:pPr>
      <w:r>
        <w:rPr>
          <w:b/>
          <w:bCs/>
        </w:rPr>
        <w:t xml:space="preserve">Precision-weighted PE</w:t>
      </w:r>
      <w:r>
        <w:t xml:space="preserve"> is PE modulated by the brain’s estimate of its own confidence. </w:t>
      </w:r>
      <w:r>
        <w:rPr>
          <w:i/>
          <w:iCs/>
        </w:rPr>
        <w:t xml:space="preserve">Precision</w:t>
      </w:r>
      <w:r>
        <w:t xml:space="preserve"> is the inverse variance of a probability distribution—how confident the brain is in either its prediction or the incoming signal. A PE with high precision (the brain is confident in the sensory data) gets amplified; a PE with low precision (the data is noisy or unreliable) gets attenuated. This is the PP account of </w:t>
      </w:r>
      <w:r>
        <w:rPr>
          <w:i/>
          <w:iCs/>
        </w:rPr>
        <w:t xml:space="preserve">attention</w:t>
      </w:r>
      <w:r>
        <w:t xml:space="preserve">: attending to something means increasing the precision (gain) on the PE signal from that source (Feldman &amp; Friston, 2010). In neural terms, precision-weighting is implemented by modulating the postsynaptic gain of superficial pyramidal cells, the population that encodes PE and projects upward (Bastos et al., 2012).</w:t>
      </w:r>
    </w:p>
    <w:p>
      <w:pPr>
        <w:spacing w:after="120" w:line="276"/>
      </w:pPr>
      <w:r>
        <w:rPr>
          <w:b/>
          <w:bCs/>
        </w:rPr>
        <w:t xml:space="preserve">Higher-order PE</w:t>
      </w:r>
      <w:r>
        <w:t xml:space="preserve"> occurs not when a sensory prediction fails, but when the brain’s </w:t>
      </w:r>
      <w:r>
        <w:rPr>
          <w:i/>
          <w:iCs/>
        </w:rPr>
        <w:t xml:space="preserve">model of the statistics</w:t>
      </w:r>
      <w:r>
        <w:t xml:space="preserve"> of its own prediction errors proves wrong. This is second-order learning—learning about learning. If you expect a volatile environment (lots of PE) but encounter stability, that itself is a higher-order PE. If you expect your predictions to be accurate but they keep failing, the brain infers that the </w:t>
      </w:r>
      <w:r>
        <w:rPr>
          <w:i/>
          <w:iCs/>
        </w:rPr>
        <w:t xml:space="preserve">generative model itself</w:t>
      </w:r>
      <w:r>
        <w:t xml:space="preserve"> is wrong, not just a single prediction. This drives model revision rather than parameter updating (Mathys et al., 2011; Lawson et al., 2017). We will return to this when discussing hedonic tagging.</w:t>
      </w:r>
    </w:p>
    <w:p>
      <w:pPr>
        <w:pStyle w:val="Heading2"/>
      </w:pPr>
      <w:r>
        <w:t xml:space="preserve">What PE Does: Five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368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368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Architectural Implication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Learning</w:t>
            </w:r>
          </w:p>
        </w:tc>
        <w:tc>
          <w:tcPr>
            <w:tcW w:type="dxa" w:w="3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PE drives synaptic plasticity. Hebbian updating weighted by PE magnitude.</w:t>
            </w:r>
          </w:p>
        </w:tc>
        <w:tc>
          <w:tcPr>
            <w:tcW w:type="dxa" w:w="3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Environments with zero PE teach nothing. Moderate PE sustains learning.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Attention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Precision-weighted PE captures attention. High-precision PE recruits frontoparietal networks.</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Unpredictable alarms capture attention involuntarily (phasic LC). Predictable environments free attention.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Affect</w:t>
            </w:r>
          </w:p>
        </w:tc>
        <w:tc>
          <w:tcPr>
            <w:tcW w:type="dxa" w:w="3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Moderate PE = curiosity/interest (dopaminergic). Excessive PE = anxiety (insular/dACC). Zero PE = boredom.</w:t>
            </w:r>
          </w:p>
        </w:tc>
        <w:tc>
          <w:tcPr>
            <w:tcW w:type="dxa" w:w="3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The Goldilocks inverted-U: environments optimized for moderate PE produce positive affect.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Action selection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Active inference: the brain can reduce PE by changing predictions (learning) or by changing the world (acting).</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19"/>
                <w:szCs w:val="19"/>
              </w:rPr>
              <w:t xml:space="preserve">People move through buildings to minimize PE—wayfinding is PE-driven exploration.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Model revision</w:t>
            </w:r>
          </w:p>
        </w:tc>
        <w:tc>
          <w:tcPr>
            <w:tcW w:type="dxa" w:w="3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Persistent PE that cannot be resolved by parameter updating triggers structure learning: revising the generative model itself.</w:t>
            </w:r>
          </w:p>
        </w:tc>
        <w:tc>
          <w:tcPr>
            <w:tcW w:type="dxa" w:w="368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Disorienting spaces force model revision, which is metabolically costly and aversive.</w:t>
            </w:r>
          </w:p>
        </w:tc>
      </w:tr>
    </w:tbl>
    <w:p>
      <w:pPr>
        <w:spacing w:after="120" w:line="276"/>
      </w:pPr>
    </w:p>
    <w:p>
      <w:pPr>
        <w:pStyle w:val="Heading2"/>
      </w:pPr>
      <w:r>
        <w:t xml:space="preserve">The Free Energy Principle</w:t>
      </w:r>
    </w:p>
    <w:p>
      <w:pPr>
        <w:spacing w:after="120" w:line="276"/>
      </w:pPr>
      <w:r>
        <w:t xml:space="preserve">Friston (2010) generalized PE into a single quantity—</w:t>
      </w:r>
      <w:r>
        <w:rPr>
          <w:b/>
          <w:bCs/>
        </w:rPr>
        <w:t xml:space="preserve">variational free energy</w:t>
      </w:r>
      <w:r>
        <w:t xml:space="preserve">—that the brain seeks to minimize over time. Free energy is an upper bound on surprise (technically, the negative log probability of sensory data given the generative model). Minimizing free energy means either </w:t>
      </w:r>
      <w:r>
        <w:rPr>
          <w:i/>
          <w:iCs/>
        </w:rPr>
        <w:t xml:space="preserve">updating the model</w:t>
      </w:r>
      <w:r>
        <w:t xml:space="preserve"> to better predict the data (perceptual inference) or </w:t>
      </w:r>
      <w:r>
        <w:rPr>
          <w:i/>
          <w:iCs/>
        </w:rPr>
        <w:t xml:space="preserve">changing the data</w:t>
      </w:r>
      <w:r>
        <w:t xml:space="preserve"> to better match the model (active inference—i.e., action). This unifies perception, learning, attention, and action under a single variational objective. The organism that minimizes free energy over its lifetime is one that maintains a good model of its environment and acts to keep itself in predicted, viable states. The architectural implication is that built environments either support or frustrate this process—and the metabolic cost of free-energy minimization is a real resource constraint on cognition.</w:t>
      </w:r>
    </w:p>
    <w:p>
      <w:pPr>
        <w:shd w:fill="FFF8E7" w:val="clear"/>
        <w:spacing w:before="120" w:after="120"/>
        <w:ind w:left="360" w:right="360"/>
      </w:pPr>
      <w:r>
        <w:rPr>
          <w:rFonts w:ascii="Arial" w:cs="Arial" w:eastAsia="Arial" w:hAnsi="Arial"/>
          <w:b/>
          <w:bCs/>
          <w:color w:val="1B3A5C"/>
          <w:sz w:val="21"/>
          <w:szCs w:val="21"/>
        </w:rPr>
        <w:t xml:space="preserve">Key takeaway: </w:t>
      </w:r>
      <w:r>
        <w:rPr>
          <w:rFonts w:ascii="Arial" w:cs="Arial" w:eastAsia="Arial" w:hAnsi="Arial"/>
          <w:sz w:val="21"/>
          <w:szCs w:val="21"/>
        </w:rPr>
        <w:t xml:space="preserve">PE is not noise. It is the brain’s fundamental currency for deciding what to learn, what to attend to, how to feel, and what to do. An environment’s PE profile—how much PE it generates, in which channels, at which levels of the hierarchy, and with what precision—determines its cognitive and affective impact on the occupant.</w:t>
      </w:r>
    </w:p>
    <w:p>
      <w:r>
        <w:br w:type="page"/>
      </w:r>
    </w:p>
    <w:p>
      <w:pPr>
        <w:spacing w:before="600" w:after="300"/>
        <w:jc w:val="center"/>
      </w:pPr>
      <w:r>
        <w:rPr>
          <w:rFonts w:ascii="Arial" w:cs="Arial" w:eastAsia="Arial" w:hAnsi="Arial"/>
          <w:b/>
          <w:bCs/>
          <w:color w:val="1B3A5C"/>
          <w:sz w:val="40"/>
          <w:szCs w:val="40"/>
        </w:rPr>
        <w:t xml:space="preserve">Tutorial 2: Hedonic Tagging and Predictive Processing</w:t>
      </w:r>
    </w:p>
    <w:p>
      <w:pPr>
        <w:spacing w:after="300"/>
        <w:jc w:val="center"/>
      </w:pPr>
      <w:r>
        <w:rPr>
          <w:rFonts w:ascii="Arial" w:cs="Arial" w:eastAsia="Arial" w:hAnsi="Arial"/>
          <w:i/>
          <w:iCs/>
          <w:color w:val="555555"/>
          <w:sz w:val="24"/>
          <w:szCs w:val="24"/>
        </w:rPr>
        <w:t xml:space="preserve">Why Prediction Errors Feel Like Something:
Second-Order Learning, Valence, and the Affective Coloring of Experience</w:t>
      </w:r>
    </w:p>
    <w:p>
      <w:pPr>
        <w:pStyle w:val="Heading2"/>
      </w:pPr>
      <w:r>
        <w:t xml:space="preserve">The Problem: Why Does PE Have Valence?</w:t>
      </w:r>
    </w:p>
    <w:p>
      <w:pPr>
        <w:spacing w:after="120" w:line="276"/>
      </w:pPr>
      <w:r>
        <w:t xml:space="preserve">Prediction error, as described in Tutorial 1, is a </w:t>
      </w:r>
      <w:r>
        <w:rPr>
          <w:i/>
          <w:iCs/>
        </w:rPr>
        <w:t xml:space="preserve">computational quantity</w:t>
      </w:r>
      <w:r>
        <w:t xml:space="preserve">—a difference signal. In principle, it is affectively neutral: a mismatch between prediction and input, nothing more. But PE does not feel neutral. A surprising gift feels good. A surprising car horn feels bad. A novel building can feel intriguing or threatening. The question is: </w:t>
      </w:r>
      <w:r>
        <w:rPr>
          <w:b/>
          <w:bCs/>
        </w:rPr>
        <w:t xml:space="preserve">where does the valence come from?</w:t>
      </w:r>
      <w:r>
        <w:t xml:space="preserve"> Why are some prediction errors tagged as positive (approach-worthy, interesting, rewarding) and others as negative (aversion-worthy, threatening, unpleasant)? This is the problem of </w:t>
      </w:r>
      <w:r>
        <w:rPr>
          <w:b/>
          <w:bCs/>
        </w:rPr>
        <w:t xml:space="preserve">hedonic tagging</w:t>
      </w:r>
      <w:r>
        <w:t xml:space="preserve">—the process by which raw prediction error acquires affective valence.</w:t>
      </w:r>
    </w:p>
    <w:p>
      <w:pPr>
        <w:pStyle w:val="Heading2"/>
      </w:pPr>
      <w:r>
        <w:t xml:space="preserve">Hedonic Tagging: The Classical Account</w:t>
      </w:r>
    </w:p>
    <w:p>
      <w:pPr>
        <w:spacing w:after="120" w:line="276"/>
      </w:pPr>
      <w:r>
        <w:t xml:space="preserve">The older, pre-PP account of hedonic tagging comes from appraisal theory in emotion research (Lazarus, 1991; Scherer, 2001) and Berlyne’s (1971) psychobiological model. In these frameworks, the valence of an experience is determined by a cognitive appraisal of the stimulus’s relevance to the organism’s goals, needs, and capacities. A stimulus is tagged positive if it advances the organism’s goals or provides learnable information; negative if it threatens goals or exceeds processing capacity. Berlyne’s two-system model (a reward system that peaks at moderate arousal, an aversion system that increases monotonically) provides the hedonic contour: the inverted-U is the </w:t>
      </w:r>
      <w:r>
        <w:rPr>
          <w:i/>
          <w:iCs/>
        </w:rPr>
        <w:t xml:space="preserve">sum</w:t>
      </w:r>
      <w:r>
        <w:t xml:space="preserve"> of a rising reward function and a rising aversion function, with the peak occurring where reward maximally exceeds aversion.</w:t>
      </w:r>
    </w:p>
    <w:p>
      <w:pPr>
        <w:spacing w:after="120" w:line="276"/>
      </w:pPr>
      <w:r>
        <w:t xml:space="preserve">This account has explanatory power but limited mechanistic specificity. It does not explain </w:t>
      </w:r>
      <w:r>
        <w:rPr>
          <w:i/>
          <w:iCs/>
        </w:rPr>
        <w:t xml:space="preserve">how</w:t>
      </w:r>
      <w:r>
        <w:t xml:space="preserve"> the brain computes the appraisal, </w:t>
      </w:r>
      <w:r>
        <w:rPr>
          <w:i/>
          <w:iCs/>
        </w:rPr>
        <w:t xml:space="preserve">where</w:t>
      </w:r>
      <w:r>
        <w:t xml:space="preserve"> in the processing stream the hedonic tag is attached, or </w:t>
      </w:r>
      <w:r>
        <w:rPr>
          <w:i/>
          <w:iCs/>
        </w:rPr>
        <w:t xml:space="preserve">why</w:t>
      </w:r>
      <w:r>
        <w:t xml:space="preserve"> the same PE can be positive in one context and negative in another.</w:t>
      </w:r>
    </w:p>
    <w:p>
      <w:pPr>
        <w:pStyle w:val="Heading2"/>
      </w:pPr>
      <w:r>
        <w:t xml:space="preserve">The Predictive Processing Account: Valence from Second-Order Statistics</w:t>
      </w:r>
    </w:p>
    <w:p>
      <w:pPr>
        <w:spacing w:after="120" w:line="276"/>
      </w:pPr>
      <w:r>
        <w:t xml:space="preserve">The PP framework offers a more mechanistically specific account of hedonic tagging, grounded in </w:t>
      </w:r>
      <w:r>
        <w:rPr>
          <w:b/>
          <w:bCs/>
        </w:rPr>
        <w:t xml:space="preserve">second-order prediction error</w:t>
      </w:r>
      <w:r>
        <w:t xml:space="preserve">—the brain’s monitoring of the </w:t>
      </w:r>
      <w:r>
        <w:rPr>
          <w:i/>
          <w:iCs/>
        </w:rPr>
        <w:t xml:space="preserve">statistics of its own prediction errors over time</w:t>
      </w:r>
      <w:r>
        <w:t xml:space="preserve">. The key insight, developed most formally by Joffily and Coricelli (2013), Van de Cruys (2017), and Hesp et al. (2021), is:</w:t>
      </w:r>
    </w:p>
    <w:p>
      <w:pPr>
        <w:shd w:fill="E8F5E8" w:val="clear"/>
        <w:spacing w:before="120" w:after="120"/>
        <w:ind w:left="360" w:right="360"/>
      </w:pPr>
      <w:r>
        <w:rPr>
          <w:rFonts w:ascii="Arial" w:cs="Arial" w:eastAsia="Arial" w:hAnsi="Arial"/>
          <w:b/>
          <w:bCs/>
          <w:color w:val="1B3A5C"/>
          <w:sz w:val="21"/>
          <w:szCs w:val="21"/>
        </w:rPr>
        <w:t xml:space="preserve">Valence is not a property of first-order PE. Valence is the second-order derivative: it tracks whether the organism’s model is getting better (positive valence) or worse (negative valence) at predicting its sensory input.</w:t>
      </w:r>
    </w:p>
    <w:p>
      <w:pPr>
        <w:spacing w:after="120" w:line="276"/>
      </w:pPr>
      <w:r>
        <w:t xml:space="preserve">Unpack this carefully. At the first order, the brain computes PE = input − prediction. At the second order, the brain tracks how PE is changing over time. There are four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34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PE Trajectory</w:t>
            </w:r>
          </w:p>
        </w:tc>
        <w:tc>
          <w:tcPr>
            <w:tcW w:type="dxa" w:w="234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Second-Order Signal</w:t>
            </w:r>
          </w:p>
        </w:tc>
        <w:tc>
          <w:tcPr>
            <w:tcW w:type="dxa" w:w="2340"/>
            <w:tcBorders>
              <w:top w:val="single" w:color="999999" w:sz="1"/>
              <w:left w:val="single" w:color="999999" w:sz="1"/>
              <w:bottom w:val="single" w:color="999999" w:sz="1"/>
              <w:right w:val="single" w:color="999999" w:sz="1"/>
            </w:tcBorders>
            <w:shd w:fill="2B3A4E" w:val="clear"/>
            <w:tcMar>
              <w:top w:type="dxa" w:w="60"/>
              <w:left w:type="dxa" w:w="100"/>
              <w:bottom w:type="dxa" w:w="60"/>
              <w:right w:type="dxa" w:w="100"/>
            </w:tcMar>
          </w:tcPr>
          <w:p>
            <w:r>
              <w:rPr>
                <w:rFonts w:ascii="Arial" w:cs="Arial" w:eastAsia="Arial" w:hAnsi="Arial"/>
                <w:b/>
                <w:bCs/>
                <w:color w:val="FFFFFF"/>
                <w:sz w:val="20"/>
                <w:szCs w:val="20"/>
              </w:rPr>
              <w:t xml:space="preserve">Hedonic Tag</w:t>
            </w:r>
          </w:p>
        </w:tc>
      </w:tr>
      <w:tr>
        <w:tc>
          <w:tcPr>
            <w:tcW w:type="dxa" w:w="234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pPr>
              <w:spacing w:after="40"/>
            </w:pPr>
            <w:r>
              <w:rPr>
                <w:rFonts w:ascii="Arial" w:cs="Arial" w:eastAsia="Arial" w:hAnsi="Arial"/>
                <w:sz w:val="19"/>
                <w:szCs w:val="19"/>
              </w:rPr>
              <w:t xml:space="preserve">PE is high and decreasing</w:t>
            </w:r>
          </w:p>
        </w:tc>
        <w:tc>
          <w:tcPr>
            <w:tcW w:type="dxa" w:w="234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pPr>
              <w:spacing w:after="40"/>
            </w:pPr>
            <w:r>
              <w:rPr>
                <w:rFonts w:ascii="Arial" w:cs="Arial" w:eastAsia="Arial" w:hAnsi="Arial"/>
                <w:sz w:val="19"/>
                <w:szCs w:val="19"/>
              </w:rPr>
              <w:t xml:space="preserve">Errors shrinking over time</w:t>
            </w:r>
          </w:p>
        </w:tc>
        <w:tc>
          <w:tcPr>
            <w:tcW w:type="dxa" w:w="234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pPr>
              <w:spacing w:after="40"/>
            </w:pPr>
            <w:r>
              <w:rPr>
                <w:rFonts w:ascii="Arial" w:cs="Arial" w:eastAsia="Arial" w:hAnsi="Arial"/>
                <w:sz w:val="19"/>
                <w:szCs w:val="19"/>
              </w:rPr>
              <w:t xml:space="preserve">Model is improving: ↓PE/↓t &lt; 0</w:t>
            </w:r>
          </w:p>
        </w:tc>
        <w:tc>
          <w:tcPr>
            <w:tcW w:type="dxa" w:w="2340"/>
            <w:tcBorders>
              <w:top w:val="single" w:color="999999" w:sz="1"/>
              <w:left w:val="single" w:color="999999" w:sz="1"/>
              <w:bottom w:val="single" w:color="999999" w:sz="1"/>
              <w:right w:val="single" w:color="999999" w:sz="1"/>
            </w:tcBorders>
            <w:shd w:fill="E8F5E8" w:val="clear"/>
            <w:tcMar>
              <w:top w:type="dxa" w:w="60"/>
              <w:left w:type="dxa" w:w="100"/>
              <w:bottom w:type="dxa" w:w="60"/>
              <w:right w:type="dxa" w:w="100"/>
            </w:tcMar>
          </w:tcPr>
          <w:p>
            <w:pPr>
              <w:spacing w:after="40"/>
            </w:pPr>
            <w:r>
              <w:rPr>
                <w:rFonts w:ascii="Arial" w:cs="Arial" w:eastAsia="Arial" w:hAnsi="Arial"/>
                <w:sz w:val="19"/>
                <w:szCs w:val="19"/>
              </w:rPr>
              <w:t xml:space="preserve">Positive: interest, curiosity, engagement, satisfaction</w:t>
            </w:r>
          </w:p>
        </w:tc>
      </w:tr>
      <w:tr>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PE is low and stable</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Errors near zero, not changing</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Model is accurate: ∂PE/∂t ≈ 0</w:t>
            </w:r>
          </w:p>
        </w:tc>
        <w:tc>
          <w:tcPr>
            <w:tcW w:type="dxa" w:w="234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after="40"/>
            </w:pPr>
            <w:r>
              <w:rPr>
                <w:rFonts w:ascii="Arial" w:cs="Arial" w:eastAsia="Arial" w:hAnsi="Arial"/>
                <w:sz w:val="19"/>
                <w:szCs w:val="19"/>
              </w:rPr>
              <w:t xml:space="preserve">Neutral→mildly negative: boredom, disengagement</w:t>
            </w:r>
          </w:p>
        </w:tc>
      </w:tr>
      <w:tr>
        <w:tc>
          <w:tcPr>
            <w:tcW w:type="dxa" w:w="234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spacing w:after="40"/>
            </w:pPr>
            <w:r>
              <w:rPr>
                <w:rFonts w:ascii="Arial" w:cs="Arial" w:eastAsia="Arial" w:hAnsi="Arial"/>
                <w:sz w:val="19"/>
                <w:szCs w:val="19"/>
              </w:rPr>
              <w:t xml:space="preserve">PE is high and increasing</w:t>
            </w:r>
          </w:p>
        </w:tc>
        <w:tc>
          <w:tcPr>
            <w:tcW w:type="dxa" w:w="234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spacing w:after="40"/>
            </w:pPr>
            <w:r>
              <w:rPr>
                <w:rFonts w:ascii="Arial" w:cs="Arial" w:eastAsia="Arial" w:hAnsi="Arial"/>
                <w:sz w:val="19"/>
                <w:szCs w:val="19"/>
              </w:rPr>
              <w:t xml:space="preserve">Errors growing over time</w:t>
            </w:r>
          </w:p>
        </w:tc>
        <w:tc>
          <w:tcPr>
            <w:tcW w:type="dxa" w:w="234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spacing w:after="40"/>
            </w:pPr>
            <w:r>
              <w:rPr>
                <w:rFonts w:ascii="Arial" w:cs="Arial" w:eastAsia="Arial" w:hAnsi="Arial"/>
                <w:sz w:val="19"/>
                <w:szCs w:val="19"/>
              </w:rPr>
              <w:t xml:space="preserve">Model is failing: ↑PE/↑t &gt; 0</w:t>
            </w:r>
          </w:p>
        </w:tc>
        <w:tc>
          <w:tcPr>
            <w:tcW w:type="dxa" w:w="234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pPr>
              <w:spacing w:after="40"/>
            </w:pPr>
            <w:r>
              <w:rPr>
                <w:rFonts w:ascii="Arial" w:cs="Arial" w:eastAsia="Arial" w:hAnsi="Arial"/>
                <w:sz w:val="19"/>
                <w:szCs w:val="19"/>
              </w:rPr>
              <w:t xml:space="preserve">Negative: anxiety, frustration, aversion</w:t>
            </w:r>
          </w:p>
        </w:tc>
      </w:tr>
      <w:tr>
        <w:tc>
          <w:tcPr>
            <w:tcW w:type="dxa" w:w="2340"/>
            <w:tcBorders>
              <w:top w:val="single" w:color="999999" w:sz="1"/>
              <w:left w:val="single" w:color="999999" w:sz="1"/>
              <w:bottom w:val="single" w:color="999999" w:sz="1"/>
              <w:right w:val="single" w:color="999999" w:sz="1"/>
            </w:tcBorders>
            <w:shd w:fill="FFF8E7" w:val="clear"/>
            <w:tcMar>
              <w:top w:type="dxa" w:w="60"/>
              <w:left w:type="dxa" w:w="100"/>
              <w:bottom w:type="dxa" w:w="60"/>
              <w:right w:type="dxa" w:w="100"/>
            </w:tcMar>
          </w:tcPr>
          <w:p>
            <w:pPr>
              <w:spacing w:after="40"/>
            </w:pPr>
            <w:r>
              <w:rPr>
                <w:rFonts w:ascii="Arial" w:cs="Arial" w:eastAsia="Arial" w:hAnsi="Arial"/>
                <w:sz w:val="19"/>
                <w:szCs w:val="19"/>
              </w:rPr>
              <w:t xml:space="preserve">PE is moderate and stable</w:t>
            </w:r>
          </w:p>
        </w:tc>
        <w:tc>
          <w:tcPr>
            <w:tcW w:type="dxa" w:w="2340"/>
            <w:tcBorders>
              <w:top w:val="single" w:color="999999" w:sz="1"/>
              <w:left w:val="single" w:color="999999" w:sz="1"/>
              <w:bottom w:val="single" w:color="999999" w:sz="1"/>
              <w:right w:val="single" w:color="999999" w:sz="1"/>
            </w:tcBorders>
            <w:shd w:fill="FFF8E7" w:val="clear"/>
            <w:tcMar>
              <w:top w:type="dxa" w:w="60"/>
              <w:left w:type="dxa" w:w="100"/>
              <w:bottom w:type="dxa" w:w="60"/>
              <w:right w:type="dxa" w:w="100"/>
            </w:tcMar>
          </w:tcPr>
          <w:p>
            <w:pPr>
              <w:spacing w:after="40"/>
            </w:pPr>
            <w:r>
              <w:rPr>
                <w:rFonts w:ascii="Arial" w:cs="Arial" w:eastAsia="Arial" w:hAnsi="Arial"/>
                <w:sz w:val="19"/>
                <w:szCs w:val="19"/>
              </w:rPr>
              <w:t xml:space="preserve">Errors present but manageable</w:t>
            </w:r>
          </w:p>
        </w:tc>
        <w:tc>
          <w:tcPr>
            <w:tcW w:type="dxa" w:w="2340"/>
            <w:tcBorders>
              <w:top w:val="single" w:color="999999" w:sz="1"/>
              <w:left w:val="single" w:color="999999" w:sz="1"/>
              <w:bottom w:val="single" w:color="999999" w:sz="1"/>
              <w:right w:val="single" w:color="999999" w:sz="1"/>
            </w:tcBorders>
            <w:shd w:fill="FFF8E7" w:val="clear"/>
            <w:tcMar>
              <w:top w:type="dxa" w:w="60"/>
              <w:left w:type="dxa" w:w="100"/>
              <w:bottom w:type="dxa" w:w="60"/>
              <w:right w:type="dxa" w:w="100"/>
            </w:tcMar>
          </w:tcPr>
          <w:p>
            <w:pPr>
              <w:spacing w:after="40"/>
            </w:pPr>
            <w:r>
              <w:rPr>
                <w:rFonts w:ascii="Arial" w:cs="Arial" w:eastAsia="Arial" w:hAnsi="Arial"/>
                <w:sz w:val="19"/>
                <w:szCs w:val="19"/>
              </w:rPr>
              <w:t xml:space="preserve">Model is engaged but not overwhelmed</w:t>
            </w:r>
          </w:p>
        </w:tc>
        <w:tc>
          <w:tcPr>
            <w:tcW w:type="dxa" w:w="2340"/>
            <w:tcBorders>
              <w:top w:val="single" w:color="999999" w:sz="1"/>
              <w:left w:val="single" w:color="999999" w:sz="1"/>
              <w:bottom w:val="single" w:color="999999" w:sz="1"/>
              <w:right w:val="single" w:color="999999" w:sz="1"/>
            </w:tcBorders>
            <w:shd w:fill="FFF8E7" w:val="clear"/>
            <w:tcMar>
              <w:top w:type="dxa" w:w="60"/>
              <w:left w:type="dxa" w:w="100"/>
              <w:bottom w:type="dxa" w:w="60"/>
              <w:right w:type="dxa" w:w="100"/>
            </w:tcMar>
          </w:tcPr>
          <w:p>
            <w:pPr>
              <w:spacing w:after="40"/>
            </w:pPr>
            <w:r>
              <w:rPr>
                <w:rFonts w:ascii="Arial" w:cs="Arial" w:eastAsia="Arial" w:hAnsi="Arial"/>
                <w:sz w:val="19"/>
                <w:szCs w:val="19"/>
              </w:rPr>
              <w:t xml:space="preserve">Positive: flow, sustained engagement, the Goldilocks zone</w:t>
            </w:r>
          </w:p>
        </w:tc>
      </w:tr>
    </w:tbl>
    <w:p>
      <w:pPr>
        <w:spacing w:after="120" w:line="276"/>
      </w:pPr>
    </w:p>
    <w:p>
      <w:pPr>
        <w:spacing w:after="120" w:line="276"/>
      </w:pPr>
      <w:r>
        <w:t xml:space="preserve">The critical case is the first row. When PE is </w:t>
      </w:r>
      <w:r>
        <w:rPr>
          <w:i/>
          <w:iCs/>
        </w:rPr>
        <w:t xml:space="preserve">high but decreasing</w:t>
      </w:r>
      <w:r>
        <w:t xml:space="preserve">—the brain is actively learning, its model is getting better, errors are being resolved—the experience is tagged as positive. This is the PP account of curiosity, interest, and the pleasure of learning. It explains why a moderately complex environment feels good: it generates enough PE to drive model updating, and the successful updating is itself rewarding. The reward is not in the PE per se; it is in the </w:t>
      </w:r>
      <w:r>
        <w:rPr>
          <w:i/>
          <w:iCs/>
        </w:rPr>
        <w:t xml:space="preserve">reduction</w:t>
      </w:r>
      <w:r>
        <w:t xml:space="preserve"> of PE, the trajectory of model improvement.</w:t>
      </w:r>
    </w:p>
    <w:p>
      <w:pPr>
        <w:pStyle w:val="Heading2"/>
      </w:pPr>
      <w:r>
        <w:t xml:space="preserve">The Neural Implementation: Where the Tag Gets Attached</w:t>
      </w:r>
    </w:p>
    <w:p>
      <w:pPr>
        <w:spacing w:after="120" w:line="276"/>
      </w:pPr>
      <w:r>
        <w:t xml:space="preserve">The second-order learning signal has a plausible neural substrate. The </w:t>
      </w:r>
      <w:r>
        <w:rPr>
          <w:b/>
          <w:bCs/>
        </w:rPr>
        <w:t xml:space="preserve">dopaminergic system</w:t>
      </w:r>
      <w:r>
        <w:t xml:space="preserve"> encodes reward prediction error (RPE)—the discrepancy between expected and received reward (Schultz et al., 1997). But dopamine neurons also respond to </w:t>
      </w:r>
      <w:r>
        <w:rPr>
          <w:i/>
          <w:iCs/>
        </w:rPr>
        <w:t xml:space="preserve">information gain</w:t>
      </w:r>
      <w:r>
        <w:t xml:space="preserve"> independent of external reward: novel, learnable stimuli trigger phasic dopamine release even when no food, money, or other primary reward is at stake (Bromberg-Martin &amp; Hikosaka, 2009; Kakade &amp; Dayan, 2002). This suggests that the dopaminergic system tags </w:t>
      </w:r>
      <w:r>
        <w:rPr>
          <w:i/>
          <w:iCs/>
        </w:rPr>
        <w:t xml:space="preserve">successful prediction-error reduction itself</w:t>
      </w:r>
      <w:r>
        <w:t xml:space="preserve"> as rewarding—it rewards the brain for getting better at predicting, not just for receiving external rewards.</w:t>
      </w:r>
    </w:p>
    <w:p>
      <w:pPr>
        <w:spacing w:after="120" w:line="276"/>
      </w:pPr>
      <w:r>
        <w:t xml:space="preserve">The </w:t>
      </w:r>
      <w:r>
        <w:rPr>
          <w:b/>
          <w:bCs/>
        </w:rPr>
        <w:t xml:space="preserve">anterior insula and dorsal anterior cingulate cortex (dACC)</w:t>
      </w:r>
      <w:r>
        <w:t xml:space="preserve"> play the complementary role: they track </w:t>
      </w:r>
      <w:r>
        <w:rPr>
          <w:i/>
          <w:iCs/>
        </w:rPr>
        <w:t xml:space="preserve">unresolved</w:t>
      </w:r>
      <w:r>
        <w:t xml:space="preserve"> PE and signal when the model is failing. The anterior insula generates an interoceptive “alarm” when PE persistently exceeds model capacity (Craig, 2009; Menon &amp; Uddin, 2010). The dACC monitors for conflict between competing predictions and signals the need for increased cognitive control (Botvinick et al., 2004). Together, these regions implement the </w:t>
      </w:r>
      <w:r>
        <w:rPr>
          <w:i/>
          <w:iCs/>
        </w:rPr>
        <w:t xml:space="preserve">negative</w:t>
      </w:r>
      <w:r>
        <w:t xml:space="preserve"> hedonic tag: the aversive feeling that arises when the brain’s model is getting worse, not better.</w:t>
      </w:r>
    </w:p>
    <w:p>
      <w:pPr>
        <w:spacing w:after="120" w:line="276"/>
      </w:pPr>
      <w:r>
        <w:t xml:space="preserve">The </w:t>
      </w:r>
      <w:r>
        <w:rPr>
          <w:b/>
          <w:bCs/>
        </w:rPr>
        <w:t xml:space="preserve">orbitofrontal cortex (OFC)</w:t>
      </w:r>
      <w:r>
        <w:t xml:space="preserve"> may be the convergence point where hedonic tags are attached to perceptual representations. Rolls (2019) argues that OFC neurons encode the subjective affective value of stimuli—not their sensory properties, but their hedonic significance. In PP terms, the OFC computes a valenced summary of the second-order PE trajectory and binds it to the object or environment representation. This is why you can walk into a room and </w:t>
      </w:r>
      <w:r>
        <w:rPr>
          <w:i/>
          <w:iCs/>
        </w:rPr>
        <w:t xml:space="preserve">immediately</w:t>
      </w:r>
      <w:r>
        <w:t xml:space="preserve"> feel that it is pleasant or unpleasant, before you have consciously analyzed any of its features: the OFC is tagging the whole-scene PE profile with a hedonic marker.</w:t>
      </w:r>
    </w:p>
    <w:p>
      <w:pPr>
        <w:pStyle w:val="Heading2"/>
      </w:pPr>
      <w:r>
        <w:t xml:space="preserve">Second-Order Learning: Volatility and Uncertainty</w:t>
      </w:r>
    </w:p>
    <w:p>
      <w:pPr>
        <w:spacing w:after="120" w:line="276"/>
      </w:pPr>
      <w:r>
        <w:t xml:space="preserve">The concept of second-order PE connects to a broader computational framework: </w:t>
      </w:r>
      <w:r>
        <w:rPr>
          <w:b/>
          <w:bCs/>
        </w:rPr>
        <w:t xml:space="preserve">hierarchical Gaussian filters (HGF)</w:t>
      </w:r>
      <w:r>
        <w:t xml:space="preserve"> and models of volatility estimation (Mathys et al., 2011, 2014; Lawson et al., 2017). In these models, the brain maintains estimates not just of the state of the world (first order) but of </w:t>
      </w:r>
      <w:r>
        <w:rPr>
          <w:i/>
          <w:iCs/>
        </w:rPr>
        <w:t xml:space="preserve">how quickly the world is changing</w:t>
      </w:r>
      <w:r>
        <w:t xml:space="preserve"> (second order: volatility) and even </w:t>
      </w:r>
      <w:r>
        <w:rPr>
          <w:i/>
          <w:iCs/>
        </w:rPr>
        <w:t xml:space="preserve">how quickly the volatility itself is changing</w:t>
      </w:r>
      <w:r>
        <w:t xml:space="preserve"> (third order: meta-volatility). The learning rate at each level is modulated by the estimates at the level above: if the brain estimates high volatility, it increases its learning rate (gives more weight to recent PE, less to prior expectations). If it estimates low volatility, it decreases its learning rate (trusts the prior more, discounts recent PE).</w:t>
      </w:r>
    </w:p>
    <w:p>
      <w:pPr>
        <w:spacing w:after="120" w:line="276"/>
      </w:pPr>
      <w:r>
        <w:t xml:space="preserve">Hedonic tagging maps onto this hierarchy. When the second-order estimate </w:t>
      </w:r>
      <w:r>
        <w:rPr>
          <w:i/>
          <w:iCs/>
        </w:rPr>
        <w:t xml:space="preserve">matches reality</w:t>
      </w:r>
      <w:r>
        <w:t xml:space="preserve">—when the brain correctly anticipates how volatile the environment is, and adjusts its learning rate accordingly—the organism is in a state of </w:t>
      </w:r>
      <w:r>
        <w:rPr>
          <w:i/>
          <w:iCs/>
        </w:rPr>
        <w:t xml:space="preserve">well-calibrated uncertainty</w:t>
      </w:r>
      <w:r>
        <w:t xml:space="preserve">. This feels </w:t>
      </w:r>
      <w:r>
        <w:rPr>
          <w:i/>
          <w:iCs/>
        </w:rPr>
        <w:t xml:space="preserve">right</w:t>
      </w:r>
      <w:r>
        <w:t xml:space="preserve">: neither anxious (volatility is higher than estimated, the brain is being surprised by its own surprise rate) nor bored (volatility is lower than estimated, the brain’s model is over-parameterized for a stable world). The Goldilocks zone, in this formulation, is the region where the brain’s volatility estimate is well-calibrated: the environment is changing at a rate the brain can track, and the second-order PE is near zero.</w:t>
      </w:r>
    </w:p>
    <w:p>
      <w:pPr>
        <w:pStyle w:val="Heading2"/>
      </w:pPr>
      <w:r>
        <w:t xml:space="preserve">Implications for Environmental Design</w:t>
      </w:r>
    </w:p>
    <w:p>
      <w:pPr>
        <w:spacing w:after="120" w:line="276"/>
      </w:pPr>
      <w:r>
        <w:t xml:space="preserve">This framework has direct consequences for architecture and environmental psychology. An environment’s hedonic quality is not determined by its first-order PE alone (how surprising it is at any given moment) but by the </w:t>
      </w:r>
      <w:r>
        <w:rPr>
          <w:i/>
          <w:iCs/>
        </w:rPr>
        <w:t xml:space="preserve">trajectory</w:t>
      </w:r>
      <w:r>
        <w:t xml:space="preserve"> of PE over time and the </w:t>
      </w:r>
      <w:r>
        <w:rPr>
          <w:i/>
          <w:iCs/>
        </w:rPr>
        <w:t xml:space="preserve">calibration</w:t>
      </w:r>
      <w:r>
        <w:t xml:space="preserve"> of the brain’s uncertainty estimates. A building that is initially surprising but progressively learnable—one whose complexity reveals itself gradually, whose layout becomes predictable with exploration, whose materials reward close inspection with fractal detail—will be hedonically tagged as positive. A building that is initially predictable but hides nothing—one that yields no new information on the second or tenth visit—will be tagged as boring. And a building that is persistently disorienting—one whose layout generates PE that does not decrease with repeated visits, whose wayfinding cues are unreliable, whose spaces violate spatial expectations without resolution—will be tagged as aversive.</w:t>
      </w:r>
    </w:p>
    <w:p>
      <w:pPr>
        <w:spacing w:after="120" w:line="276"/>
      </w:pPr>
      <w:r>
        <w:t xml:space="preserve">The practical design implication is that </w:t>
      </w:r>
      <w:r>
        <w:rPr>
          <w:b/>
          <w:bCs/>
        </w:rPr>
        <w:t xml:space="preserve">the best environments are learnable but not immediately learned</w:t>
      </w:r>
      <w:r>
        <w:t xml:space="preserve">. They generate moderate PE on first encounter and provide enough structure that PE decreases over time (positive hedonic tag: the building “rewards exploration”), but enough depth that PE never reaches zero (the building continues to offer discoverable detail). Gothic cathedrals, Japanese gardens, well-designed university campuses, and great cities all share this property. The worst environments are either immediately transparent (corporate corridors: zero PE from day one) or persistently opaque (badly-designed hospitals: PE never decreases because the layout is genuinely disorganized, not merely complex).</w:t>
      </w:r>
    </w:p>
    <w:p>
      <w:pPr>
        <w:shd w:fill="FFF8E7" w:val="clear"/>
        <w:spacing w:before="120" w:after="120"/>
        <w:ind w:left="360" w:right="360"/>
      </w:pPr>
      <w:r>
        <w:rPr>
          <w:rFonts w:ascii="Arial" w:cs="Arial" w:eastAsia="Arial" w:hAnsi="Arial"/>
          <w:b/>
          <w:bCs/>
          <w:color w:val="1B3A5C"/>
          <w:sz w:val="21"/>
          <w:szCs w:val="21"/>
        </w:rPr>
        <w:t xml:space="preserve">Key takeaway: </w:t>
      </w:r>
      <w:r>
        <w:rPr>
          <w:rFonts w:ascii="Arial" w:cs="Arial" w:eastAsia="Arial" w:hAnsi="Arial"/>
          <w:sz w:val="21"/>
          <w:szCs w:val="21"/>
        </w:rPr>
        <w:t xml:space="preserve">Hedonic tagging is not a mysterious post-hoc evaluation layered on top of perception. In the PP framework, it IS prediction error dynamics: the second-order derivative of PE over time, encoding whether the organism’s model of the world is improving or deteriorating. Positive affect = model improvement. Negative affect = model failure. The Goldilocks zone is where the model is engaged, challenged, and succeeding—where the brain is learning at the right rate in an environment whose volatility it has correctly estimated.</w:t>
      </w:r>
    </w:p>
    <w:p>
      <w:pPr>
        <w:spacing w:after="120" w:line="276"/>
      </w:pPr>
      <w:r/>
    </w:p>
    <w:p>
      <w:pPr>
        <w:pStyle w:val="Heading2"/>
      </w:pPr>
      <w:r>
        <w:t xml:space="preserve">References</w:t>
      </w:r>
    </w:p>
    <w:p>
      <w:pPr>
        <w:spacing w:after="120" w:line="276"/>
      </w:pPr>
      <w:r>
        <w:t xml:space="preserve">Bastos, A. M., et al. (2012). Canonical microcircuits for predictive coding. Neuron, 76(4), 695–711. https://doi.org/10.1016/j.neuron.2012.10.038 [GS: ~3,000]</w:t>
      </w:r>
    </w:p>
    <w:p>
      <w:pPr>
        <w:spacing w:after="120" w:line="276"/>
      </w:pPr>
      <w:r>
        <w:t xml:space="preserve">Berlyne, D. E. (1971). Aesthetics and psychobiology. Appleton-Century-Crofts. [GS: ~4,100]</w:t>
      </w:r>
    </w:p>
    <w:p>
      <w:pPr>
        <w:spacing w:after="120" w:line="276"/>
      </w:pPr>
      <w:r>
        <w:t xml:space="preserve">Botvinick, M. M., Cohen, J. D., &amp; Carter, C. S. (2004). Conflict monitoring and anterior cingulate cortex. Trends in Cognitive Sciences, 8(12), 539–546. [GS: ~5,000]</w:t>
      </w:r>
    </w:p>
    <w:p>
      <w:pPr>
        <w:spacing w:after="120" w:line="276"/>
      </w:pPr>
      <w:r>
        <w:t xml:space="preserve">Bromberg-Martin, E. S., &amp; Hikosaka, O. (2009). Midbrain dopamine neurons signal preference for advance information. Neuron, 63(1), 119–126. [GS: ~900]</w:t>
      </w:r>
    </w:p>
    <w:p>
      <w:pPr>
        <w:spacing w:after="120" w:line="276"/>
      </w:pPr>
      <w:r>
        <w:t xml:space="preserve">Clark, A. (2013). Whatever next? Predictive brains, situated agents, and the future of cognitive science. BBS, 36(3), 181–204. [GS: ~5,800]</w:t>
      </w:r>
    </w:p>
    <w:p>
      <w:pPr>
        <w:spacing w:after="120" w:line="276"/>
      </w:pPr>
      <w:r>
        <w:t xml:space="preserve">Clark, A. (2015). Surfing uncertainty: Prediction, action, and the embodied mind. Oxford University Press. [GS: ~3,200]</w:t>
      </w:r>
    </w:p>
    <w:p>
      <w:pPr>
        <w:spacing w:after="120" w:line="276"/>
      </w:pPr>
      <w:r>
        <w:t xml:space="preserve">Craig, A. D. (2009). How do you feel—now? The anterior insula and human awareness. Nature Reviews Neuroscience, 10(1), 59–70. [GS: ~5,500]</w:t>
      </w:r>
    </w:p>
    <w:p>
      <w:pPr>
        <w:spacing w:after="120" w:line="276"/>
      </w:pPr>
      <w:r>
        <w:t xml:space="preserve">Feldman, H., &amp; Friston, K. J. (2010). Attention, uncertainty, and free-energy. Frontiers in Human Neuroscience, 4, 215. [GS: ~1,200]</w:t>
      </w:r>
    </w:p>
    <w:p>
      <w:pPr>
        <w:spacing w:after="120" w:line="276"/>
      </w:pPr>
      <w:r>
        <w:t xml:space="preserve">Friston, K. (2005). A theory of cortical responses. Philosophical Transactions of the Royal Society B, 360(1456), 815–836. [GS: ~4,500]</w:t>
      </w:r>
    </w:p>
    <w:p>
      <w:pPr>
        <w:spacing w:after="120" w:line="276"/>
      </w:pPr>
      <w:r>
        <w:t xml:space="preserve">Friston, K. (2010). The free-energy principle: A unified brain theory? Nature Reviews Neuroscience, 11(2), 127–138. [GS: ~8,500]</w:t>
      </w:r>
    </w:p>
    <w:p>
      <w:pPr>
        <w:spacing w:after="120" w:line="276"/>
      </w:pPr>
      <w:r>
        <w:t xml:space="preserve">Hesp, C., et al. (2021). Deeply felt affect: The emergence of valence in deep active inference. Neural Computation, 33(2), 398–446. [GS: ~200]</w:t>
      </w:r>
    </w:p>
    <w:p>
      <w:pPr>
        <w:spacing w:after="120" w:line="276"/>
      </w:pPr>
      <w:r>
        <w:t xml:space="preserve">Joffily, M., &amp; Coricelli, G. (2013). Emotional valence and the free-energy principle. PLoS Computational Biology, 9(6), e1003094. [GS: ~450]</w:t>
      </w:r>
    </w:p>
    <w:p>
      <w:pPr>
        <w:spacing w:after="120" w:line="276"/>
      </w:pPr>
      <w:r>
        <w:t xml:space="preserve">Kakade, S., &amp; Dayan, P. (2002). Dopamine: Generalization and bonuses. Neural Networks, 15(4–6), 549–559. [GS: ~600]</w:t>
      </w:r>
    </w:p>
    <w:p>
      <w:pPr>
        <w:spacing w:after="120" w:line="276"/>
      </w:pPr>
      <w:r>
        <w:t xml:space="preserve">Lawson, R. P., et al. (2017). Adults with autism overestimate the volatility of the sensory environment. Nature Neuroscience, 20(9), 1293–1299. [GS: ~500]</w:t>
      </w:r>
    </w:p>
    <w:p>
      <w:pPr>
        <w:spacing w:after="120" w:line="276"/>
      </w:pPr>
      <w:r>
        <w:t xml:space="preserve">Lazarus, R. S. (1991). Emotion and adaptation. Oxford University Press. [GS: ~18,000]</w:t>
      </w:r>
    </w:p>
    <w:p>
      <w:pPr>
        <w:spacing w:after="120" w:line="276"/>
      </w:pPr>
      <w:r>
        <w:t xml:space="preserve">Mathys, C., et al. (2011). A Bayesian foundation for individual learning under uncertainty. Frontiers in Human Neuroscience, 5, 39. [GS: ~1,200]</w:t>
      </w:r>
    </w:p>
    <w:p>
      <w:pPr>
        <w:spacing w:after="120" w:line="276"/>
      </w:pPr>
      <w:r>
        <w:t xml:space="preserve">Mathys, C. D., et al. (2014). Uncertainty in perception and the hierarchical Gaussian filter. Frontiers in Human Neuroscience, 8, 825. [GS: ~600]</w:t>
      </w:r>
    </w:p>
    <w:p>
      <w:pPr>
        <w:spacing w:after="120" w:line="276"/>
      </w:pPr>
      <w:r>
        <w:t xml:space="preserve">Menon, V., &amp; Uddin, L. Q. (2010). Saliency, switching, attention and control. Brain Structure and Function, 214(5), 655–667. [GS: ~5,000]</w:t>
      </w:r>
    </w:p>
    <w:p>
      <w:pPr>
        <w:spacing w:after="120" w:line="276"/>
      </w:pPr>
      <w:r>
        <w:t xml:space="preserve">Näätänen, R., et al. (2007). The mismatch negativity (MMN) in basic research of central auditory processing. Clinical Neurophysiology, 118(12), 2544–2590. [GS: ~2,500]</w:t>
      </w:r>
    </w:p>
    <w:p>
      <w:pPr>
        <w:spacing w:after="120" w:line="276"/>
      </w:pPr>
      <w:r>
        <w:t xml:space="preserve">Rao, R. P., &amp; Ballard, D. H. (1999). Predictive coding in the visual cortex. Nature Neuroscience, 2(1), 79–87. [GS: ~5,500]</w:t>
      </w:r>
    </w:p>
    <w:p>
      <w:pPr>
        <w:spacing w:after="120" w:line="276"/>
      </w:pPr>
      <w:r>
        <w:t xml:space="preserve">Rolls, E. T. (2019). The orbitofrontal cortex and emotion in health and disease. Cerebral Cortex, 29(8), 3521–3533. [GS: ~300]</w:t>
      </w:r>
    </w:p>
    <w:p>
      <w:pPr>
        <w:spacing w:after="120" w:line="276"/>
      </w:pPr>
      <w:r>
        <w:t xml:space="preserve">Scherer, K. R. (2001). Appraisal considered as a process of multilevel sequential checking. In Appraisal processes in emotion (pp. 92–120). Oxford. [GS: ~2,500]</w:t>
      </w:r>
    </w:p>
    <w:p>
      <w:pPr>
        <w:spacing w:after="120" w:line="276"/>
      </w:pPr>
      <w:r>
        <w:t xml:space="preserve">Schultz, W. (2016). Dopamine reward prediction error signalling. Nature Reviews Neuroscience, 17(3), 183–195. [GS: ~3,000]</w:t>
      </w:r>
    </w:p>
    <w:p>
      <w:pPr>
        <w:spacing w:after="120" w:line="276"/>
      </w:pPr>
      <w:r>
        <w:t xml:space="preserve">Schultz, W., Dayan, P., &amp; Montague, P. R. (1997). A neural substrate of prediction and reward. Science, 275(5306), 1593–1599. [GS: ~12,000]</w:t>
      </w:r>
    </w:p>
    <w:p>
      <w:pPr>
        <w:spacing w:after="120" w:line="276"/>
      </w:pPr>
      <w:r>
        <w:t xml:space="preserve">Van de Cruys, S. (2017). Affective value in the predictive mind. In Philosophy and predictive processing. MIND Group. [GS: ~150]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David Kirsh • Cognitive Science, UC San Diego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Tutorials: Prediction Error &amp; Hedonic Tagging — Kirsh, UCSD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A8C"/>
      <w:sz w:val="26"/>
      <w:szCs w:val="26"/>
    </w:rPr>
  </w:style>
  <w:style w:type="paragraph" w:styleId="Heading3">
    <w:name w:val="Heading 3"/>
    <w:basedOn w:val="Normal"/>
    <w:next w:val="Normal"/>
    <w:qFormat/>
    <w:pPr>
      <w:spacing w:before="200" w:after="120"/>
      <w:outlineLvl w:val="2"/>
    </w:pPr>
    <w:rPr>
      <w:rFonts w:ascii="Arial" w:cs="Arial" w:eastAsia="Arial" w:hAnsi="Arial"/>
      <w:b/>
      <w:bCs/>
      <w:i/>
      <w:iCs/>
      <w:color w:val="3B6A9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2026-02-18T23:58:03.117Z</dcterms:created>
  <dcterms:modified xsi:type="dcterms:W3CDTF">2026-02-18T23:58:03.118Z</dcterms:modified>
</cp:coreProperties>
</file>

<file path=docProps/custom.xml><?xml version="1.0" encoding="utf-8"?>
<Properties xmlns="http://schemas.openxmlformats.org/officeDocument/2006/custom-properties" xmlns:vt="http://schemas.openxmlformats.org/officeDocument/2006/docPropsVTypes"/>
</file>