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OSF Pre-registration</w:t>
      </w:r>
    </w:p>
    <w:p>
      <w:pPr>
        <w:spacing w:after="120"/>
        <w:jc w:val="center"/>
      </w:pPr>
      <w:r>
        <w:rPr>
          <w:sz w:val="28"/>
          <w:szCs w:val="28"/>
        </w:rPr>
        <w:t xml:space="preserve">beó Digital Wellbeing Research Study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Registration date: 5 February 2026 | Study start: 10 February 2026</w:t>
      </w:r>
    </w:p>
    <w:p>
      <w:pPr>
        <w:spacing w:after="400"/>
        <w:jc w:val="center"/>
      </w:pPr>
      <w:r>
        <w:rPr>
          <w:sz w:val="20"/>
          <w:szCs w:val="20"/>
        </w:rPr>
        <w:t xml:space="preserve">Authors: Julie Hendry (MSc, FBCS), Mark Andrew Pope — beó LLC</w:t>
      </w:r>
    </w:p>
    <w:p>
      <w:pPr>
        <w:pStyle w:val="Heading1"/>
      </w:pPr>
      <w:r>
        <w:t xml:space="preserve">1. Study Information</w:t>
      </w:r>
    </w:p>
    <w:p>
      <w:pPr>
        <w:pStyle w:val="Heading2"/>
      </w:pPr>
      <w:r>
        <w:t xml:space="preserve">1.1 Title</w:t>
      </w:r>
    </w:p>
    <w:p>
      <w:pPr>
        <w:spacing w:after="200"/>
      </w:pPr>
      <w:r>
        <w:t xml:space="preserve">Do Evidence-Based Microhabits Improve Perceived Digital Self-Control? A 4-Week Exploratory Study</w:t>
      </w:r>
    </w:p>
    <w:p>
      <w:pPr>
        <w:pStyle w:val="Heading2"/>
      </w:pPr>
      <w:r>
        <w:t xml:space="preserve">1.2 Research Questions</w:t>
      </w:r>
    </w:p>
    <w:p>
      <w:pPr>
        <w:spacing w:after="100"/>
      </w:pPr>
      <w:r>
        <w:rPr>
          <w:b/>
          <w:bCs/>
        </w:rPr>
        <w:t xml:space="preserve">RQ1 (Primary): </w:t>
      </w:r>
      <w:r>
        <w:t xml:space="preserve">Is total microhabit engagement (continuous count) positively correlated with improvement in Self-Control scores (T2 minus T1)?</w:t>
      </w:r>
    </w:p>
    <w:p>
      <w:pPr>
        <w:spacing w:after="100"/>
      </w:pPr>
      <w:r>
        <w:rPr>
          <w:b/>
          <w:bCs/>
        </w:rPr>
        <w:t xml:space="preserve">RQ2: </w:t>
      </w:r>
      <w:r>
        <w:t xml:space="preserve">Do weekly perceived control ratings (0-10) show a positive trend over the 4-week study period for active users?</w:t>
      </w:r>
    </w:p>
    <w:p>
      <w:pPr>
        <w:spacing w:after="200"/>
      </w:pPr>
      <w:r>
        <w:rPr>
          <w:b/>
          <w:bCs/>
        </w:rPr>
        <w:t xml:space="preserve">RQ3 (Exploratory): </w:t>
      </w:r>
      <w:r>
        <w:t xml:space="preserve">Which microhabit categories show the strongest associations with perceived control improvements?</w:t>
      </w:r>
    </w:p>
    <w:p>
      <w:pPr>
        <w:pStyle w:val="Heading2"/>
      </w:pPr>
      <w:r>
        <w:t xml:space="preserve">1.3 Theoretical Framework</w:t>
      </w:r>
    </w:p>
    <w:p>
      <w:pPr>
        <w:spacing w:after="100"/>
      </w:pPr>
      <w:r>
        <w:t xml:space="preserve">Microhabits are hypothesised to improve perceived digital self-control via two mechanisms:</w:t>
      </w:r>
    </w:p>
    <w:p>
      <w:pPr>
        <w:spacing w:after="80"/>
        <w:ind w:left="360"/>
      </w:pPr>
      <w:r>
        <w:rPr>
          <w:b/>
          <w:bCs/>
        </w:rPr>
        <w:t xml:space="preserve">1. Attention Restoration Theory </w:t>
      </w:r>
      <w:r>
        <w:t xml:space="preserve">(Kaplan, 1995): Brief nature and sensory engagement replenishes directed attention capacity depleted by screen use.</w:t>
      </w:r>
    </w:p>
    <w:p>
      <w:pPr>
        <w:spacing w:after="100"/>
        <w:ind w:left="360"/>
      </w:pPr>
      <w:r>
        <w:rPr>
          <w:b/>
          <w:bCs/>
        </w:rPr>
        <w:t xml:space="preserve">2. Autonomic Regulation: </w:t>
      </w:r>
      <w:r>
        <w:t xml:space="preserve">Breathing and physical movement activate parasympathetic response, reducing anxiety-driven technology use.</w:t>
      </w:r>
    </w:p>
    <w:p>
      <w:pPr>
        <w:spacing w:after="200"/>
      </w:pPr>
      <w:r>
        <w:rPr>
          <w:i/>
          <w:iCs/>
        </w:rPr>
        <w:t xml:space="preserve">Category mappings: </w:t>
      </w:r>
      <w:r>
        <w:t xml:space="preserve">Breathe/Sense → autonomic regulation; Nature/Light &amp; Air → attention restoration; Move → both mechanisms; Connect/Focus → behavioural activation and intentionality.</w:t>
      </w:r>
    </w:p>
    <w:p>
      <w:pPr>
        <w:pStyle w:val="Heading1"/>
      </w:pPr>
      <w:r>
        <w:t xml:space="preserve">2. Design Plan</w:t>
      </w:r>
    </w:p>
    <w:p>
      <w:pPr>
        <w:pStyle w:val="Heading2"/>
      </w:pPr>
      <w:r>
        <w:t xml:space="preserve">2.1 Study Type</w:t>
      </w:r>
    </w:p>
    <w:p>
      <w:pPr>
        <w:spacing w:after="200"/>
      </w:pPr>
      <w:r>
        <w:t xml:space="preserve">Observational, longitudinal, within-subjects design with self-selected exposure levels. This is an exploratory correlational study, not a randomised controlled trial.</w:t>
      </w:r>
    </w:p>
    <w:p>
      <w:pPr>
        <w:pStyle w:val="Heading2"/>
      </w:pPr>
      <w:r>
        <w:t xml:space="preserve">2.2 Study Design</w:t>
      </w:r>
    </w:p>
    <w:p>
      <w:pPr>
        <w:spacing w:after="100"/>
      </w:pPr>
      <w:r>
        <w:t xml:space="preserve">Single-arm observational study:</w:t>
      </w:r>
    </w:p>
    <w:p>
      <w:pPr>
        <w:spacing w:after="60"/>
        <w:ind w:left="360"/>
      </w:pPr>
      <w:r>
        <w:rPr>
          <w:b/>
          <w:bCs/>
        </w:rPr>
        <w:t xml:space="preserve">T1: </w:t>
      </w:r>
      <w:r>
        <w:t xml:space="preserve">Baseline Self-Control assessment (5 items, 5-25 points)</w:t>
      </w:r>
    </w:p>
    <w:p>
      <w:pPr>
        <w:spacing w:after="60"/>
        <w:ind w:left="360"/>
      </w:pPr>
      <w:r>
        <w:rPr>
          <w:b/>
          <w:bCs/>
        </w:rPr>
        <w:t xml:space="preserve">Weeks 1-4: </w:t>
      </w:r>
      <w:r>
        <w:t xml:space="preserve">Access to 28 microhabits across 7 categories; weekly perceived control rating (0-10)</w:t>
      </w:r>
    </w:p>
    <w:p>
      <w:pPr>
        <w:spacing w:after="200"/>
        <w:ind w:left="360"/>
      </w:pPr>
      <w:r>
        <w:rPr>
          <w:b/>
          <w:bCs/>
        </w:rPr>
        <w:t xml:space="preserve">T2: </w:t>
      </w:r>
      <w:r>
        <w:t xml:space="preserve">Follow-up Self-Control assessment (same 5 items)</w:t>
      </w:r>
    </w:p>
    <w:p>
      <w:pPr>
        <w:pStyle w:val="Heading1"/>
      </w:pPr>
      <w:r>
        <w:t xml:space="preserve">3. Sampling Plan</w:t>
      </w:r>
    </w:p>
    <w:p>
      <w:pPr>
        <w:pStyle w:val="Heading2"/>
      </w:pPr>
      <w:r>
        <w:t xml:space="preserve">3.1 Data Collection</w:t>
      </w:r>
    </w:p>
    <w:p>
      <w:pPr>
        <w:spacing w:after="200"/>
      </w:pPr>
      <w:r>
        <w:t xml:space="preserve">Participants recruited via social media (LinkedIn, Reddit r/nosurf, r/digitalminimalism), neurodivergent community forums, and organic discovery via beo.llc website.</w:t>
      </w:r>
    </w:p>
    <w:p>
      <w:pPr>
        <w:pStyle w:val="Heading2"/>
      </w:pPr>
      <w:r>
        <w:t xml:space="preserve">3.2 Sample Size (Power Analysis)</w:t>
      </w:r>
    </w:p>
    <w:p>
      <w:pPr>
        <w:spacing w:after="100"/>
      </w:pPr>
      <w:r>
        <w:rPr>
          <w:b/>
          <w:bCs/>
        </w:rPr>
        <w:t xml:space="preserve">Power analysis conducted using G*Power 3.1:</w:t>
      </w:r>
    </w:p>
    <w:p>
      <w:pPr>
        <w:spacing w:after="60"/>
        <w:ind w:left="360"/>
      </w:pPr>
      <w:r>
        <w:t xml:space="preserve">• Test: Independent samples t-test (secondary analysis comparing high vs low engagement)</w:t>
      </w:r>
    </w:p>
    <w:p>
      <w:pPr>
        <w:spacing w:after="60"/>
        <w:ind w:left="360"/>
      </w:pPr>
      <w:r>
        <w:t xml:space="preserve">• Effect size: Cohen's d = 0.5 (medium; comparable to mindfulness interventions)</w:t>
      </w:r>
    </w:p>
    <w:p>
      <w:pPr>
        <w:spacing w:after="60"/>
        <w:ind w:left="360"/>
      </w:pPr>
      <w:r>
        <w:t xml:space="preserve">• Alpha: 0.05 (two-tailed)</w:t>
      </w:r>
    </w:p>
    <w:p>
      <w:pPr>
        <w:spacing w:after="60"/>
        <w:ind w:left="360"/>
      </w:pPr>
      <w:r>
        <w:t xml:space="preserve">• Power: 0.80</w:t>
      </w:r>
    </w:p>
    <w:p>
      <w:pPr>
        <w:spacing w:after="60"/>
        <w:ind w:left="360"/>
      </w:pPr>
      <w:r>
        <w:rPr>
          <w:b/>
          <w:bCs/>
        </w:rPr>
        <w:t xml:space="preserve">• Required per group: 64 (total: 128 completers)</w:t>
      </w:r>
    </w:p>
    <w:p>
      <w:pPr>
        <w:spacing w:after="200"/>
        <w:ind w:left="360"/>
      </w:pPr>
      <w:r>
        <w:t xml:space="preserve">• Accounting for 35% attrition: recruitment target = 200 sign-ups</w:t>
      </w:r>
    </w:p>
    <w:p>
      <w:pPr>
        <w:pStyle w:val="Heading2"/>
      </w:pPr>
      <w:r>
        <w:t xml:space="preserve">3.3 Eligibility</w:t>
      </w:r>
    </w:p>
    <w:p>
      <w:pPr>
        <w:spacing w:after="200"/>
      </w:pPr>
      <w:r>
        <w:t xml:space="preserve">Adults aged 18+, iPhone/iPad users, English-speaking, able to provide informed consent. iOS-only due to development constraints; acknowledged as limitation.</w:t>
      </w:r>
    </w:p>
    <w:p>
      <w:pPr>
        <w:pStyle w:val="Heading1"/>
      </w:pPr>
      <w:r>
        <w:t xml:space="preserve">4. Variables</w:t>
      </w:r>
    </w:p>
    <w:p>
      <w:pPr>
        <w:pStyle w:val="Heading2"/>
      </w:pPr>
      <w:r>
        <w:t xml:space="preserve">4.1 Outcome Variables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Self-Control Score change (T2 − T1). 5-item scale adapted from Digital Flourishing Scale (Janicke-Bowles et al., 2023). 5-point Likert (1-5). Range: 5-25.</w:t>
      </w:r>
    </w:p>
    <w:p>
      <w:pPr>
        <w:spacing w:after="100"/>
      </w:pPr>
      <w:r>
        <w:rPr>
          <w:i/>
          <w:iCs/>
        </w:rPr>
        <w:t xml:space="preserve">Validation note: </w:t>
      </w:r>
      <w:r>
        <w:t xml:space="preserve">This is the first use of this adaptation ("technology/phone" replaces "social media"). Internal consistency (Cronbach's α) will be calculated and reported from study data. Original scale α = 0.87.</w:t>
      </w:r>
    </w:p>
    <w:p>
      <w:pPr>
        <w:spacing w:after="200"/>
      </w:pPr>
      <w:r>
        <w:rPr>
          <w:b/>
          <w:bCs/>
        </w:rPr>
        <w:t xml:space="preserve">Secondary: </w:t>
      </w:r>
      <w:r>
        <w:t xml:space="preserve">Weekly perceived control rating. Single item: "How in control of your technology use did you feel this week?" (0-10 scale). Collected at end of each week (Sunday prompt).</w:t>
      </w:r>
    </w:p>
    <w:p>
      <w:pPr>
        <w:pStyle w:val="Heading2"/>
      </w:pPr>
      <w:r>
        <w:t xml:space="preserve">4.2 Predictor Variables</w:t>
      </w:r>
    </w:p>
    <w:p>
      <w:pPr>
        <w:spacing w:after="100"/>
      </w:pPr>
      <w:r>
        <w:rPr>
          <w:b/>
          <w:bCs/>
        </w:rPr>
        <w:t xml:space="preserve">Primary: </w:t>
      </w:r>
      <w:r>
        <w:t xml:space="preserve">Total microhabit engagement (continuous count of initiated attempts over 4 weeks).</w:t>
      </w:r>
    </w:p>
    <w:p>
      <w:pPr>
        <w:spacing w:after="100"/>
      </w:pPr>
      <w:r>
        <w:rPr>
          <w:b/>
          <w:bCs/>
        </w:rPr>
        <w:t xml:space="preserve">Secondary: </w:t>
      </w:r>
      <w:r>
        <w:t xml:space="preserve">Binary engagement classification (High: ≥10 microhabits; Low: &lt;10). Threshold justification: 10 over 4 weeks = ~2.5/week = consistent minimal engagement.</w:t>
      </w:r>
    </w:p>
    <w:p>
      <w:pPr>
        <w:spacing w:after="200"/>
      </w:pPr>
      <w:r>
        <w:rPr>
          <w:b/>
          <w:bCs/>
        </w:rPr>
        <w:t xml:space="preserve">Exploratory: </w:t>
      </w:r>
      <w:r>
        <w:t xml:space="preserve">Category-specific engagement (count per category: Breathe, Move, Sense, Light &amp; Air, Nature, Connect, Focus).</w:t>
      </w:r>
    </w:p>
    <w:p>
      <w:pPr>
        <w:pStyle w:val="Heading2"/>
      </w:pPr>
      <w:r>
        <w:t xml:space="preserve">4.3 Engagement Operationalisation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A microhabit is counted as "engaged" when the user taps the "Begin" button on a microhabit card in the app. This represents intentional initiation of the microhabit activity.</w:t>
      </w:r>
    </w:p>
    <w:p>
      <w:pPr>
        <w:spacing w:after="100"/>
      </w:pPr>
      <w:r>
        <w:rPr>
          <w:i/>
          <w:iCs/>
        </w:rPr>
        <w:t xml:space="preserve">Rationale: </w:t>
      </w:r>
      <w:r>
        <w:t xml:space="preserve">Tapping "Begin" requires deliberate action (selecting a category, choosing a specific microhabit, then initiating). This captures behavioural intention. Duration is not tracked as microhabits are brief (30-120 seconds) and self-paced.</w:t>
      </w:r>
    </w:p>
    <w:p>
      <w:pPr>
        <w:spacing w:after="200"/>
      </w:pPr>
      <w:r>
        <w:rPr>
          <w:b/>
          <w:bCs/>
        </w:rPr>
        <w:t xml:space="preserve">Total engagement = </w:t>
      </w:r>
      <w:r>
        <w:t xml:space="preserve">sum of all "Begin" taps across all microhabits over 4 weeks.</w:t>
      </w:r>
    </w:p>
    <w:p>
      <w:pPr>
        <w:pStyle w:val="Heading1"/>
      </w:pPr>
      <w:r>
        <w:t xml:space="preserve">5. Analysis Plan</w:t>
      </w:r>
    </w:p>
    <w:p>
      <w:pPr>
        <w:pStyle w:val="Heading2"/>
      </w:pPr>
      <w:r>
        <w:t xml:space="preserve">5.1 Statistical Models</w:t>
      </w:r>
    </w:p>
    <w:p>
      <w:pPr>
        <w:spacing w:after="100"/>
      </w:pPr>
      <w:r>
        <w:rPr>
          <w:b/>
          <w:bCs/>
        </w:rPr>
        <w:t xml:space="preserve">RQ1 (Primary):</w:t>
      </w:r>
    </w:p>
    <w:p>
      <w:pPr>
        <w:spacing w:after="60"/>
        <w:ind w:left="360"/>
      </w:pPr>
      <w:r>
        <w:rPr>
          <w:b/>
          <w:bCs/>
        </w:rPr>
        <w:t xml:space="preserve">Primary analysis: </w:t>
      </w:r>
      <w:r>
        <w:t xml:space="preserve">Pearson correlation between total microhabit engagement (continuous) and Self-Control change score. Assumption check: scatterplot inspection for linearity; if non-linear or outliers present, Spearman's rho as sensitivity analysis.</w:t>
      </w:r>
    </w:p>
    <w:p>
      <w:pPr>
        <w:spacing w:after="200"/>
        <w:ind w:left="360"/>
      </w:pPr>
      <w:r>
        <w:rPr>
          <w:b/>
          <w:bCs/>
        </w:rPr>
        <w:t xml:space="preserve">Secondary analysis: </w:t>
      </w:r>
      <w:r>
        <w:t xml:space="preserve">Independent samples t-test comparing high (≥10) vs low (&lt;10) engagement groups. Effect size: Cohen's d. Assumption check: Levene's test for homogeneity of variance; Welch's t-test if violated.</w:t>
      </w:r>
    </w:p>
    <w:p>
      <w:pPr>
        <w:spacing w:after="100"/>
      </w:pPr>
      <w:r>
        <w:rPr>
          <w:b/>
          <w:bCs/>
        </w:rPr>
        <w:t xml:space="preserve">RQ2:</w:t>
      </w:r>
    </w:p>
    <w:p>
      <w:pPr>
        <w:spacing w:after="200"/>
        <w:ind w:left="360"/>
      </w:pPr>
      <w:r>
        <w:t xml:space="preserve">Repeated-measures ANOVA with linear trend contrast across weeks 1-4. Assumption check: Mauchly's test for sphericity; Greenhouse-Geisser correction if violated (ε &lt; 0.75). Alternative: mixed-effects model with random intercepts if data structure requires.</w:t>
      </w:r>
    </w:p>
    <w:p>
      <w:pPr>
        <w:spacing w:after="100"/>
      </w:pPr>
      <w:r>
        <w:rPr>
          <w:b/>
          <w:bCs/>
        </w:rPr>
        <w:t xml:space="preserve">RQ3 (Exploratory):</w:t>
      </w:r>
    </w:p>
    <w:p>
      <w:pPr>
        <w:spacing w:after="200"/>
        <w:ind w:left="360"/>
      </w:pPr>
      <w:r>
        <w:t xml:space="preserve">Pearson correlations between category-specific engagement and Self-Control change. Bonferroni correction for 7 comparisons (α = 0.05/7 = 0.007). No a priori prediction of which categories will show strongest effects.</w:t>
      </w:r>
    </w:p>
    <w:p>
      <w:pPr>
        <w:pStyle w:val="Heading2"/>
      </w:pPr>
      <w:r>
        <w:t xml:space="preserve">5.2 Missing Data</w:t>
      </w:r>
    </w:p>
    <w:p>
      <w:pPr>
        <w:spacing w:after="100"/>
      </w:pPr>
      <w:r>
        <w:rPr>
          <w:b/>
          <w:bCs/>
        </w:rPr>
        <w:t xml:space="preserve">Pre-specified approach: </w:t>
      </w:r>
      <w:r>
        <w:t xml:space="preserve">Available-case analysis.</w:t>
      </w:r>
    </w:p>
    <w:p>
      <w:pPr>
        <w:spacing w:after="60"/>
        <w:ind w:left="360"/>
      </w:pPr>
      <w:r>
        <w:t xml:space="preserve">• Participants without T2 excluded from change score analyses</w:t>
      </w:r>
    </w:p>
    <w:p>
      <w:pPr>
        <w:spacing w:after="60"/>
        <w:ind w:left="360"/>
      </w:pPr>
      <w:r>
        <w:t xml:space="preserve">• Missing weekly ratings included if ≥2 of 4 weeks completed</w:t>
      </w:r>
    </w:p>
    <w:p>
      <w:pPr>
        <w:spacing w:after="100"/>
      </w:pPr>
      <w:r>
        <w:rPr>
          <w:b/>
          <w:bCs/>
        </w:rPr>
        <w:t xml:space="preserve">Sensitivity analysis: </w:t>
      </w:r>
    </w:p>
    <w:p>
      <w:pPr>
        <w:spacing w:after="200"/>
        <w:ind w:left="360"/>
      </w:pPr>
      <w:r>
        <w:t xml:space="preserve">Independent samples t-test comparing T1 Self-Control scores of completers vs non-completers (α = 0.10). If significantly different (suggesting non-random attrition), results interpreted with caution and reported as limitation.</w:t>
      </w:r>
    </w:p>
    <w:p>
      <w:pPr>
        <w:pStyle w:val="Heading2"/>
      </w:pPr>
      <w:r>
        <w:t xml:space="preserve">5.3 Reporting</w:t>
      </w:r>
    </w:p>
    <w:p>
      <w:pPr>
        <w:spacing w:after="200"/>
      </w:pPr>
      <w:r>
        <w:t xml:space="preserve">All analyses reported with effect sizes (r for correlations, Cohen's d for t-tests, partial η² for ANOVA) and 95% confidence intervals regardless of statistical significance. Primary analysis α = 0.05.</w:t>
      </w:r>
    </w:p>
    <w:p>
      <w:pPr>
        <w:pStyle w:val="Heading1"/>
      </w:pPr>
      <w:r>
        <w:t xml:space="preserve">6. Measures</w:t>
      </w:r>
    </w:p>
    <w:p>
      <w:pPr>
        <w:pStyle w:val="Heading2"/>
      </w:pPr>
      <w:r>
        <w:t xml:space="preserve">6.1 Self-Control Scale (5 items)</w:t>
      </w:r>
    </w:p>
    <w:p>
      <w:pPr>
        <w:spacing w:after="100"/>
      </w:pPr>
      <w:r>
        <w:rPr>
          <w:b/>
          <w:bCs/>
        </w:rPr>
        <w:t xml:space="preserve">Source: </w:t>
      </w:r>
      <w:r>
        <w:t xml:space="preserve">Adapted from Digital Flourishing Scale (Janicke-Bowles et al., 2023). Original "social media" items adapted to "technology/phone".</w:t>
      </w:r>
    </w:p>
    <w:p>
      <w:pPr>
        <w:spacing w:after="60"/>
        <w:ind w:left="360"/>
      </w:pPr>
      <w:r>
        <w:t xml:space="preserve">1. I feel in control of my technology use</w:t>
      </w:r>
    </w:p>
    <w:p>
      <w:pPr>
        <w:spacing w:after="60"/>
        <w:ind w:left="360"/>
      </w:pPr>
      <w:r>
        <w:t xml:space="preserve">2. I am able to use my phone without getting distracted from what I intended to do</w:t>
      </w:r>
    </w:p>
    <w:p>
      <w:pPr>
        <w:spacing w:after="60"/>
        <w:ind w:left="360"/>
      </w:pPr>
      <w:r>
        <w:t xml:space="preserve">3. I can stop using my phone when I want to</w:t>
      </w:r>
    </w:p>
    <w:p>
      <w:pPr>
        <w:spacing w:after="60"/>
        <w:ind w:left="360"/>
      </w:pPr>
      <w:r>
        <w:t xml:space="preserve">4. My phone does not keep me from doing things I should be doing</w:t>
      </w:r>
    </w:p>
    <w:p>
      <w:pPr>
        <w:spacing w:after="200"/>
        <w:ind w:left="360"/>
      </w:pPr>
      <w:r>
        <w:t xml:space="preserve">5. I use my phone intentionally, not out of habit</w:t>
      </w:r>
    </w:p>
    <w:p>
      <w:pPr>
        <w:pStyle w:val="Heading1"/>
      </w:pPr>
      <w:r>
        <w:t xml:space="preserve">7. Ethics</w:t>
      </w:r>
    </w:p>
    <w:p>
      <w:pPr>
        <w:spacing w:after="200"/>
      </w:pPr>
      <w:r>
        <w:t xml:space="preserve">Follows BPS Code of Human Research Ethics. Informed consent via in-app screen. Anonymous data (random ID). Right to withdraw. App disclaimer: not a diagnostic tool or treatment.</w:t>
      </w:r>
    </w:p>
    <w:p>
      <w:pPr>
        <w:pStyle w:val="Heading1"/>
      </w:pPr>
      <w:r>
        <w:t xml:space="preserve">8. Conflict of Interest</w:t>
      </w:r>
    </w:p>
    <w:p>
      <w:pPr>
        <w:spacing w:after="100"/>
      </w:pPr>
      <w:r>
        <w:rPr>
          <w:b/>
          <w:bCs/>
        </w:rPr>
        <w:t xml:space="preserve">Disclosure: </w:t>
      </w:r>
      <w:r>
        <w:t xml:space="preserve">Authors are founders of beó LLC, which developed the app.</w:t>
      </w:r>
    </w:p>
    <w:p>
      <w:pPr>
        <w:spacing w:after="200"/>
      </w:pPr>
      <w:r>
        <w:rPr>
          <w:b/>
          <w:bCs/>
        </w:rPr>
        <w:t xml:space="preserve">Mitigation: </w:t>
      </w:r>
      <w:r>
        <w:t xml:space="preserve">Pre-registration documents all research questions before data collection. All analyses conducted by beó and reported regardless of direction or significance. All results including null/negative findings will be published.</w:t>
      </w:r>
    </w:p>
    <w:p>
      <w:pPr>
        <w:pStyle w:val="Heading2"/>
      </w:pPr>
      <w:r>
        <w:t xml:space="preserve">8.1 Results Commitment</w:t>
      </w:r>
    </w:p>
    <w:p>
      <w:pPr>
        <w:spacing w:after="200"/>
      </w:pPr>
      <w:r>
        <w:rPr>
          <w:b/>
          <w:bCs/>
        </w:rPr>
        <w:t xml:space="preserve">Publication commitment: </w:t>
      </w:r>
      <w:r>
        <w:t xml:space="preserve">Results will be posted as a preprint on OSF or PsyArXiv within 3 months of study completion (target: June 2026), regardless of findings. Analysis code deposited on OSF.</w:t>
      </w:r>
    </w:p>
    <w:p>
      <w:pPr>
        <w:pStyle w:val="Heading1"/>
      </w:pPr>
      <w:r>
        <w:t xml:space="preserve">9. Limitations</w:t>
      </w:r>
    </w:p>
    <w:p>
      <w:pPr>
        <w:spacing w:after="60"/>
        <w:ind w:left="360"/>
      </w:pPr>
      <w:r>
        <w:t xml:space="preserve">• Self-selected sample (not representative; limits generalisability)</w:t>
      </w:r>
    </w:p>
    <w:p>
      <w:pPr>
        <w:spacing w:after="60"/>
        <w:ind w:left="360"/>
      </w:pPr>
      <w:r>
        <w:t xml:space="preserve">• No control group (cannot establish causation)</w:t>
      </w:r>
    </w:p>
    <w:p>
      <w:pPr>
        <w:spacing w:after="60"/>
        <w:ind w:left="360"/>
      </w:pPr>
      <w:r>
        <w:t xml:space="preserve">• Self-reported outcomes (response bias)</w:t>
      </w:r>
    </w:p>
    <w:p>
      <w:pPr>
        <w:spacing w:after="60"/>
        <w:ind w:left="360"/>
      </w:pPr>
      <w:r>
        <w:t xml:space="preserve">• iOS only (excludes Android; development constraint)</w:t>
      </w:r>
    </w:p>
    <w:p>
      <w:pPr>
        <w:spacing w:after="60"/>
        <w:ind w:left="360"/>
      </w:pPr>
      <w:r>
        <w:t xml:space="preserve">• Self-selection confound (motivated users may engage more)</w:t>
      </w:r>
    </w:p>
    <w:p>
      <w:pPr>
        <w:spacing w:after="60"/>
        <w:ind w:left="360"/>
      </w:pPr>
      <w:r>
        <w:t xml:space="preserve">• Adapted scale (first use; validation data from this study only)</w:t>
      </w:r>
    </w:p>
    <w:p>
      <w:pPr>
        <w:spacing w:after="200"/>
        <w:ind w:left="360"/>
      </w:pPr>
      <w:r>
        <w:t xml:space="preserve">• Findings are correlational and will inform hypotheses for future RCTs</w:t>
      </w:r>
    </w:p>
    <w:p>
      <w:pPr>
        <w:pStyle w:val="Heading1"/>
      </w:pPr>
      <w:r>
        <w:t xml:space="preserve">10. References</w:t>
      </w:r>
    </w:p>
    <w:p>
      <w:pPr>
        <w:spacing w:after="60"/>
      </w:pPr>
      <w:r>
        <w:t xml:space="preserve">Janicke-Bowles, S., et al. (2023). Digital Flourishing Scale. Journal of Happiness Studies.</w:t>
      </w:r>
    </w:p>
    <w:p>
      <w:pPr>
        <w:spacing w:after="60"/>
      </w:pPr>
      <w:r>
        <w:t xml:space="preserve">Kaplan, S. (1995). The restorative benefits of nature. Journal of Environmental Psychology.</w:t>
      </w:r>
    </w:p>
    <w:p>
      <w:pPr>
        <w:spacing w:after="60"/>
      </w:pPr>
      <w:r>
        <w:t xml:space="preserve">Parry, D. A., et al. (2021). Discrepancies between logged and self-reported digital media use. Nature Human Behaviour.</w:t>
      </w:r>
    </w:p>
    <w:p>
      <w:pPr>
        <w:spacing w:after="200"/>
      </w:pPr>
      <w:r>
        <w:t xml:space="preserve">Hendry, J. (2020). Perception gaps in smartphone use. MSc Thesis, University of Glasgow.</w:t>
      </w:r>
    </w:p>
    <w:p>
      <w:pPr>
        <w:spacing w:before="400"/>
        <w:jc w:val="center"/>
      </w:pPr>
      <w:r>
        <w:rPr>
          <w:sz w:val="20"/>
          <w:szCs w:val="20"/>
        </w:rPr>
        <w:t xml:space="preserve">—</w:t>
      </w:r>
    </w:p>
    <w:p>
      <w:pPr>
        <w:jc w:val="center"/>
      </w:pPr>
      <w:r>
        <w:rPr>
          <w:color w:val="666666"/>
          <w:sz w:val="18"/>
          <w:szCs w:val="18"/>
        </w:rPr>
        <w:t xml:space="preserve">beó LLC | beo.llc | lab@beo.llc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2026-02-05T22:31:36.325Z</dcterms:created>
  <dcterms:modified xsi:type="dcterms:W3CDTF">2026-02-05T22:31:36.327Z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